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beforeAutospacing="0" w:after="0" w:afterAutospacing="0" w:line="576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伽师县2025年1-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月经济运行情况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1-8月，全县上下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完整准确全面贯彻新发展理念和新时代党的治疆方略，重点围绕“五大支柱产业”和县域主导产业持续用力，扎实推动高质量发展，县域经济展现出较强韧性，工业持续高增长、投资拉动稳步回升、消费热力继续升温，主要经济指标增长动力强劲，经济基础进一步夯实，高质量发展成效进一步巩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（一）工业保持高速增长，主导产业贡献突出。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1-8月，规上工业增加值2.34亿元、同比增长31.3%。增速较全国（5.2%）高26.1个百分点，较全疆增速（7.0%）高24.3个百分点，较地区增速（19.2%）高12.1个百分点。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</w:rPr>
        <w:t>（二）投资增速稳健回升，重大项目支撑有力。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固定资产投资42.45亿元、同比增长7%。增速较全国（0.5%）高6.5个百分点，较全疆增速（9.1%）低2.1个百分点，较地区增速（11.5%）低4.5个百分点。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（三）社会消费增速提升，消费潜力加速释放。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1-8月限额以上社会消费品零售总额2.03亿元、同比增长10.9%。增速较全国（5.2%）高5.7个百分点，较全疆增速（6.0%）高4.9个百分点，较地区增速（7.6%）高3.3个百分点。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</w:rPr>
        <w:t>（四）财政收支平稳，稳步增长。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一般公共预算收入6.14亿元、同比增长13.4%；增速较全疆增速（11.0%）高2.4个百分点，较地区增速（10.2%）高3.2个百分点。</w:t>
      </w:r>
    </w:p>
    <w:sectPr>
      <w:pgSz w:w="11906" w:h="16838"/>
      <w:pgMar w:top="2098" w:right="1800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nk Doroge Tig">
    <w:panose1 w:val="02000500000000000000"/>
    <w:charset w:val="00"/>
    <w:family w:val="auto"/>
    <w:pitch w:val="default"/>
    <w:sig w:usb0="A000029F" w:usb1="0049E44A" w:usb2="00020002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5EF4"/>
    <w:rsid w:val="10E73949"/>
    <w:rsid w:val="1317332B"/>
    <w:rsid w:val="2CF10EEF"/>
    <w:rsid w:val="444E5EF4"/>
    <w:rsid w:val="53B3121B"/>
    <w:rsid w:val="6E76521A"/>
    <w:rsid w:val="6E8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2025-11-26T12:04:00Z</dcterms:created>
  <dc:creator>ZFB</dc:creator>
  <cp:lastModifiedBy>ZFB</cp:lastModifiedBy>
  <dcterms:modified xsi:type="dcterms:W3CDTF">2025-11-26T12:16:40Z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