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5" w:beforeLines="200" w:beforeAutospacing="0" w:after="0" w:afterAutospacing="0" w:line="576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44"/>
          <w:szCs w:val="44"/>
        </w:rPr>
        <w:t>伽师县2025年1-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44"/>
          <w:szCs w:val="44"/>
        </w:rPr>
        <w:t>月经济运行情况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5月份，县域经济顶住压力稳定增长，工业生产快速增长、固定资产投资继续扩大、市场销售稳定增长，延续向新向好发展态势，为“半年红”夯实基础。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（一）工业生产稳定增长，主导产业贡献突出。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1—5月，28家规模以上工业企业累计实现工业产值8.36亿元、同比增长8%；实现工业增加值1.62亿元、同比增长31%；增速较全国（5.8%）高25.2个百分点，增速较全疆（6.5%）高24.5个百分点，增速较全地区（16.8%）高14.2个百分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（二）投资增速回升，第三产业拉动突出。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1—5月，固定资产投资（不含农户）16.27亿元、同比增长13.6%，增速较全国（3.7%）高9.9个百分点、较全疆（16.2%）低2.6个百分点、较全地区（2%）高11.6个百分点。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（三）消费活力稳步释放，以旧换新政策效能显现。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1—5月，限额以上社会消费品零售总额1.22亿元、同比增长12.1%，增速较全国（6.3%）高5.8个百分点、较全疆（7.6%）高4.5个百分点、较全地区（7.7%）高4.4个百分点。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（四）财政收支总体平稳，增势良好。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一般公共预算收入完成3.86亿元，完成年初预算数的53.72%、同比增长12.6%，其中：税收完成9705万元，同比增收352万元、增长3.76%；非税收入完成28928万元，同比增收3976万元、增长15.93%。</w:t>
      </w:r>
    </w:p>
    <w:sectPr>
      <w:pgSz w:w="11906" w:h="16838"/>
      <w:pgMar w:top="2098" w:right="1800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enk Doroge Tig">
    <w:panose1 w:val="02000500000000000000"/>
    <w:charset w:val="00"/>
    <w:family w:val="auto"/>
    <w:pitch w:val="default"/>
    <w:sig w:usb0="A000029F" w:usb1="0049E44A" w:usb2="00020002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E5EF4"/>
    <w:rsid w:val="2CF10EEF"/>
    <w:rsid w:val="444E5EF4"/>
    <w:rsid w:val="53B3121B"/>
    <w:rsid w:val="6E8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2025-11-26T12:04:00Z</dcterms:created>
  <dc:creator>ZFB</dc:creator>
  <cp:lastModifiedBy>ZFB</cp:lastModifiedBy>
  <dcterms:modified xsi:type="dcterms:W3CDTF">2025-11-26T12:12:45Z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