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C5B33">
      <w:pPr>
        <w:pStyle w:val="8"/>
        <w:bidi w:val="0"/>
        <w:rPr>
          <w:rFonts w:hint="eastAsia"/>
          <w:lang w:val="en-US" w:eastAsia="zh-CN"/>
        </w:rPr>
      </w:pPr>
    </w:p>
    <w:p w14:paraId="4075B34A">
      <w:pPr>
        <w:pStyle w:val="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2026年1—3月伽师县经济运行简况</w:t>
      </w:r>
    </w:p>
    <w:p w14:paraId="1DBE9E99">
      <w:pPr>
        <w:rPr>
          <w:rFonts w:hint="default"/>
          <w:lang w:val="en-US" w:eastAsia="zh-CN"/>
        </w:rPr>
      </w:pPr>
    </w:p>
    <w:p w14:paraId="61DFCE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2026年一季度伽师县主要经济指标经喀什地区统计局审定反馈，总体来看，全县锚定高质量发展首要任务，开年即冲刺、起步即起势，经济运行在“十四五”圆满收关的基础上，实现“十五五”良好开局。</w:t>
      </w:r>
    </w:p>
    <w:p w14:paraId="3DA30E4C">
      <w:pPr>
        <w:rPr>
          <w:rFonts w:hint="default"/>
          <w:lang w:val="en-US" w:eastAsia="zh-CN"/>
        </w:rPr>
      </w:pPr>
      <w:r>
        <w:rPr>
          <w:rStyle w:val="11"/>
          <w:rFonts w:hint="default"/>
          <w:lang w:val="en-US" w:eastAsia="zh-CN"/>
        </w:rPr>
        <w:t>（一）经济发展稳中有进，</w:t>
      </w:r>
      <w:r>
        <w:rPr>
          <w:rStyle w:val="11"/>
          <w:rFonts w:hint="eastAsia"/>
          <w:lang w:val="en-US" w:eastAsia="zh-CN"/>
        </w:rPr>
        <w:t>三次产业协同发力</w:t>
      </w:r>
      <w:r>
        <w:rPr>
          <w:rStyle w:val="11"/>
          <w:rFonts w:hint="default"/>
          <w:lang w:val="en-US" w:eastAsia="zh-CN"/>
        </w:rPr>
        <w:t>。</w:t>
      </w:r>
      <w:r>
        <w:rPr>
          <w:rFonts w:hint="default"/>
          <w:lang w:val="en-US" w:eastAsia="zh-CN"/>
        </w:rPr>
        <w:t>一季度，地区生产总值21.42亿元、同比增长6.8%。从三次产业看，第一产业增加值1.89亿元、同比增长4.3%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第二产业增加值3.7亿元、同比增长14.7%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第三产业增加值15.83亿元、同比增长5.5%。</w:t>
      </w:r>
    </w:p>
    <w:p w14:paraId="16787E5B">
      <w:pPr>
        <w:rPr>
          <w:rFonts w:hint="default"/>
          <w:lang w:val="en-US" w:eastAsia="zh-CN"/>
        </w:rPr>
      </w:pPr>
      <w:r>
        <w:rPr>
          <w:rStyle w:val="11"/>
          <w:rFonts w:hint="default"/>
          <w:lang w:val="en-US" w:eastAsia="zh-CN"/>
        </w:rPr>
        <w:t>（二）农业生产稳步增长，产业基础不断夯实。</w:t>
      </w:r>
      <w:r>
        <w:rPr>
          <w:rFonts w:hint="default"/>
          <w:lang w:val="en-US" w:eastAsia="zh-CN"/>
        </w:rPr>
        <w:t>一季度，农林牧渔总产值3.67亿元，同比增长4.5%；其中：农业产值</w:t>
      </w:r>
      <w:r>
        <w:rPr>
          <w:rFonts w:hint="eastAsia"/>
          <w:lang w:val="en-US" w:eastAsia="zh-CN"/>
        </w:rPr>
        <w:t>0.39亿</w:t>
      </w:r>
      <w:r>
        <w:rPr>
          <w:rFonts w:hint="default"/>
          <w:lang w:val="en-US" w:eastAsia="zh-CN"/>
        </w:rPr>
        <w:t>元、同比增长6.9%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林业产值</w:t>
      </w:r>
      <w:r>
        <w:rPr>
          <w:rFonts w:hint="eastAsia"/>
          <w:lang w:val="en-US" w:eastAsia="zh-CN"/>
        </w:rPr>
        <w:t>0.14亿</w:t>
      </w:r>
      <w:r>
        <w:rPr>
          <w:rFonts w:hint="default"/>
          <w:lang w:val="en-US" w:eastAsia="zh-CN"/>
        </w:rPr>
        <w:t>元、同比增长13.5%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牧业产值2.82亿元、同比增长1.3%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渔业产值174万元、同比增长9.5%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农林牧渔服务业产值</w:t>
      </w:r>
      <w:r>
        <w:rPr>
          <w:rFonts w:hint="eastAsia"/>
          <w:lang w:val="en-US" w:eastAsia="zh-CN"/>
        </w:rPr>
        <w:t>0.3亿</w:t>
      </w:r>
      <w:r>
        <w:rPr>
          <w:rFonts w:hint="default"/>
          <w:lang w:val="en-US" w:eastAsia="zh-CN"/>
        </w:rPr>
        <w:t>元、同比增长6.4%。</w:t>
      </w:r>
    </w:p>
    <w:p w14:paraId="3445D8CC">
      <w:pPr>
        <w:rPr>
          <w:rFonts w:hint="eastAsia"/>
          <w:lang w:val="en-US" w:eastAsia="zh-CN"/>
        </w:rPr>
      </w:pPr>
      <w:r>
        <w:rPr>
          <w:rStyle w:val="11"/>
          <w:rFonts w:hint="default"/>
          <w:lang w:val="en-US" w:eastAsia="zh-CN"/>
        </w:rPr>
        <w:t>（三）工业经济持续稳增，重点企业支撑有力。</w:t>
      </w:r>
      <w:r>
        <w:rPr>
          <w:rFonts w:hint="default"/>
          <w:lang w:val="en-US" w:eastAsia="zh-CN"/>
        </w:rPr>
        <w:t>一季度，工业增加值2.46亿元、同比增长22.2%；其中，规模以上工业增加值1.46亿元、同比增长22.5%</w:t>
      </w:r>
      <w:r>
        <w:rPr>
          <w:rFonts w:hint="eastAsia"/>
          <w:lang w:val="en-US" w:eastAsia="zh-CN"/>
        </w:rPr>
        <w:t>。新升规企业拉动较快，规上工业新增8家规上企业，合计完成工业增加值2012万元，</w:t>
      </w:r>
      <w:bookmarkStart w:id="0" w:name="_GoBack"/>
      <w:bookmarkEnd w:id="0"/>
      <w:r>
        <w:rPr>
          <w:rFonts w:hint="eastAsia"/>
          <w:lang w:val="en-US" w:eastAsia="zh-CN"/>
        </w:rPr>
        <w:t>拉动规上工业经济增长15个百分点。</w:t>
      </w:r>
    </w:p>
    <w:p w14:paraId="413C11E1">
      <w:pPr>
        <w:rPr>
          <w:rFonts w:hint="eastAsia"/>
          <w:lang w:val="en-US" w:eastAsia="zh-CN"/>
        </w:rPr>
      </w:pPr>
      <w:r>
        <w:rPr>
          <w:rStyle w:val="11"/>
          <w:rFonts w:hint="default"/>
          <w:lang w:val="en-US" w:eastAsia="zh-CN"/>
        </w:rPr>
        <w:t>（四）固定资产投资稳步增长，工业投资推进有力。</w:t>
      </w:r>
      <w:r>
        <w:rPr>
          <w:rFonts w:hint="default"/>
          <w:lang w:val="en-US" w:eastAsia="zh-CN"/>
        </w:rPr>
        <w:t>一季度，固定资产投资完成6.75亿元、同比增长15.4%</w:t>
      </w:r>
      <w:r>
        <w:rPr>
          <w:rFonts w:hint="eastAsia"/>
          <w:lang w:val="en-US" w:eastAsia="zh-CN"/>
        </w:rPr>
        <w:t>。其中，工业投资完成2.8亿元、同比增长115%，增速高于全部投资99.6个百分点。</w:t>
      </w:r>
    </w:p>
    <w:p w14:paraId="40351505">
      <w:pPr>
        <w:rPr>
          <w:rFonts w:hint="default"/>
          <w:lang w:val="en-US" w:eastAsia="zh-CN"/>
        </w:rPr>
      </w:pPr>
      <w:r>
        <w:rPr>
          <w:rStyle w:val="11"/>
          <w:rFonts w:hint="default"/>
          <w:lang w:val="en-US" w:eastAsia="zh-CN"/>
        </w:rPr>
        <w:t>（五）消费市场增长放缓，基础性消费支撑有力。</w:t>
      </w:r>
      <w:r>
        <w:rPr>
          <w:rFonts w:hint="default"/>
          <w:lang w:val="en-US" w:eastAsia="zh-CN"/>
        </w:rPr>
        <w:t>一季度，社会消费品零售总额3.41亿元、同比增长13.4%，</w:t>
      </w:r>
      <w:r>
        <w:rPr>
          <w:rFonts w:hint="eastAsia"/>
          <w:lang w:val="en-US" w:eastAsia="zh-CN"/>
        </w:rPr>
        <w:t>其中，</w:t>
      </w:r>
      <w:r>
        <w:rPr>
          <w:rFonts w:hint="default"/>
          <w:lang w:val="en-US" w:eastAsia="zh-CN"/>
        </w:rPr>
        <w:t>限额以上社会消费品零售总额0.68亿元、同比增长12.8%。</w:t>
      </w: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64"/>
      </w:pPr>
      <w:r>
        <w:separator/>
      </w:r>
    </w:p>
  </w:endnote>
  <w:endnote w:type="continuationSeparator" w:id="1">
    <w:p>
      <w:pPr>
        <w:spacing w:line="240" w:lineRule="auto"/>
        <w:ind w:firstLine="66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64"/>
      </w:pPr>
      <w:r>
        <w:separator/>
      </w:r>
    </w:p>
  </w:footnote>
  <w:footnote w:type="continuationSeparator" w:id="1">
    <w:p>
      <w:pPr>
        <w:spacing w:line="240" w:lineRule="auto"/>
        <w:ind w:firstLine="66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256EA"/>
    <w:rsid w:val="00995256"/>
    <w:rsid w:val="02B11C21"/>
    <w:rsid w:val="08DC6092"/>
    <w:rsid w:val="0C724D8F"/>
    <w:rsid w:val="0F5A5609"/>
    <w:rsid w:val="189F0D29"/>
    <w:rsid w:val="20A3761E"/>
    <w:rsid w:val="2FE7618D"/>
    <w:rsid w:val="32F55380"/>
    <w:rsid w:val="35830CC7"/>
    <w:rsid w:val="360C0E1C"/>
    <w:rsid w:val="393256EA"/>
    <w:rsid w:val="3E20760D"/>
    <w:rsid w:val="459B5EB9"/>
    <w:rsid w:val="45F46696"/>
    <w:rsid w:val="4C342F2D"/>
    <w:rsid w:val="526957F9"/>
    <w:rsid w:val="53C04075"/>
    <w:rsid w:val="561C2556"/>
    <w:rsid w:val="58AF16A4"/>
    <w:rsid w:val="7856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0" w:lineRule="exact"/>
      <w:ind w:firstLine="420" w:firstLineChars="200"/>
      <w:jc w:val="both"/>
    </w:pPr>
    <w:rPr>
      <w:rFonts w:ascii="Times New Roman" w:hAnsi="Times New Roman" w:eastAsia="方正仿宋_GBK" w:cstheme="minorBidi"/>
      <w:color w:val="000000" w:themeColor="text1"/>
      <w:spacing w:val="6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70" w:lineRule="exact"/>
      <w:jc w:val="left"/>
      <w:outlineLvl w:val="0"/>
    </w:pPr>
    <w:rPr>
      <w:rFonts w:eastAsia="方正黑体_GBK"/>
      <w:kern w:val="44"/>
      <w:sz w:val="32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 w:val="0"/>
      <w:keepLines w:val="0"/>
      <w:spacing w:beforeLines="0" w:beforeAutospacing="0" w:afterLines="0" w:afterAutospacing="0" w:line="570" w:lineRule="exact"/>
      <w:outlineLvl w:val="2"/>
    </w:pPr>
    <w:rPr>
      <w:rFonts w:ascii="Times New Roman" w:hAnsi="Times New Roman" w:eastAsia="方正楷体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70" w:lineRule="exact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70" w:lineRule="exact"/>
      <w:outlineLvl w:val="4"/>
    </w:pPr>
    <w:rPr>
      <w:rFonts w:ascii="Times New Roman" w:hAnsi="Times New Roman" w:eastAsia="方正仿宋_GBK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大标题"/>
    <w:basedOn w:val="1"/>
    <w:next w:val="1"/>
    <w:uiPriority w:val="0"/>
    <w:pPr>
      <w:spacing w:beforeLines="0" w:afterLines="0"/>
      <w:ind w:firstLine="0" w:firstLineChars="0"/>
      <w:jc w:val="center"/>
      <w:outlineLvl w:val="0"/>
    </w:pPr>
    <w:rPr>
      <w:rFonts w:eastAsia="方正小标宋_GBK"/>
      <w:sz w:val="44"/>
    </w:rPr>
  </w:style>
  <w:style w:type="paragraph" w:customStyle="1" w:styleId="9">
    <w:name w:val="题头"/>
    <w:basedOn w:val="1"/>
    <w:next w:val="1"/>
    <w:uiPriority w:val="0"/>
    <w:pPr>
      <w:ind w:firstLine="0" w:firstLineChars="0"/>
      <w:jc w:val="center"/>
    </w:pPr>
    <w:rPr>
      <w:rFonts w:ascii="Times New Roman" w:hAnsi="Times New Roman" w:eastAsia="方正楷体_GBK"/>
      <w:b/>
      <w:szCs w:val="24"/>
    </w:rPr>
  </w:style>
  <w:style w:type="paragraph" w:customStyle="1" w:styleId="10">
    <w:name w:val="落款"/>
    <w:basedOn w:val="1"/>
    <w:next w:val="1"/>
    <w:qFormat/>
    <w:uiPriority w:val="0"/>
    <w:pPr>
      <w:spacing w:beforeLines="0" w:afterLines="0"/>
      <w:ind w:firstLine="0" w:firstLineChars="0"/>
      <w:jc w:val="right"/>
      <w:outlineLvl w:val="9"/>
    </w:pPr>
  </w:style>
  <w:style w:type="character" w:customStyle="1" w:styleId="11">
    <w:name w:val="标题 2 Char"/>
    <w:link w:val="3"/>
    <w:uiPriority w:val="0"/>
    <w:rPr>
      <w:rFonts w:ascii="Times New Roman" w:hAnsi="Times New Roman" w:eastAsia="方正楷体_GBK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2026-04-27T08:42:00Z</dcterms:created>
  <dc:creator>TANQ</dc:creator>
  <cp:lastModifiedBy>TANQ</cp:lastModifiedBy>
  <cp:lastPrinted>2026-04-30T12:42:44Z</cp:lastPrinted>
  <dcterms:modified xsi:type="dcterms:W3CDTF">2026-04-30T12:42:47Z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7C4C42163D0B450D83F85C0DC65AB087_11</vt:lpwstr>
  </property>
</Properties>
</file>