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49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</w:p>
    <w:p w14:paraId="5EF0575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伽师县2026年1—6月份经济运行情况</w:t>
      </w:r>
    </w:p>
    <w:p w14:paraId="730EB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</w:p>
    <w:p w14:paraId="03387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经地区统一核算，地区生产总值（GDP）52.14亿元、同比增长5.2%。其中：</w:t>
      </w:r>
      <w:r>
        <w:rPr>
          <w:rFonts w:hint="default" w:ascii="Times New Roman" w:hAnsi="Times New Roman" w:cs="Times New Roman"/>
          <w:lang w:val="en-US" w:eastAsia="zh-CN"/>
        </w:rPr>
        <w:t>第一产业</w:t>
      </w:r>
      <w:r>
        <w:rPr>
          <w:rFonts w:hint="default" w:ascii="Times New Roman" w:hAnsi="Times New Roman" w:cs="Times New Roman"/>
          <w:lang w:val="en-US" w:eastAsia="zh-CN"/>
        </w:rPr>
        <w:t>增加值12.86亿元、同比增长2.7%，第二产业</w:t>
      </w:r>
      <w:r>
        <w:rPr>
          <w:rFonts w:hint="default" w:ascii="Times New Roman" w:hAnsi="Times New Roman" w:cs="Times New Roman"/>
          <w:lang w:val="en-US" w:eastAsia="zh-CN"/>
        </w:rPr>
        <w:t>增加值7.09亿元、同比增长8.4%，第三产业</w:t>
      </w:r>
      <w:r>
        <w:rPr>
          <w:rFonts w:hint="default" w:ascii="Times New Roman" w:hAnsi="Times New Roman" w:cs="Times New Roman"/>
          <w:lang w:val="en-US" w:eastAsia="zh-CN"/>
        </w:rPr>
        <w:t>增加值32.19亿元、同比增长5.5%，三次产业结构比为24.7：13.6：61.7。</w:t>
      </w:r>
    </w:p>
    <w:p w14:paraId="17D87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Style w:val="18"/>
          <w:rFonts w:hint="default" w:ascii="Times New Roman" w:hAnsi="Times New Roman" w:cs="Times New Roman"/>
          <w:lang w:val="en-US" w:eastAsia="zh-CN"/>
        </w:rPr>
        <w:t>（一）农业</w:t>
      </w:r>
      <w:r>
        <w:rPr>
          <w:rStyle w:val="18"/>
          <w:rFonts w:hint="default" w:ascii="Times New Roman" w:hAnsi="Times New Roman" w:cs="Times New Roman"/>
          <w:lang w:val="en-US" w:eastAsia="zh-CN"/>
        </w:rPr>
        <w:t>发展稳步增长</w:t>
      </w:r>
      <w:r>
        <w:rPr>
          <w:rStyle w:val="18"/>
          <w:rFonts w:hint="default" w:ascii="Times New Roman" w:hAnsi="Times New Roman" w:cs="Times New Roman"/>
          <w:lang w:val="en-US" w:eastAsia="zh-CN"/>
        </w:rPr>
        <w:t>。</w:t>
      </w:r>
      <w:r>
        <w:rPr>
          <w:rFonts w:hint="default" w:ascii="Times New Roman" w:hAnsi="Times New Roman" w:cs="Times New Roman"/>
          <w:lang w:val="en-US" w:eastAsia="zh-CN"/>
        </w:rPr>
        <w:t>农林牧渔总产值33.21亿元，同比增长3.6%。</w:t>
      </w:r>
    </w:p>
    <w:p w14:paraId="6C3D8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Style w:val="18"/>
          <w:rFonts w:hint="default" w:ascii="Times New Roman" w:hAnsi="Times New Roman" w:cs="Times New Roman"/>
          <w:lang w:val="en-US" w:eastAsia="zh-CN"/>
        </w:rPr>
        <w:t>（二）</w:t>
      </w:r>
      <w:r>
        <w:rPr>
          <w:rStyle w:val="18"/>
          <w:rFonts w:hint="default" w:ascii="Times New Roman" w:hAnsi="Times New Roman" w:cs="Times New Roman"/>
          <w:lang w:val="en-US" w:eastAsia="zh-CN"/>
        </w:rPr>
        <w:t>工业经济持续快速增长。</w:t>
      </w:r>
      <w:r>
        <w:rPr>
          <w:rFonts w:hint="default" w:ascii="Times New Roman" w:hAnsi="Times New Roman" w:cs="Times New Roman"/>
          <w:lang w:val="en-US" w:eastAsia="zh-CN"/>
        </w:rPr>
        <w:t>全口径</w:t>
      </w:r>
      <w:r>
        <w:rPr>
          <w:rFonts w:hint="default" w:ascii="Times New Roman" w:hAnsi="Times New Roman" w:cs="Times New Roman"/>
          <w:lang w:val="en-US" w:eastAsia="zh-CN"/>
        </w:rPr>
        <w:t>工业增加值3.69亿元、同比增长29.6%</w:t>
      </w:r>
      <w:r>
        <w:rPr>
          <w:rFonts w:hint="eastAsia" w:ascii="Times New Roman" w:hAnsi="Times New Roman" w:cs="Times New Roman"/>
          <w:lang w:val="en-US" w:eastAsia="zh-CN"/>
        </w:rPr>
        <w:t>。</w:t>
      </w:r>
      <w:r>
        <w:rPr>
          <w:rFonts w:hint="default" w:ascii="Times New Roman" w:hAnsi="Times New Roman" w:cs="Times New Roman"/>
          <w:lang w:val="en-US" w:eastAsia="zh-CN"/>
        </w:rPr>
        <w:t>其中</w:t>
      </w:r>
      <w:r>
        <w:rPr>
          <w:rFonts w:hint="eastAsia" w:ascii="Times New Roman" w:hAnsi="Times New Roman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规模以上工业</w:t>
      </w:r>
      <w:r>
        <w:rPr>
          <w:rFonts w:hint="default" w:ascii="Times New Roman" w:hAnsi="Times New Roman" w:cs="Times New Roman"/>
          <w:lang w:val="en-US" w:eastAsia="zh-CN"/>
        </w:rPr>
        <w:t>增加值2.29亿元，同比增长20.4%。</w:t>
      </w:r>
    </w:p>
    <w:p w14:paraId="478D7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Style w:val="18"/>
          <w:rFonts w:hint="default" w:ascii="Times New Roman" w:hAnsi="Times New Roman" w:cs="Times New Roman"/>
          <w:lang w:val="en-US" w:eastAsia="zh-CN"/>
        </w:rPr>
        <w:t>（三）固定资产投资</w:t>
      </w:r>
      <w:r>
        <w:rPr>
          <w:rStyle w:val="18"/>
          <w:rFonts w:hint="default" w:ascii="Times New Roman" w:hAnsi="Times New Roman" w:cs="Times New Roman"/>
          <w:lang w:val="en-US" w:eastAsia="zh-CN"/>
        </w:rPr>
        <w:t>承压下行</w:t>
      </w:r>
      <w:r>
        <w:rPr>
          <w:rStyle w:val="18"/>
          <w:rFonts w:hint="default" w:ascii="Times New Roman" w:hAnsi="Times New Roman" w:cs="Times New Roman"/>
          <w:lang w:val="en-US" w:eastAsia="zh-CN"/>
        </w:rPr>
        <w:t>。</w:t>
      </w:r>
      <w:r>
        <w:rPr>
          <w:rFonts w:hint="default" w:ascii="Times New Roman" w:hAnsi="Times New Roman" w:cs="Times New Roman"/>
          <w:lang w:val="en-US" w:eastAsia="zh-CN"/>
        </w:rPr>
        <w:t>固定资产投资20.34亿元、同比下降31.8%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2279E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Style w:val="18"/>
          <w:rFonts w:hint="default" w:ascii="Times New Roman" w:hAnsi="Times New Roman" w:cs="Times New Roman"/>
          <w:lang w:val="en-US" w:eastAsia="zh-CN"/>
        </w:rPr>
        <w:t>（四）消费</w:t>
      </w:r>
      <w:r>
        <w:rPr>
          <w:rStyle w:val="18"/>
          <w:rFonts w:hint="default" w:ascii="Times New Roman" w:hAnsi="Times New Roman" w:cs="Times New Roman"/>
          <w:lang w:val="en-US" w:eastAsia="zh-CN"/>
        </w:rPr>
        <w:t>市场内需活力持续释放</w:t>
      </w:r>
      <w:r>
        <w:rPr>
          <w:rStyle w:val="18"/>
          <w:rFonts w:hint="default" w:ascii="Times New Roman" w:hAnsi="Times New Roman" w:cs="Times New Roman"/>
          <w:lang w:val="en-US" w:eastAsia="zh-CN"/>
        </w:rPr>
        <w:t>。</w:t>
      </w:r>
      <w:r>
        <w:rPr>
          <w:rFonts w:hint="default" w:ascii="Times New Roman" w:hAnsi="Times New Roman" w:cs="Times New Roman"/>
          <w:lang w:val="en-US" w:eastAsia="zh-CN"/>
        </w:rPr>
        <w:t>全社会消费品零售总额7.02亿元、同比增长6.6%；其中，限额以上社会消费品零售总额1.84亿元、同比增长7.0%。</w:t>
      </w:r>
    </w:p>
    <w:p w14:paraId="18918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8"/>
          <w:rFonts w:hint="default" w:ascii="Times New Roman" w:hAnsi="Times New Roman" w:cs="Times New Roman"/>
          <w:lang w:val="en-US" w:eastAsia="zh-CN"/>
        </w:rPr>
        <w:t>（五）财政运行整体平稳。</w:t>
      </w:r>
      <w:r>
        <w:rPr>
          <w:rFonts w:hint="default" w:ascii="Times New Roman" w:hAnsi="Times New Roman" w:cs="Times New Roman"/>
          <w:lang w:val="en-US" w:eastAsia="zh-CN"/>
        </w:rPr>
        <w:t>一般公</w:t>
      </w: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>共预算收入5.9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>亿元、同比增长11.7%。</w:t>
      </w:r>
    </w:p>
    <w:sectPr>
      <w:footerReference r:id="rId5" w:type="default"/>
      <w:pgSz w:w="11906" w:h="16838"/>
      <w:pgMar w:top="1984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36"/>
      <w:cols w:space="0" w:num="1"/>
      <w:rtlGutter w:val="0"/>
      <w:docGrid w:type="lines" w:linePitch="43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64"/>
      </w:pPr>
      <w:r>
        <w:separator/>
      </w:r>
    </w:p>
  </w:endnote>
  <w:endnote w:type="continuationSeparator" w:id="1">
    <w:p>
      <w:pPr>
        <w:spacing w:line="240" w:lineRule="auto"/>
        <w:ind w:firstLine="66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46864">
    <w:pPr>
      <w:pStyle w:val="7"/>
      <w:tabs>
        <w:tab w:val="left" w:pos="3535"/>
        <w:tab w:val="clear" w:pos="4153"/>
      </w:tabs>
      <w:spacing w:line="240" w:lineRule="auto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64"/>
      </w:pPr>
      <w:r>
        <w:separator/>
      </w:r>
    </w:p>
  </w:footnote>
  <w:footnote w:type="continuationSeparator" w:id="1">
    <w:p>
      <w:pPr>
        <w:spacing w:line="240" w:lineRule="auto"/>
        <w:ind w:firstLine="66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21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755A0"/>
    <w:rsid w:val="000002F1"/>
    <w:rsid w:val="00995256"/>
    <w:rsid w:val="02B11C21"/>
    <w:rsid w:val="07E4110D"/>
    <w:rsid w:val="08DC6092"/>
    <w:rsid w:val="0A195C1F"/>
    <w:rsid w:val="0B4B5097"/>
    <w:rsid w:val="0C724D8F"/>
    <w:rsid w:val="0F5A5609"/>
    <w:rsid w:val="12DD5D64"/>
    <w:rsid w:val="13D47A34"/>
    <w:rsid w:val="189F0D29"/>
    <w:rsid w:val="20A3761E"/>
    <w:rsid w:val="2254540E"/>
    <w:rsid w:val="2A8658BD"/>
    <w:rsid w:val="2FE7618D"/>
    <w:rsid w:val="31C7326D"/>
    <w:rsid w:val="32F55380"/>
    <w:rsid w:val="35830CC7"/>
    <w:rsid w:val="360C0E1C"/>
    <w:rsid w:val="363357FB"/>
    <w:rsid w:val="3E20760D"/>
    <w:rsid w:val="40761561"/>
    <w:rsid w:val="459B5EB9"/>
    <w:rsid w:val="45F46696"/>
    <w:rsid w:val="461553B1"/>
    <w:rsid w:val="47926719"/>
    <w:rsid w:val="4C4133A1"/>
    <w:rsid w:val="526957F9"/>
    <w:rsid w:val="54103BF9"/>
    <w:rsid w:val="55E54A78"/>
    <w:rsid w:val="561C2556"/>
    <w:rsid w:val="579636E5"/>
    <w:rsid w:val="58AF16A4"/>
    <w:rsid w:val="5B2A353C"/>
    <w:rsid w:val="5B4755A0"/>
    <w:rsid w:val="635C3719"/>
    <w:rsid w:val="678B1E3E"/>
    <w:rsid w:val="6C78683D"/>
    <w:rsid w:val="6EC03BDC"/>
    <w:rsid w:val="6FFFEC40"/>
    <w:rsid w:val="701755BC"/>
    <w:rsid w:val="770B7532"/>
    <w:rsid w:val="774E1F2E"/>
    <w:rsid w:val="785677EC"/>
    <w:rsid w:val="79EC6C86"/>
    <w:rsid w:val="7CE02C9B"/>
    <w:rsid w:val="7D892E81"/>
    <w:rsid w:val="7E0E7C23"/>
    <w:rsid w:val="7F804E03"/>
    <w:rsid w:val="BDD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0" w:lineRule="exact"/>
      <w:ind w:firstLine="420" w:firstLineChars="200"/>
      <w:jc w:val="both"/>
    </w:pPr>
    <w:rPr>
      <w:rFonts w:ascii="Times New Roman" w:hAnsi="Times New Roman" w:eastAsia="方正仿宋_GBK" w:cs="Times New Roman"/>
      <w:spacing w:val="6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 w:val="0"/>
      <w:keepLines w:val="0"/>
      <w:spacing w:beforeLines="0" w:beforeAutospacing="0" w:afterLines="0" w:afterAutospacing="0" w:line="570" w:lineRule="exact"/>
      <w:jc w:val="left"/>
      <w:outlineLvl w:val="0"/>
    </w:pPr>
    <w:rPr>
      <w:rFonts w:eastAsia="方正黑体_GBK"/>
      <w:kern w:val="44"/>
      <w:sz w:val="32"/>
    </w:rPr>
  </w:style>
  <w:style w:type="paragraph" w:styleId="3">
    <w:name w:val="heading 2"/>
    <w:basedOn w:val="1"/>
    <w:next w:val="1"/>
    <w:link w:val="18"/>
    <w:unhideWhenUsed/>
    <w:qFormat/>
    <w:uiPriority w:val="0"/>
    <w:pPr>
      <w:keepNext w:val="0"/>
      <w:keepLines w:val="0"/>
      <w:spacing w:beforeLines="0" w:beforeAutospacing="0" w:afterLines="0" w:afterAutospacing="0" w:line="570" w:lineRule="exact"/>
      <w:outlineLvl w:val="2"/>
    </w:pPr>
    <w:rPr>
      <w:rFonts w:ascii="Times New Roman" w:hAnsi="Times New Roman" w:eastAsia="方正楷体_GBK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70" w:lineRule="exact"/>
      <w:outlineLvl w:val="2"/>
    </w:pPr>
    <w:rPr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70" w:lineRule="exact"/>
      <w:outlineLvl w:val="4"/>
    </w:pPr>
    <w:rPr>
      <w:rFonts w:ascii="Times New Roman" w:hAnsi="Times New Roman" w:eastAsia="方正仿宋_GBK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1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2"/>
    <w:qFormat/>
    <w:uiPriority w:val="0"/>
    <w:rPr>
      <w:vertAlign w:val="superscript"/>
    </w:rPr>
  </w:style>
  <w:style w:type="paragraph" w:customStyle="1" w:styleId="14">
    <w:name w:val="大标题"/>
    <w:basedOn w:val="1"/>
    <w:next w:val="1"/>
    <w:link w:val="20"/>
    <w:qFormat/>
    <w:uiPriority w:val="0"/>
    <w:pPr>
      <w:spacing w:beforeLines="0" w:afterLines="0"/>
      <w:ind w:firstLine="0" w:firstLineChars="0"/>
      <w:jc w:val="center"/>
      <w:outlineLvl w:val="0"/>
    </w:pPr>
    <w:rPr>
      <w:rFonts w:eastAsia="方正小标宋_GBK"/>
      <w:sz w:val="44"/>
    </w:rPr>
  </w:style>
  <w:style w:type="paragraph" w:customStyle="1" w:styleId="15">
    <w:name w:val="题头"/>
    <w:basedOn w:val="1"/>
    <w:next w:val="1"/>
    <w:qFormat/>
    <w:uiPriority w:val="0"/>
    <w:pPr>
      <w:ind w:firstLine="0" w:firstLineChars="0"/>
      <w:jc w:val="center"/>
    </w:pPr>
    <w:rPr>
      <w:rFonts w:ascii="Times New Roman" w:hAnsi="Times New Roman" w:eastAsia="方正楷体_GBK"/>
      <w:b/>
      <w:szCs w:val="24"/>
    </w:rPr>
  </w:style>
  <w:style w:type="paragraph" w:customStyle="1" w:styleId="16">
    <w:name w:val="落款"/>
    <w:basedOn w:val="1"/>
    <w:next w:val="1"/>
    <w:qFormat/>
    <w:uiPriority w:val="0"/>
    <w:pPr>
      <w:spacing w:beforeLines="0" w:afterLines="0"/>
      <w:ind w:firstLine="0" w:firstLineChars="0"/>
      <w:jc w:val="right"/>
      <w:outlineLvl w:val="9"/>
    </w:pPr>
  </w:style>
  <w:style w:type="character" w:customStyle="1" w:styleId="17">
    <w:name w:val="标题 1 Char"/>
    <w:link w:val="2"/>
    <w:qFormat/>
    <w:uiPriority w:val="0"/>
    <w:rPr>
      <w:rFonts w:eastAsia="方正黑体_GBK"/>
      <w:kern w:val="44"/>
      <w:sz w:val="32"/>
    </w:rPr>
  </w:style>
  <w:style w:type="character" w:customStyle="1" w:styleId="18">
    <w:name w:val="标题 2 Char"/>
    <w:link w:val="3"/>
    <w:qFormat/>
    <w:uiPriority w:val="0"/>
    <w:rPr>
      <w:rFonts w:ascii="Times New Roman" w:hAnsi="Times New Roman" w:eastAsia="方正楷体_GBK"/>
      <w:b/>
    </w:rPr>
  </w:style>
  <w:style w:type="character" w:customStyle="1" w:styleId="19">
    <w:name w:val="font11"/>
    <w:qFormat/>
    <w:uiPriority w:val="0"/>
    <w:rPr>
      <w:rFonts w:ascii="方正楷体_GBK" w:hAnsi="方正楷体_GBK" w:eastAsia="方正楷体_GBK" w:cs="方正楷体_GBK"/>
      <w:color w:val="000000"/>
      <w:sz w:val="22"/>
      <w:szCs w:val="22"/>
      <w:u w:val="none"/>
    </w:rPr>
  </w:style>
  <w:style w:type="character" w:customStyle="1" w:styleId="20">
    <w:name w:val="大标题 Char"/>
    <w:link w:val="14"/>
    <w:qFormat/>
    <w:uiPriority w:val="0"/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2026-07-19T21:19:00Z</dcterms:created>
  <dc:creator>TANQ</dc:creator>
  <cp:lastModifiedBy>Administrator</cp:lastModifiedBy>
  <cp:lastPrinted>2026-07-21T13:29:14Z</cp:lastPrinted>
  <dcterms:modified xsi:type="dcterms:W3CDTF">2026-07-21T13:47:12Z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0AF7A6A95D434E2FA6E0A2DD70CF192C_11</vt:lpwstr>
  </property>
</Properties>
</file>