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方正小标宋_GBK" w:hAnsi="方正小标宋_GBK" w:eastAsia="方正小标宋_GBK" w:cs="方正小标宋_GBK"/>
          <w:b w:val="0"/>
          <w:bCs w:val="0"/>
          <w:color w:val="auto"/>
          <w:sz w:val="40"/>
          <w:szCs w:val="40"/>
          <w:highlight w:val="none"/>
          <w:lang w:val="en-US" w:eastAsia="zh-CN"/>
        </w:rPr>
      </w:pPr>
      <w:bookmarkStart w:id="0" w:name="_Toc28254"/>
      <w:bookmarkStart w:id="1" w:name="_Toc316"/>
      <w:bookmarkStart w:id="2" w:name="_Toc21564"/>
    </w:p>
    <w:p>
      <w:pPr>
        <w:jc w:val="center"/>
        <w:outlineLvl w:val="0"/>
        <w:rPr>
          <w:rFonts w:hint="eastAsia" w:ascii="方正小标宋_GBK" w:hAnsi="方正小标宋_GBK" w:eastAsia="方正小标宋_GBK" w:cs="方正小标宋_GBK"/>
          <w:b w:val="0"/>
          <w:bCs w:val="0"/>
          <w:color w:val="auto"/>
          <w:sz w:val="40"/>
          <w:szCs w:val="40"/>
          <w:highlight w:val="none"/>
          <w:lang w:val="en-US" w:eastAsia="zh-CN"/>
        </w:rPr>
      </w:pPr>
    </w:p>
    <w:p>
      <w:pPr>
        <w:jc w:val="center"/>
        <w:outlineLvl w:val="0"/>
        <w:rPr>
          <w:rFonts w:hint="eastAsia" w:ascii="方正小标宋_GBK" w:hAnsi="方正小标宋_GBK" w:eastAsia="方正小标宋_GBK" w:cs="方正小标宋_GBK"/>
          <w:b w:val="0"/>
          <w:bCs w:val="0"/>
          <w:color w:val="auto"/>
          <w:sz w:val="40"/>
          <w:szCs w:val="40"/>
          <w:highlight w:val="none"/>
          <w:lang w:val="en-US" w:eastAsia="zh-CN"/>
        </w:rPr>
      </w:pPr>
      <w:r>
        <w:rPr>
          <w:rFonts w:hint="eastAsia" w:ascii="方正小标宋_GBK" w:hAnsi="方正小标宋_GBK" w:eastAsia="方正小标宋_GBK" w:cs="方正小标宋_GBK"/>
          <w:b w:val="0"/>
          <w:bCs w:val="0"/>
          <w:color w:val="auto"/>
          <w:sz w:val="40"/>
          <w:szCs w:val="40"/>
          <w:highlight w:val="none"/>
          <w:lang w:val="en-US" w:eastAsia="zh-CN"/>
        </w:rPr>
        <w:t>喀什地区伽师县2022年度</w:t>
      </w:r>
      <w:bookmarkEnd w:id="0"/>
      <w:bookmarkEnd w:id="1"/>
      <w:bookmarkEnd w:id="2"/>
    </w:p>
    <w:p>
      <w:pPr>
        <w:jc w:val="center"/>
        <w:outlineLvl w:val="0"/>
        <w:rPr>
          <w:rFonts w:hint="eastAsia" w:ascii="方正小标宋_GBK" w:hAnsi="方正小标宋_GBK" w:eastAsia="方正小标宋_GBK" w:cs="方正小标宋_GBK"/>
          <w:b w:val="0"/>
          <w:bCs w:val="0"/>
          <w:color w:val="auto"/>
          <w:sz w:val="40"/>
          <w:szCs w:val="40"/>
          <w:highlight w:val="none"/>
          <w:lang w:val="en-US" w:eastAsia="zh-CN"/>
        </w:rPr>
      </w:pPr>
      <w:bookmarkStart w:id="3" w:name="_Toc3248"/>
      <w:bookmarkStart w:id="4" w:name="_Toc11933"/>
      <w:bookmarkStart w:id="5" w:name="_Toc12483"/>
      <w:r>
        <w:rPr>
          <w:rFonts w:hint="eastAsia" w:ascii="方正小标宋_GBK" w:hAnsi="方正小标宋_GBK" w:eastAsia="方正小标宋_GBK" w:cs="方正小标宋_GBK"/>
          <w:b w:val="0"/>
          <w:bCs w:val="0"/>
          <w:color w:val="auto"/>
          <w:sz w:val="40"/>
          <w:szCs w:val="40"/>
          <w:highlight w:val="none"/>
          <w:lang w:val="en-US" w:eastAsia="zh-CN"/>
        </w:rPr>
        <w:t>部门整体绩效评价报告</w:t>
      </w:r>
      <w:bookmarkEnd w:id="3"/>
      <w:bookmarkEnd w:id="4"/>
      <w:bookmarkEnd w:id="5"/>
    </w:p>
    <w:p>
      <w:pPr>
        <w:jc w:val="both"/>
        <w:rPr>
          <w:rFonts w:hint="default" w:ascii="Times New Roman" w:hAnsi="Times New Roman" w:eastAsia="方正小标宋_GBK" w:cs="Times New Roman"/>
          <w:b/>
          <w:bCs/>
          <w:color w:val="auto"/>
          <w:sz w:val="48"/>
          <w:szCs w:val="48"/>
          <w:highlight w:val="none"/>
          <w:lang w:val="en-US" w:eastAsia="zh-CN"/>
        </w:rPr>
      </w:pPr>
    </w:p>
    <w:p>
      <w:pPr>
        <w:jc w:val="both"/>
        <w:rPr>
          <w:rFonts w:hint="default" w:ascii="Times New Roman" w:hAnsi="Times New Roman" w:eastAsia="方正小标宋_GBK" w:cs="Times New Roman"/>
          <w:b/>
          <w:bCs/>
          <w:color w:val="auto"/>
          <w:sz w:val="48"/>
          <w:szCs w:val="48"/>
          <w:highlight w:val="none"/>
          <w:lang w:val="en-US" w:eastAsia="zh-CN"/>
        </w:rPr>
      </w:pPr>
    </w:p>
    <w:p>
      <w:pPr>
        <w:jc w:val="both"/>
        <w:rPr>
          <w:rFonts w:hint="default" w:ascii="Times New Roman" w:hAnsi="Times New Roman" w:eastAsia="方正小标宋_GBK" w:cs="Times New Roman"/>
          <w:b/>
          <w:bCs/>
          <w:color w:val="auto"/>
          <w:sz w:val="48"/>
          <w:szCs w:val="48"/>
          <w:highlight w:val="none"/>
          <w:lang w:val="en-US" w:eastAsia="zh-CN"/>
        </w:rPr>
      </w:pPr>
    </w:p>
    <w:p>
      <w:pPr>
        <w:jc w:val="both"/>
        <w:rPr>
          <w:rFonts w:hint="default" w:ascii="Times New Roman" w:hAnsi="Times New Roman" w:eastAsia="方正小标宋_GBK" w:cs="Times New Roman"/>
          <w:b/>
          <w:bCs/>
          <w:color w:val="auto"/>
          <w:sz w:val="48"/>
          <w:szCs w:val="4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2236" w:leftChars="600" w:hanging="976" w:hangingChars="305"/>
        <w:jc w:val="left"/>
        <w:textAlignment w:val="auto"/>
        <w:outlineLvl w:val="9"/>
        <w:rPr>
          <w:rFonts w:hint="default" w:ascii="Times New Roman" w:hAnsi="Times New Roman" w:eastAsia="黑体" w:cs="Times New Roman"/>
          <w:b w:val="0"/>
          <w:bCs w:val="0"/>
          <w:color w:val="auto"/>
          <w:sz w:val="32"/>
          <w:szCs w:val="32"/>
          <w:highlight w:val="none"/>
          <w:lang w:val="en-US" w:eastAsia="zh-CN"/>
        </w:rPr>
      </w:pPr>
      <w:r>
        <w:rPr>
          <w:rFonts w:hint="eastAsia" w:ascii="Times New Roman" w:hAnsi="Times New Roman" w:eastAsia="黑体" w:cs="Times New Roman"/>
          <w:b w:val="0"/>
          <w:bCs w:val="0"/>
          <w:color w:val="auto"/>
          <w:sz w:val="32"/>
          <w:szCs w:val="32"/>
          <w:highlight w:val="none"/>
          <w:lang w:val="en-US" w:eastAsia="zh-CN"/>
        </w:rPr>
        <w:t>部门</w:t>
      </w:r>
      <w:r>
        <w:rPr>
          <w:rFonts w:hint="default" w:ascii="Times New Roman" w:hAnsi="Times New Roman" w:eastAsia="黑体" w:cs="Times New Roman"/>
          <w:b w:val="0"/>
          <w:bCs w:val="0"/>
          <w:color w:val="auto"/>
          <w:sz w:val="32"/>
          <w:szCs w:val="32"/>
          <w:highlight w:val="none"/>
          <w:lang w:val="en-US" w:eastAsia="zh-CN"/>
        </w:rPr>
        <w:t>名称：</w:t>
      </w:r>
      <w:r>
        <w:rPr>
          <w:rFonts w:hint="eastAsia" w:ascii="黑体" w:hAnsi="黑体" w:eastAsia="黑体" w:cs="黑体"/>
          <w:color w:val="auto"/>
          <w:spacing w:val="13"/>
          <w:sz w:val="32"/>
          <w:szCs w:val="32"/>
          <w:highlight w:val="none"/>
          <w:lang w:val="en-US" w:eastAsia="zh-CN"/>
        </w:rPr>
        <w:t>伽师县市场监督管理局</w:t>
      </w:r>
    </w:p>
    <w:p>
      <w:pPr>
        <w:snapToGrid/>
        <w:spacing w:before="120" w:beforeAutospacing="0" w:after="120" w:afterAutospacing="0" w:line="360" w:lineRule="auto"/>
        <w:ind w:left="2236" w:leftChars="600" w:hanging="976" w:hangingChars="305"/>
        <w:jc w:val="left"/>
        <w:textAlignment w:val="baseline"/>
        <w:rPr>
          <w:rStyle w:val="21"/>
          <w:rFonts w:hint="default" w:ascii="Times New Roman" w:hAnsi="Times New Roman" w:eastAsia="黑体" w:cs="Times New Roman"/>
          <w:b w:val="0"/>
          <w:i w:val="0"/>
          <w:caps w:val="0"/>
          <w:color w:val="auto"/>
          <w:spacing w:val="0"/>
          <w:w w:val="100"/>
          <w:kern w:val="0"/>
          <w:sz w:val="32"/>
          <w:szCs w:val="32"/>
          <w:highlight w:val="none"/>
          <w:lang w:val="en-US" w:eastAsia="zh-CN" w:bidi="en-US"/>
        </w:rPr>
      </w:pPr>
      <w:r>
        <w:rPr>
          <w:rStyle w:val="21"/>
          <w:rFonts w:hint="default" w:ascii="Times New Roman" w:hAnsi="Times New Roman" w:eastAsia="黑体" w:cs="Times New Roman"/>
          <w:b w:val="0"/>
          <w:i w:val="0"/>
          <w:caps w:val="0"/>
          <w:color w:val="auto"/>
          <w:spacing w:val="0"/>
          <w:w w:val="100"/>
          <w:kern w:val="0"/>
          <w:sz w:val="32"/>
          <w:szCs w:val="32"/>
          <w:highlight w:val="none"/>
          <w:lang w:val="en-US" w:eastAsia="zh-CN" w:bidi="en-US"/>
        </w:rPr>
        <w:t>委托单位：</w:t>
      </w:r>
      <w:r>
        <w:rPr>
          <w:rStyle w:val="21"/>
          <w:rFonts w:hint="eastAsia" w:ascii="Times New Roman" w:hAnsi="Times New Roman" w:eastAsia="黑体" w:cs="Times New Roman"/>
          <w:b w:val="0"/>
          <w:i w:val="0"/>
          <w:caps w:val="0"/>
          <w:color w:val="auto"/>
          <w:spacing w:val="0"/>
          <w:w w:val="100"/>
          <w:kern w:val="0"/>
          <w:sz w:val="32"/>
          <w:szCs w:val="32"/>
          <w:highlight w:val="none"/>
          <w:lang w:val="en-US" w:eastAsia="zh-CN" w:bidi="en-US"/>
        </w:rPr>
        <w:t>伽师县财政局</w:t>
      </w:r>
    </w:p>
    <w:p>
      <w:pPr>
        <w:ind w:left="2236" w:leftChars="600" w:hanging="976" w:hangingChars="305"/>
        <w:jc w:val="left"/>
        <w:rPr>
          <w:rFonts w:hint="eastAsia" w:ascii="Times New Roman" w:hAnsi="Times New Roman" w:eastAsia="黑体" w:cs="Times New Roman"/>
          <w:b w:val="0"/>
          <w:bCs w:val="0"/>
          <w:color w:val="auto"/>
          <w:sz w:val="32"/>
          <w:szCs w:val="32"/>
          <w:highlight w:val="none"/>
          <w:lang w:val="en-US" w:eastAsia="zh-CN"/>
        </w:rPr>
      </w:pPr>
      <w:r>
        <w:rPr>
          <w:rFonts w:hint="default" w:ascii="Times New Roman" w:hAnsi="Times New Roman" w:eastAsia="黑体" w:cs="Times New Roman"/>
          <w:b w:val="0"/>
          <w:bCs w:val="0"/>
          <w:color w:val="auto"/>
          <w:sz w:val="32"/>
          <w:szCs w:val="32"/>
          <w:highlight w:val="none"/>
          <w:lang w:val="en-US" w:eastAsia="zh-CN"/>
        </w:rPr>
        <w:t>评价机构：</w:t>
      </w:r>
      <w:r>
        <w:rPr>
          <w:rFonts w:hint="eastAsia" w:ascii="Times New Roman" w:hAnsi="Times New Roman" w:eastAsia="黑体" w:cs="Times New Roman"/>
          <w:b w:val="0"/>
          <w:bCs w:val="0"/>
          <w:color w:val="auto"/>
          <w:sz w:val="32"/>
          <w:szCs w:val="32"/>
          <w:highlight w:val="none"/>
          <w:lang w:val="en-US" w:eastAsia="zh-CN"/>
        </w:rPr>
        <w:t>新疆永信中正项目管理咨询有限公司</w:t>
      </w:r>
    </w:p>
    <w:p>
      <w:pPr>
        <w:ind w:left="2236" w:leftChars="600" w:hanging="976" w:hangingChars="305"/>
        <w:jc w:val="left"/>
        <w:rPr>
          <w:rFonts w:hint="default"/>
          <w:color w:val="auto"/>
          <w:lang w:val="en-US" w:eastAsia="zh-CN"/>
        </w:rPr>
      </w:pPr>
      <w:r>
        <w:rPr>
          <w:rFonts w:hint="eastAsia" w:ascii="Times New Roman" w:hAnsi="Times New Roman" w:eastAsia="黑体" w:cs="Times New Roman"/>
          <w:b w:val="0"/>
          <w:bCs w:val="0"/>
          <w:color w:val="auto"/>
          <w:sz w:val="32"/>
          <w:szCs w:val="32"/>
          <w:highlight w:val="none"/>
          <w:lang w:val="en-US" w:eastAsia="zh-CN"/>
        </w:rPr>
        <w:t>主评人：邹燕</w:t>
      </w:r>
    </w:p>
    <w:p>
      <w:pPr>
        <w:ind w:firstLine="1890" w:firstLineChars="900"/>
        <w:jc w:val="left"/>
        <w:rPr>
          <w:color w:val="FF0000"/>
        </w:rPr>
      </w:pPr>
    </w:p>
    <w:p>
      <w:pPr>
        <w:ind w:firstLine="1890" w:firstLineChars="900"/>
        <w:jc w:val="left"/>
        <w:rPr>
          <w:color w:val="FF0000"/>
        </w:rPr>
      </w:pPr>
    </w:p>
    <w:p>
      <w:pPr>
        <w:ind w:firstLine="1890" w:firstLineChars="900"/>
        <w:jc w:val="left"/>
        <w:rPr>
          <w:color w:val="FF0000"/>
        </w:rPr>
      </w:pPr>
    </w:p>
    <w:p>
      <w:pPr>
        <w:ind w:firstLine="1890" w:firstLineChars="900"/>
        <w:jc w:val="both"/>
        <w:rPr>
          <w:color w:val="FF0000"/>
        </w:rPr>
      </w:pPr>
      <w:r>
        <w:rPr>
          <w:rFonts w:hint="eastAsia"/>
          <w:color w:val="FF0000"/>
          <w:lang w:val="en-US" w:eastAsia="zh-CN"/>
        </w:rPr>
        <w:t xml:space="preserve">         </w:t>
      </w:r>
      <w:r>
        <w:rPr>
          <w:color w:val="FF0000"/>
        </w:rPr>
        <w:drawing>
          <wp:inline distT="0" distB="0" distL="114300" distR="114300">
            <wp:extent cx="1678305" cy="1394460"/>
            <wp:effectExtent l="0" t="0" r="17145"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1678305" cy="1394460"/>
                    </a:xfrm>
                    <a:prstGeom prst="rect">
                      <a:avLst/>
                    </a:prstGeom>
                    <a:noFill/>
                    <a:ln>
                      <a:noFill/>
                    </a:ln>
                  </pic:spPr>
                </pic:pic>
              </a:graphicData>
            </a:graphic>
          </wp:inline>
        </w:drawing>
      </w:r>
    </w:p>
    <w:p>
      <w:pPr>
        <w:ind w:firstLine="2880" w:firstLineChars="900"/>
        <w:jc w:val="left"/>
        <w:rPr>
          <w:rFonts w:hint="eastAsia" w:ascii="方正黑体_GBK" w:hAnsi="方正黑体_GBK" w:eastAsia="方正黑体_GBK" w:cs="方正黑体_GBK"/>
          <w:b w:val="0"/>
          <w:bCs w:val="0"/>
          <w:color w:val="auto"/>
          <w:sz w:val="32"/>
          <w:szCs w:val="32"/>
          <w:highlight w:val="none"/>
          <w:lang w:val="en-US" w:eastAsia="zh-CN"/>
        </w:rPr>
      </w:pPr>
    </w:p>
    <w:p>
      <w:pPr>
        <w:ind w:firstLine="2880" w:firstLineChars="900"/>
        <w:jc w:val="left"/>
        <w:rPr>
          <w:rFonts w:hint="eastAsia" w:ascii="方正黑体_GBK" w:hAnsi="方正黑体_GBK" w:eastAsia="方正黑体_GBK" w:cs="方正黑体_GBK"/>
          <w:b w:val="0"/>
          <w:bCs w:val="0"/>
          <w:color w:val="auto"/>
          <w:sz w:val="32"/>
          <w:szCs w:val="32"/>
          <w:highlight w:val="none"/>
          <w:lang w:val="en-US" w:eastAsia="zh-CN"/>
        </w:rPr>
      </w:pPr>
    </w:p>
    <w:p>
      <w:pPr>
        <w:ind w:firstLine="3520" w:firstLineChars="1100"/>
        <w:jc w:val="left"/>
        <w:rPr>
          <w:rFonts w:hint="eastAsia" w:ascii="方正黑体_GBK" w:hAnsi="方正黑体_GBK" w:eastAsia="方正黑体_GBK" w:cs="方正黑体_GBK"/>
          <w:b w:val="0"/>
          <w:bCs w:val="0"/>
          <w:color w:val="auto"/>
          <w:sz w:val="32"/>
          <w:szCs w:val="32"/>
          <w:highlight w:val="none"/>
          <w:lang w:val="en-US" w:eastAsia="zh-CN"/>
        </w:rPr>
      </w:pPr>
      <w:bookmarkStart w:id="124" w:name="_GoBack"/>
      <w:bookmarkEnd w:id="124"/>
      <w:r>
        <w:rPr>
          <w:rFonts w:hint="eastAsia" w:ascii="方正黑体_GBK" w:hAnsi="方正黑体_GBK" w:eastAsia="方正黑体_GBK" w:cs="方正黑体_GBK"/>
          <w:b w:val="0"/>
          <w:bCs w:val="0"/>
          <w:color w:val="auto"/>
          <w:sz w:val="32"/>
          <w:szCs w:val="32"/>
          <w:highlight w:val="none"/>
          <w:lang w:val="en-US" w:eastAsia="zh-CN"/>
        </w:rPr>
        <w:t>2023年7月</w:t>
      </w:r>
    </w:p>
    <w:p>
      <w:pPr>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br w:type="page"/>
      </w:r>
    </w:p>
    <w:p>
      <w:pPr>
        <w:pStyle w:val="2"/>
        <w:rPr>
          <w:rFonts w:hint="eastAsia"/>
          <w:lang w:val="en-US" w:eastAsia="zh-CN"/>
        </w:rPr>
        <w:sectPr>
          <w:pgSz w:w="11906" w:h="16838"/>
          <w:pgMar w:top="1440" w:right="1800" w:bottom="1440" w:left="1800" w:header="851" w:footer="992" w:gutter="0"/>
          <w:pgNumType w:fmt="numberInDash"/>
          <w:cols w:space="720" w:num="1"/>
          <w:docGrid w:type="lines" w:linePitch="312" w:charSpace="0"/>
        </w:sectPr>
      </w:pPr>
    </w:p>
    <w:p>
      <w:pPr>
        <w:pStyle w:val="8"/>
        <w:tabs>
          <w:tab w:val="right" w:leader="dot" w:pos="8312"/>
        </w:tabs>
        <w:spacing w:line="560" w:lineRule="exact"/>
        <w:jc w:val="center"/>
        <w:outlineLvl w:val="0"/>
        <w:rPr>
          <w:rFonts w:hint="eastAsia" w:ascii="方正小标宋_GBK" w:hAnsi="方正小标宋_GBK" w:eastAsia="方正小标宋_GBK" w:cs="方正小标宋_GBK"/>
          <w:bCs/>
          <w:sz w:val="40"/>
          <w:szCs w:val="40"/>
        </w:rPr>
      </w:pPr>
      <w:bookmarkStart w:id="6" w:name="_Toc3830"/>
      <w:bookmarkStart w:id="7" w:name="_Toc277"/>
      <w:r>
        <w:rPr>
          <w:rFonts w:hint="eastAsia" w:ascii="方正小标宋_GBK" w:hAnsi="方正小标宋_GBK" w:eastAsia="方正小标宋_GBK" w:cs="方正小标宋_GBK"/>
          <w:bCs/>
          <w:sz w:val="40"/>
          <w:szCs w:val="40"/>
        </w:rPr>
        <w:t>摘要</w:t>
      </w:r>
      <w:bookmarkEnd w:id="6"/>
      <w:bookmarkEnd w:id="7"/>
    </w:p>
    <w:p>
      <w:pPr>
        <w:spacing w:line="560" w:lineRule="exact"/>
        <w:ind w:firstLine="640" w:firstLineChars="200"/>
        <w:outlineLvl w:val="0"/>
        <w:rPr>
          <w:rFonts w:ascii="黑体" w:hAnsi="黑体" w:eastAsia="黑体"/>
          <w:sz w:val="32"/>
          <w:szCs w:val="32"/>
          <w:highlight w:val="none"/>
        </w:rPr>
      </w:pPr>
      <w:bookmarkStart w:id="8" w:name="_Toc21520"/>
      <w:bookmarkStart w:id="9" w:name="_Toc21198"/>
      <w:bookmarkStart w:id="10" w:name="_Toc9157"/>
      <w:r>
        <w:rPr>
          <w:rFonts w:hint="eastAsia" w:ascii="方正黑体_GBK" w:hAnsi="方正黑体_GBK" w:eastAsia="方正黑体_GBK" w:cs="方正黑体_GBK"/>
          <w:sz w:val="32"/>
          <w:szCs w:val="32"/>
        </w:rPr>
        <w:t>一、部门概况</w:t>
      </w:r>
      <w:bookmarkEnd w:id="8"/>
      <w:bookmarkEnd w:id="9"/>
      <w:bookmarkEnd w:id="10"/>
    </w:p>
    <w:p>
      <w:pPr>
        <w:keepNext w:val="0"/>
        <w:keepLines w:val="0"/>
        <w:pageBreakBefore w:val="0"/>
        <w:widowControl w:val="0"/>
        <w:kinsoku/>
        <w:wordWrap/>
        <w:overflowPunct/>
        <w:topLinePunct w:val="0"/>
        <w:autoSpaceDE/>
        <w:autoSpaceDN/>
        <w:bidi w:val="0"/>
        <w:adjustRightInd/>
        <w:spacing w:line="570" w:lineRule="exact"/>
        <w:ind w:firstLine="664" w:firstLineChars="200"/>
        <w:textAlignment w:val="auto"/>
        <w:rPr>
          <w:rFonts w:hint="eastAsia" w:ascii="方正仿宋_GBK" w:hAnsi="方正仿宋_GBK" w:eastAsia="方正仿宋_GBK" w:cs="方正仿宋_GBK"/>
          <w:color w:val="auto"/>
          <w:sz w:val="32"/>
          <w:szCs w:val="32"/>
          <w:highlight w:val="none"/>
        </w:rPr>
      </w:pPr>
      <w:r>
        <w:rPr>
          <w:rStyle w:val="13"/>
          <w:rFonts w:hint="eastAsia" w:ascii="方正仿宋_GBK" w:hAnsi="方正仿宋_GBK" w:eastAsia="方正仿宋_GBK" w:cs="方正仿宋_GBK"/>
          <w:b w:val="0"/>
          <w:color w:val="auto"/>
          <w:spacing w:val="6"/>
          <w:kern w:val="2"/>
          <w:sz w:val="32"/>
          <w:szCs w:val="32"/>
          <w:highlight w:val="none"/>
          <w:lang w:val="en-US" w:eastAsia="zh-CN"/>
        </w:rPr>
        <w:t>本次评价对象为伽师县市场监督管理局，</w:t>
      </w: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（以下简称“该</w:t>
      </w:r>
      <w:r>
        <w:rPr>
          <w:rFonts w:hint="eastAsia" w:ascii="方正仿宋_GBK" w:hAnsi="方正仿宋_GBK" w:eastAsia="方正仿宋_GBK" w:cs="方正仿宋_GBK"/>
          <w:color w:val="000000" w:themeColor="text1"/>
          <w:sz w:val="32"/>
          <w:szCs w:val="32"/>
          <w:highlight w:val="none"/>
          <w:lang w:eastAsia="zh-CN"/>
          <w14:textFill>
            <w14:solidFill>
              <w14:schemeClr w14:val="tx1"/>
            </w14:solidFill>
          </w14:textFill>
        </w:rPr>
        <w:t>局</w:t>
      </w: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”或“</w:t>
      </w:r>
      <w:r>
        <w:rPr>
          <w:rFonts w:hint="eastAsia" w:ascii="方正仿宋_GBK" w:hAnsi="方正仿宋_GBK" w:eastAsia="方正仿宋_GBK" w:cs="方正仿宋_GBK"/>
          <w:color w:val="000000" w:themeColor="text1"/>
          <w:sz w:val="32"/>
          <w:szCs w:val="32"/>
          <w:highlight w:val="none"/>
          <w:lang w:eastAsia="zh-CN"/>
          <w14:textFill>
            <w14:solidFill>
              <w14:schemeClr w14:val="tx1"/>
            </w14:solidFill>
          </w14:textFill>
        </w:rPr>
        <w:t>市监局</w:t>
      </w: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w:t>
      </w:r>
      <w:r>
        <w:rPr>
          <w:rFonts w:hint="eastAsia" w:ascii="方正仿宋_GBK" w:hAnsi="方正仿宋_GBK" w:eastAsia="方正仿宋_GBK" w:cs="方正仿宋_GBK"/>
          <w:color w:val="000000" w:themeColor="text1"/>
          <w:sz w:val="32"/>
          <w:szCs w:val="32"/>
          <w:highlight w:val="none"/>
          <w:lang w:eastAsia="zh-CN"/>
          <w14:textFill>
            <w14:solidFill>
              <w14:schemeClr w14:val="tx1"/>
            </w14:solidFill>
          </w14:textFill>
        </w:rPr>
        <w:t>。</w:t>
      </w:r>
    </w:p>
    <w:p>
      <w:pPr>
        <w:pStyle w:val="17"/>
        <w:keepNext w:val="0"/>
        <w:keepLines w:val="0"/>
        <w:pageBreakBefore w:val="0"/>
        <w:widowControl w:val="0"/>
        <w:kinsoku/>
        <w:wordWrap/>
        <w:overflowPunct/>
        <w:topLinePunct w:val="0"/>
        <w:autoSpaceDE/>
        <w:autoSpaceDN/>
        <w:bidi w:val="0"/>
        <w:adjustRightInd/>
        <w:snapToGrid w:val="0"/>
        <w:spacing w:line="570" w:lineRule="exact"/>
        <w:ind w:firstLine="640"/>
        <w:jc w:val="both"/>
        <w:textAlignment w:val="auto"/>
        <w:rPr>
          <w:rStyle w:val="13"/>
          <w:rFonts w:hint="eastAsia" w:ascii="方正仿宋_GBK" w:hAnsi="方正仿宋_GBK" w:eastAsia="方正仿宋_GBK" w:cs="方正仿宋_GBK"/>
          <w:b w:val="0"/>
          <w:color w:val="auto"/>
          <w:spacing w:val="6"/>
          <w:kern w:val="2"/>
          <w:sz w:val="32"/>
          <w:szCs w:val="32"/>
          <w:lang w:val="en-US" w:eastAsia="zh-CN"/>
        </w:rPr>
      </w:pPr>
      <w:r>
        <w:rPr>
          <w:rFonts w:hint="eastAsia" w:ascii="方正仿宋_GBK" w:hAnsi="方正仿宋_GBK" w:eastAsia="方正仿宋_GBK" w:cs="方正仿宋_GBK"/>
          <w:color w:val="000000" w:themeColor="text1"/>
          <w:sz w:val="32"/>
          <w:szCs w:val="32"/>
          <w:highlight w:val="none"/>
          <w:lang w:eastAsia="zh-CN"/>
          <w14:textFill>
            <w14:solidFill>
              <w14:schemeClr w14:val="tx1"/>
            </w14:solidFill>
          </w14:textFill>
        </w:rPr>
        <w:t>市监局</w:t>
      </w:r>
      <w:r>
        <w:rPr>
          <w:rStyle w:val="13"/>
          <w:rFonts w:hint="eastAsia" w:ascii="方正仿宋_GBK" w:hAnsi="方正仿宋_GBK" w:eastAsia="方正仿宋_GBK" w:cs="方正仿宋_GBK"/>
          <w:b w:val="0"/>
          <w:color w:val="auto"/>
          <w:spacing w:val="6"/>
          <w:kern w:val="2"/>
          <w:sz w:val="32"/>
          <w:szCs w:val="32"/>
          <w:highlight w:val="none"/>
          <w:lang w:val="en-US" w:eastAsia="zh-CN"/>
        </w:rPr>
        <w:t>是伽师县人民政府工作部门，为正科级单位，属于财政全额拨款行政单位，内设职能部门13</w:t>
      </w:r>
      <w:r>
        <w:rPr>
          <w:rStyle w:val="13"/>
          <w:rFonts w:hint="eastAsia" w:ascii="方正仿宋_GBK" w:hAnsi="方正仿宋_GBK" w:eastAsia="方正仿宋_GBK" w:cs="方正仿宋_GBK"/>
          <w:b w:val="0"/>
          <w:color w:val="auto"/>
          <w:spacing w:val="6"/>
          <w:kern w:val="2"/>
          <w:sz w:val="32"/>
          <w:szCs w:val="32"/>
          <w:lang w:val="en-US" w:eastAsia="zh-CN"/>
        </w:rPr>
        <w:t>个；单位人员编制总数44人，其中：行政编制32人，机关工勤编制2人，事业编制10人。</w:t>
      </w:r>
    </w:p>
    <w:p>
      <w:pPr>
        <w:pStyle w:val="17"/>
        <w:keepNext w:val="0"/>
        <w:keepLines w:val="0"/>
        <w:pageBreakBefore w:val="0"/>
        <w:widowControl w:val="0"/>
        <w:kinsoku/>
        <w:wordWrap/>
        <w:overflowPunct/>
        <w:topLinePunct w:val="0"/>
        <w:autoSpaceDE/>
        <w:autoSpaceDN/>
        <w:bidi w:val="0"/>
        <w:adjustRightInd/>
        <w:snapToGrid w:val="0"/>
        <w:spacing w:line="570" w:lineRule="exact"/>
        <w:ind w:firstLine="640"/>
        <w:jc w:val="both"/>
        <w:textAlignment w:val="auto"/>
        <w:rPr>
          <w:rStyle w:val="13"/>
          <w:rFonts w:hint="eastAsia" w:ascii="方正仿宋_GBK" w:hAnsi="方正仿宋_GBK" w:eastAsia="方正仿宋_GBK" w:cs="方正仿宋_GBK"/>
          <w:b w:val="0"/>
          <w:color w:val="auto"/>
          <w:spacing w:val="6"/>
          <w:kern w:val="2"/>
          <w:sz w:val="32"/>
          <w:szCs w:val="32"/>
          <w:highlight w:val="none"/>
          <w:lang w:val="en-US" w:eastAsia="zh-CN"/>
        </w:rPr>
      </w:pPr>
      <w:r>
        <w:rPr>
          <w:rFonts w:hint="eastAsia" w:ascii="方正仿宋_GBK" w:hAnsi="方正仿宋_GBK" w:eastAsia="方正仿宋_GBK" w:cs="方正仿宋_GBK"/>
          <w:color w:val="000000" w:themeColor="text1"/>
          <w:sz w:val="32"/>
          <w:szCs w:val="32"/>
          <w:highlight w:val="none"/>
          <w:lang w:eastAsia="zh-CN"/>
          <w14:textFill>
            <w14:solidFill>
              <w14:schemeClr w14:val="tx1"/>
            </w14:solidFill>
          </w14:textFill>
        </w:rPr>
        <w:t>市监局2022年年初预算收入729.44万元，全年预算收入952.43万元，其中，财政拨款收入895.33万元，</w:t>
      </w:r>
      <w:r>
        <w:rPr>
          <w:rFonts w:hint="eastAsia" w:ascii="方正仿宋_GBK" w:hAnsi="方正仿宋_GBK" w:eastAsia="方正仿宋_GBK" w:cs="方正仿宋_GBK"/>
          <w:sz w:val="32"/>
          <w:szCs w:val="32"/>
          <w:highlight w:val="none"/>
        </w:rPr>
        <w:t>非本级财政拨款</w:t>
      </w:r>
      <w:r>
        <w:rPr>
          <w:rFonts w:hint="eastAsia" w:ascii="方正仿宋_GBK" w:hAnsi="方正仿宋_GBK" w:eastAsia="方正仿宋_GBK" w:cs="方正仿宋_GBK"/>
          <w:sz w:val="32"/>
          <w:szCs w:val="32"/>
          <w:highlight w:val="none"/>
          <w:lang w:eastAsia="zh-CN"/>
        </w:rPr>
        <w:t>（</w:t>
      </w:r>
      <w:r>
        <w:rPr>
          <w:rFonts w:hint="eastAsia" w:ascii="方正仿宋_GBK" w:hAnsi="方正仿宋_GBK" w:eastAsia="方正仿宋_GBK" w:cs="方正仿宋_GBK"/>
          <w:sz w:val="32"/>
          <w:szCs w:val="32"/>
          <w:highlight w:val="none"/>
        </w:rPr>
        <w:t>援疆资金</w:t>
      </w:r>
      <w:r>
        <w:rPr>
          <w:rFonts w:hint="eastAsia" w:ascii="方正仿宋_GBK" w:hAnsi="方正仿宋_GBK" w:eastAsia="方正仿宋_GBK" w:cs="方正仿宋_GBK"/>
          <w:sz w:val="32"/>
          <w:szCs w:val="32"/>
          <w:highlight w:val="none"/>
          <w:lang w:eastAsia="zh-CN"/>
        </w:rPr>
        <w:t>）</w:t>
      </w:r>
      <w:r>
        <w:rPr>
          <w:rFonts w:hint="eastAsia" w:ascii="方正仿宋_GBK" w:hAnsi="方正仿宋_GBK" w:eastAsia="方正仿宋_GBK" w:cs="方正仿宋_GBK"/>
          <w:sz w:val="32"/>
          <w:szCs w:val="32"/>
          <w:highlight w:val="none"/>
          <w:lang w:val="en-US" w:eastAsia="zh-CN"/>
        </w:rPr>
        <w:t>57.1</w:t>
      </w:r>
      <w:r>
        <w:rPr>
          <w:rFonts w:hint="eastAsia" w:ascii="方正仿宋_GBK" w:hAnsi="方正仿宋_GBK" w:eastAsia="方正仿宋_GBK" w:cs="方正仿宋_GBK"/>
          <w:sz w:val="32"/>
          <w:szCs w:val="32"/>
          <w:highlight w:val="none"/>
        </w:rPr>
        <w:t>万元</w:t>
      </w:r>
      <w:r>
        <w:rPr>
          <w:rFonts w:hint="eastAsia" w:ascii="方正仿宋_GBK" w:hAnsi="方正仿宋_GBK" w:eastAsia="方正仿宋_GBK" w:cs="方正仿宋_GBK"/>
          <w:sz w:val="32"/>
          <w:szCs w:val="32"/>
          <w:highlight w:val="none"/>
          <w:lang w:eastAsia="zh-CN"/>
        </w:rPr>
        <w:t>。</w:t>
      </w:r>
      <w:r>
        <w:rPr>
          <w:rFonts w:hint="eastAsia" w:ascii="方正仿宋_GBK" w:hAnsi="方正仿宋_GBK" w:eastAsia="方正仿宋_GBK" w:cs="方正仿宋_GBK"/>
          <w:color w:val="000000"/>
          <w:kern w:val="2"/>
          <w:sz w:val="32"/>
          <w:szCs w:val="32"/>
          <w:highlight w:val="none"/>
          <w:lang w:val="en-US" w:eastAsia="zh-CN" w:bidi="ar-SA"/>
        </w:rPr>
        <w:t>2022年全年支出952.43万元，</w:t>
      </w:r>
      <w:r>
        <w:rPr>
          <w:rStyle w:val="13"/>
          <w:rFonts w:hint="eastAsia" w:ascii="方正仿宋_GBK" w:hAnsi="方正仿宋_GBK" w:eastAsia="方正仿宋_GBK" w:cs="方正仿宋_GBK"/>
          <w:b w:val="0"/>
          <w:color w:val="auto"/>
          <w:spacing w:val="6"/>
          <w:kern w:val="2"/>
          <w:sz w:val="32"/>
          <w:szCs w:val="32"/>
          <w:highlight w:val="none"/>
          <w:lang w:val="en-US" w:eastAsia="zh-CN"/>
        </w:rPr>
        <w:t>其中：基本支出833.33万元，项目支出119.1万元。</w:t>
      </w:r>
    </w:p>
    <w:p>
      <w:pPr>
        <w:pStyle w:val="17"/>
        <w:keepNext w:val="0"/>
        <w:keepLines w:val="0"/>
        <w:pageBreakBefore w:val="0"/>
        <w:widowControl w:val="0"/>
        <w:kinsoku/>
        <w:wordWrap/>
        <w:overflowPunct/>
        <w:topLinePunct w:val="0"/>
        <w:autoSpaceDE/>
        <w:autoSpaceDN/>
        <w:bidi w:val="0"/>
        <w:adjustRightInd/>
        <w:snapToGrid w:val="0"/>
        <w:spacing w:line="570" w:lineRule="exact"/>
        <w:ind w:firstLine="640"/>
        <w:jc w:val="both"/>
        <w:textAlignment w:val="auto"/>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highlight w:val="none"/>
          <w:lang w:eastAsia="zh-CN"/>
          <w14:textFill>
            <w14:solidFill>
              <w14:schemeClr w14:val="tx1"/>
            </w14:solidFill>
          </w14:textFill>
        </w:rPr>
        <w:t>市监局</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2022年履职情况：主要</w:t>
      </w:r>
      <w:r>
        <w:rPr>
          <w:rFonts w:hint="eastAsia" w:ascii="方正仿宋_GBK" w:hAnsi="方正仿宋_GBK" w:eastAsia="方正仿宋_GBK" w:cs="方正仿宋_GBK"/>
          <w:color w:val="000000" w:themeColor="text1"/>
          <w:sz w:val="32"/>
          <w:szCs w:val="32"/>
          <w:highlight w:val="none"/>
          <w:lang w:eastAsia="zh-CN"/>
          <w14:textFill>
            <w14:solidFill>
              <w14:schemeClr w14:val="tx1"/>
            </w14:solidFill>
          </w14:textFill>
        </w:rPr>
        <w:t>围绕食品、药品、特种设备、产品质量安全领域，结合“双随机”抽查，维护市场环境安全稳定。开展价格监管行政执法、市场监管专项整治，推进“放管服”改革，优化营商环境。保障人民群众息息相关的生活物品的供应充足、价格稳定、质量安全。</w:t>
      </w:r>
    </w:p>
    <w:p>
      <w:pPr>
        <w:spacing w:line="560" w:lineRule="exact"/>
        <w:ind w:firstLine="640" w:firstLineChars="200"/>
        <w:outlineLvl w:val="0"/>
        <w:rPr>
          <w:rFonts w:hint="eastAsia" w:ascii="方正黑体_GBK" w:hAnsi="方正黑体_GBK" w:eastAsia="方正黑体_GBK" w:cs="方正黑体_GBK"/>
          <w:sz w:val="32"/>
          <w:szCs w:val="32"/>
        </w:rPr>
      </w:pPr>
      <w:bookmarkStart w:id="11" w:name="_Toc7510"/>
      <w:bookmarkStart w:id="12" w:name="_Toc12284"/>
      <w:bookmarkStart w:id="13" w:name="_Toc9873"/>
      <w:r>
        <w:rPr>
          <w:rFonts w:hint="eastAsia" w:ascii="方正黑体_GBK" w:hAnsi="方正黑体_GBK" w:eastAsia="方正黑体_GBK" w:cs="方正黑体_GBK"/>
          <w:sz w:val="32"/>
          <w:szCs w:val="32"/>
        </w:rPr>
        <w:t>二、评价结论与绩效分析</w:t>
      </w:r>
      <w:bookmarkEnd w:id="11"/>
      <w:bookmarkEnd w:id="12"/>
      <w:bookmarkEnd w:id="13"/>
    </w:p>
    <w:p>
      <w:pPr>
        <w:spacing w:line="560" w:lineRule="exact"/>
        <w:ind w:firstLine="643" w:firstLineChars="200"/>
        <w:outlineLvl w:val="1"/>
        <w:rPr>
          <w:rFonts w:hint="eastAsia" w:ascii="方正楷体_GBK" w:hAnsi="方正楷体_GBK" w:eastAsia="方正楷体_GBK" w:cs="方正楷体_GBK"/>
          <w:b/>
          <w:bCs/>
          <w:sz w:val="32"/>
          <w:szCs w:val="32"/>
        </w:rPr>
      </w:pPr>
      <w:bookmarkStart w:id="14" w:name="_Toc24562"/>
      <w:bookmarkStart w:id="15" w:name="_Toc17560"/>
      <w:bookmarkStart w:id="16" w:name="_Toc31630"/>
      <w:r>
        <w:rPr>
          <w:rFonts w:hint="eastAsia" w:ascii="方正楷体_GBK" w:hAnsi="方正楷体_GBK" w:eastAsia="方正楷体_GBK" w:cs="方正楷体_GBK"/>
          <w:b/>
          <w:bCs/>
          <w:sz w:val="32"/>
          <w:szCs w:val="32"/>
        </w:rPr>
        <w:t>（一）评价结论</w:t>
      </w:r>
      <w:bookmarkEnd w:id="14"/>
      <w:bookmarkEnd w:id="15"/>
      <w:bookmarkEnd w:id="16"/>
    </w:p>
    <w:p>
      <w:pPr>
        <w:pStyle w:val="17"/>
        <w:keepNext w:val="0"/>
        <w:keepLines w:val="0"/>
        <w:pageBreakBefore w:val="0"/>
        <w:widowControl w:val="0"/>
        <w:kinsoku/>
        <w:wordWrap/>
        <w:overflowPunct/>
        <w:topLinePunct w:val="0"/>
        <w:autoSpaceDE/>
        <w:autoSpaceDN/>
        <w:bidi w:val="0"/>
        <w:adjustRightInd/>
        <w:snapToGrid w:val="0"/>
        <w:spacing w:line="570" w:lineRule="atLeast"/>
        <w:ind w:firstLine="640"/>
        <w:jc w:val="both"/>
        <w:textAlignment w:val="auto"/>
        <w:rPr>
          <w:rFonts w:hint="eastAsia" w:ascii="方正仿宋_GBK" w:hAnsi="方正仿宋_GBK" w:eastAsia="方正仿宋_GBK" w:cs="方正仿宋_GBK"/>
          <w:color w:val="000000"/>
          <w:kern w:val="2"/>
          <w:sz w:val="32"/>
          <w:szCs w:val="32"/>
          <w:lang w:val="en-US" w:eastAsia="zh-CN" w:bidi="ar-SA"/>
        </w:rPr>
      </w:pPr>
      <w:bookmarkStart w:id="17" w:name="_Toc8460"/>
      <w:bookmarkStart w:id="18" w:name="_Toc31173"/>
      <w:bookmarkStart w:id="19" w:name="_Toc7970"/>
      <w:r>
        <w:rPr>
          <w:rFonts w:hint="eastAsia" w:ascii="方正仿宋_GBK" w:hAnsi="方正仿宋_GBK" w:eastAsia="方正仿宋_GBK" w:cs="方正仿宋_GBK"/>
          <w:color w:val="000000"/>
          <w:kern w:val="2"/>
          <w:sz w:val="32"/>
          <w:szCs w:val="32"/>
          <w:lang w:val="en-US" w:eastAsia="zh-CN" w:bidi="ar-SA"/>
        </w:rPr>
        <w:t>运用由评价组研发并通过预算单位确认的评价指标体系及评分标准，通过单位提供的基础数据、问卷调查和访谈获取的信息资料，评价组对</w:t>
      </w:r>
      <w:r>
        <w:rPr>
          <w:rFonts w:hint="eastAsia" w:ascii="方正仿宋_GBK" w:hAnsi="方正仿宋_GBK" w:eastAsia="方正仿宋_GBK" w:cs="方正仿宋_GBK"/>
          <w:color w:val="000000" w:themeColor="text1"/>
          <w:sz w:val="32"/>
          <w:szCs w:val="32"/>
          <w:highlight w:val="none"/>
          <w:lang w:eastAsia="zh-CN"/>
          <w14:textFill>
            <w14:solidFill>
              <w14:schemeClr w14:val="tx1"/>
            </w14:solidFill>
          </w14:textFill>
        </w:rPr>
        <w:t>市监局</w:t>
      </w:r>
      <w:r>
        <w:rPr>
          <w:rFonts w:hint="eastAsia" w:ascii="方正仿宋_GBK" w:hAnsi="方正仿宋_GBK" w:eastAsia="方正仿宋_GBK" w:cs="方正仿宋_GBK"/>
          <w:color w:val="000000"/>
          <w:kern w:val="2"/>
          <w:sz w:val="32"/>
          <w:szCs w:val="32"/>
          <w:highlight w:val="none"/>
          <w:lang w:val="en-US" w:eastAsia="zh-CN" w:bidi="ar-SA"/>
        </w:rPr>
        <w:t>进</w:t>
      </w:r>
      <w:r>
        <w:rPr>
          <w:rFonts w:hint="eastAsia" w:ascii="方正仿宋_GBK" w:hAnsi="方正仿宋_GBK" w:eastAsia="方正仿宋_GBK" w:cs="方正仿宋_GBK"/>
          <w:color w:val="000000"/>
          <w:kern w:val="2"/>
          <w:sz w:val="32"/>
          <w:szCs w:val="32"/>
          <w:lang w:val="en-US" w:eastAsia="zh-CN" w:bidi="ar-SA"/>
        </w:rPr>
        <w:t>行了独立客观的评价，最终评分结果为98.88分，评价等级为“优”。</w:t>
      </w:r>
      <w:bookmarkEnd w:id="17"/>
      <w:bookmarkEnd w:id="18"/>
    </w:p>
    <w:p>
      <w:pPr>
        <w:spacing w:line="480" w:lineRule="exact"/>
        <w:ind w:firstLine="643" w:firstLineChars="200"/>
        <w:outlineLvl w:val="1"/>
        <w:rPr>
          <w:rFonts w:hint="eastAsia" w:ascii="方正楷体_GBK" w:hAnsi="方正楷体_GBK" w:eastAsia="方正楷体_GBK" w:cs="方正楷体_GBK"/>
          <w:b/>
          <w:bCs/>
          <w:sz w:val="32"/>
          <w:szCs w:val="32"/>
        </w:rPr>
      </w:pPr>
      <w:bookmarkStart w:id="20" w:name="_Toc25954"/>
      <w:bookmarkStart w:id="21" w:name="_Toc28311"/>
      <w:r>
        <w:rPr>
          <w:rFonts w:hint="eastAsia" w:ascii="方正楷体_GBK" w:hAnsi="方正楷体_GBK" w:eastAsia="方正楷体_GBK" w:cs="方正楷体_GBK"/>
          <w:b/>
          <w:bCs/>
          <w:sz w:val="32"/>
          <w:szCs w:val="32"/>
        </w:rPr>
        <w:t>（二）绩效分析</w:t>
      </w:r>
      <w:bookmarkEnd w:id="19"/>
      <w:bookmarkEnd w:id="20"/>
      <w:bookmarkEnd w:id="21"/>
    </w:p>
    <w:p>
      <w:pPr>
        <w:pStyle w:val="17"/>
        <w:keepNext w:val="0"/>
        <w:keepLines w:val="0"/>
        <w:pageBreakBefore w:val="0"/>
        <w:widowControl w:val="0"/>
        <w:numPr>
          <w:ilvl w:val="0"/>
          <w:numId w:val="0"/>
        </w:numPr>
        <w:kinsoku/>
        <w:wordWrap/>
        <w:overflowPunct/>
        <w:topLinePunct w:val="0"/>
        <w:autoSpaceDE/>
        <w:autoSpaceDN/>
        <w:bidi w:val="0"/>
        <w:adjustRightInd/>
        <w:snapToGrid w:val="0"/>
        <w:spacing w:line="570" w:lineRule="atLeast"/>
        <w:ind w:firstLine="627" w:firstLineChars="200"/>
        <w:jc w:val="both"/>
        <w:textAlignment w:val="auto"/>
        <w:rPr>
          <w:rFonts w:hint="eastAsia" w:ascii="方正仿宋_GBK" w:hAnsi="方正仿宋_GBK" w:eastAsia="方正仿宋_GBK" w:cs="方正仿宋_GBK"/>
          <w:b/>
          <w:color w:val="auto"/>
          <w:spacing w:val="-4"/>
          <w:sz w:val="32"/>
          <w:szCs w:val="32"/>
        </w:rPr>
      </w:pPr>
      <w:r>
        <w:rPr>
          <w:rFonts w:hint="eastAsia" w:ascii="方正仿宋_GBK" w:hAnsi="方正仿宋_GBK" w:eastAsia="方正仿宋_GBK" w:cs="方正仿宋_GBK"/>
          <w:b/>
          <w:color w:val="auto"/>
          <w:spacing w:val="-4"/>
          <w:sz w:val="32"/>
          <w:szCs w:val="32"/>
        </w:rPr>
        <w:t>1.产出评价分析</w:t>
      </w:r>
    </w:p>
    <w:p>
      <w:pPr>
        <w:pStyle w:val="17"/>
        <w:keepNext w:val="0"/>
        <w:keepLines w:val="0"/>
        <w:pageBreakBefore w:val="0"/>
        <w:widowControl w:val="0"/>
        <w:numPr>
          <w:ilvl w:val="0"/>
          <w:numId w:val="0"/>
        </w:numPr>
        <w:kinsoku/>
        <w:wordWrap/>
        <w:overflowPunct/>
        <w:topLinePunct w:val="0"/>
        <w:autoSpaceDE/>
        <w:autoSpaceDN/>
        <w:bidi w:val="0"/>
        <w:adjustRightInd/>
        <w:snapToGrid w:val="0"/>
        <w:spacing w:line="570" w:lineRule="atLeast"/>
        <w:ind w:firstLine="640" w:firstLineChars="200"/>
        <w:jc w:val="both"/>
        <w:textAlignment w:val="auto"/>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一是扎实开展食品安全“守底线、查隐患、保安全”专项行动，全年检查食品生产经营主体1829家，检查覆盖率达100%</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lang w:val="en-US" w:eastAsia="zh-CN"/>
        </w:rPr>
        <w:t>二</w:t>
      </w:r>
      <w:r>
        <w:rPr>
          <w:rFonts w:hint="eastAsia" w:ascii="方正仿宋_GBK" w:hAnsi="方正仿宋_GBK" w:eastAsia="方正仿宋_GBK" w:cs="方正仿宋_GBK"/>
          <w:color w:val="auto"/>
          <w:sz w:val="32"/>
          <w:szCs w:val="32"/>
        </w:rPr>
        <w:t>是大力开展2022年伽师县食品安全宣传周活动，协调成员单位开展食品安全宣传 “七进”活动9场次，县融媒体中心播放“反食品浪费公益宣传视频”近360场次，宣传资料1200余份，面对面宣传受众560余人次</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lang w:val="en-US" w:eastAsia="zh-CN"/>
        </w:rPr>
        <w:t>三</w:t>
      </w:r>
      <w:r>
        <w:rPr>
          <w:rFonts w:hint="eastAsia" w:ascii="方正仿宋_GBK" w:hAnsi="方正仿宋_GBK" w:eastAsia="方正仿宋_GBK" w:cs="方正仿宋_GBK"/>
          <w:color w:val="auto"/>
          <w:sz w:val="32"/>
          <w:szCs w:val="32"/>
        </w:rPr>
        <w:t>是组织开展各类食品监督检查专项行动，全年累计出动执法人员960人次，累计检查各类市场主体1389次，下发责令整改通知书115份，立案查处62起，结案56起，罚没款35.2万元</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四是上报药品不良反应355例，上报医疗器械不良反应157例，上报化妆品不良反应105例；</w:t>
      </w:r>
      <w:r>
        <w:rPr>
          <w:rFonts w:hint="eastAsia" w:ascii="方正仿宋_GBK" w:hAnsi="方正仿宋_GBK" w:eastAsia="方正仿宋_GBK" w:cs="方正仿宋_GBK"/>
          <w:color w:val="auto"/>
          <w:sz w:val="32"/>
          <w:szCs w:val="32"/>
          <w:lang w:val="en-US" w:eastAsia="zh-CN"/>
        </w:rPr>
        <w:t>五</w:t>
      </w:r>
      <w:r>
        <w:rPr>
          <w:rFonts w:hint="eastAsia" w:ascii="方正仿宋_GBK" w:hAnsi="方正仿宋_GBK" w:eastAsia="方正仿宋_GBK" w:cs="方正仿宋_GBK"/>
          <w:color w:val="auto"/>
          <w:sz w:val="32"/>
          <w:szCs w:val="32"/>
        </w:rPr>
        <w:t>是加大棉花收购环节检查力度，与16家棉花加工企业签订质量补贴试点责任书，严管收购环节，把好棉花收购入口关，确保435户棉花种植大户利益不受损失</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lang w:val="en-US" w:eastAsia="zh-CN"/>
        </w:rPr>
        <w:t>六</w:t>
      </w:r>
      <w:r>
        <w:rPr>
          <w:rFonts w:hint="eastAsia" w:ascii="方正仿宋_GBK" w:hAnsi="方正仿宋_GBK" w:eastAsia="方正仿宋_GBK" w:cs="方正仿宋_GBK"/>
          <w:color w:val="auto"/>
          <w:sz w:val="32"/>
          <w:szCs w:val="32"/>
        </w:rPr>
        <w:t>是全面开展冷链食品检查，重点对冷链食品的索证索票、进货查验、食品贮存等方面进行检查，全年共检查冷链经营单位422家，发现问题359条，当场整改312条，限期整改19条，下达责令改正通知书19份，立案1起，罚没款3万元</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lang w:val="en-US" w:eastAsia="zh-CN"/>
        </w:rPr>
        <w:t>七</w:t>
      </w:r>
      <w:r>
        <w:rPr>
          <w:rFonts w:hint="eastAsia" w:ascii="方正仿宋_GBK" w:hAnsi="方正仿宋_GBK" w:eastAsia="方正仿宋_GBK" w:cs="方正仿宋_GBK"/>
          <w:color w:val="auto"/>
          <w:sz w:val="32"/>
          <w:szCs w:val="32"/>
        </w:rPr>
        <w:t>是充分发挥12315、12345投诉举报热线社会作用，全天候应急值守，24小时接听群众来电，通过12315平台举报立案5起</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对投诉举报迅速转办、积极督办、按时办结、及时回复</w:t>
      </w:r>
      <w:r>
        <w:rPr>
          <w:rFonts w:hint="eastAsia" w:ascii="方正仿宋_GBK" w:hAnsi="方正仿宋_GBK" w:eastAsia="方正仿宋_GBK" w:cs="方正仿宋_GBK"/>
          <w:color w:val="auto"/>
          <w:sz w:val="32"/>
          <w:szCs w:val="32"/>
          <w:lang w:eastAsia="zh-CN"/>
        </w:rPr>
        <w:t>。</w:t>
      </w:r>
    </w:p>
    <w:p>
      <w:pPr>
        <w:tabs>
          <w:tab w:val="left" w:pos="312"/>
        </w:tabs>
        <w:spacing w:line="560" w:lineRule="exact"/>
        <w:ind w:firstLine="627" w:firstLineChars="200"/>
        <w:jc w:val="both"/>
        <w:outlineLvl w:val="9"/>
        <w:rPr>
          <w:rFonts w:hint="eastAsia" w:ascii="方正仿宋_GBK" w:hAnsi="方正仿宋_GBK" w:eastAsia="方正仿宋_GBK" w:cs="方正仿宋_GBK"/>
          <w:b/>
          <w:color w:val="auto"/>
          <w:spacing w:val="-4"/>
          <w:sz w:val="32"/>
          <w:szCs w:val="32"/>
        </w:rPr>
      </w:pPr>
      <w:r>
        <w:rPr>
          <w:rFonts w:hint="eastAsia" w:ascii="方正仿宋_GBK" w:hAnsi="方正仿宋_GBK" w:eastAsia="方正仿宋_GBK" w:cs="方正仿宋_GBK"/>
          <w:b/>
          <w:color w:val="auto"/>
          <w:spacing w:val="-4"/>
          <w:sz w:val="32"/>
          <w:szCs w:val="32"/>
        </w:rPr>
        <w:t>2.效果评价分析</w:t>
      </w:r>
    </w:p>
    <w:p>
      <w:pPr>
        <w:pStyle w:val="16"/>
        <w:overflowPunct w:val="0"/>
        <w:autoSpaceDE w:val="0"/>
        <w:autoSpaceDN w:val="0"/>
        <w:adjustRightInd w:val="0"/>
        <w:snapToGrid w:val="0"/>
        <w:spacing w:line="576" w:lineRule="atLeast"/>
        <w:outlineLvl w:val="9"/>
        <w:rPr>
          <w:rFonts w:ascii="仿宋_GB2312" w:hAnsi="楷体" w:eastAsia="仿宋_GB2312" w:cs="Times New Roman"/>
          <w:kern w:val="0"/>
          <w:sz w:val="32"/>
          <w:szCs w:val="32"/>
          <w:highlight w:val="none"/>
          <w:lang w:val="en-US" w:eastAsia="zh-CN" w:bidi="ar-SA"/>
        </w:rPr>
      </w:pPr>
      <w:r>
        <w:rPr>
          <w:rStyle w:val="13"/>
          <w:rFonts w:hint="eastAsia" w:ascii="方正仿宋_GBK" w:hAnsi="方正仿宋_GBK" w:eastAsia="方正仿宋_GBK" w:cs="方正仿宋_GBK"/>
          <w:b w:val="0"/>
          <w:color w:val="auto"/>
          <w:spacing w:val="6"/>
          <w:kern w:val="2"/>
          <w:sz w:val="32"/>
          <w:szCs w:val="32"/>
          <w:lang w:val="en-US" w:eastAsia="zh-CN"/>
        </w:rPr>
        <w:t>本年市监局实施了伽师县市监局食品安全抽检监测经费项目、伽师县市监局2022年药品监管抽检项目等2个重点项目，履行了市场监管综合执法，规范市场监管行政执法行为、食品药品安全监督管理综合协调、食品药品安全监督管理、监督管理市场秩序等主要职责，使市场环境健康有序发展的活力逐步提高。</w:t>
      </w:r>
      <w:r>
        <w:rPr>
          <w:rFonts w:hint="eastAsia" w:ascii="方正仿宋_GBK" w:hAnsi="方正仿宋_GBK" w:eastAsia="方正仿宋_GBK" w:cs="方正仿宋_GBK"/>
          <w:color w:val="auto"/>
          <w:sz w:val="32"/>
          <w:szCs w:val="32"/>
        </w:rPr>
        <w:t>推进食品安全属地管理责任和企业主体责任落地落实，制定</w:t>
      </w:r>
      <w:r>
        <w:rPr>
          <w:rFonts w:hint="eastAsia" w:ascii="方正仿宋_GBK" w:hAnsi="方正仿宋_GBK" w:eastAsia="方正仿宋_GBK" w:cs="方正仿宋_GBK"/>
          <w:color w:val="auto"/>
          <w:sz w:val="32"/>
          <w:szCs w:val="32"/>
          <w:lang w:eastAsia="zh-CN"/>
        </w:rPr>
        <w:t>了</w:t>
      </w:r>
      <w:r>
        <w:rPr>
          <w:rFonts w:hint="eastAsia" w:ascii="方正仿宋_GBK" w:hAnsi="方正仿宋_GBK" w:eastAsia="方正仿宋_GBK" w:cs="方正仿宋_GBK"/>
          <w:color w:val="auto"/>
          <w:sz w:val="32"/>
          <w:szCs w:val="32"/>
        </w:rPr>
        <w:t>《伽师县关于建立健全分层分级精准防控末端发力终端见效工作机制，推动食品安全地管理责任落地落实实施方案</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highlight w:val="none"/>
          <w:lang w:eastAsia="zh-CN"/>
        </w:rPr>
        <w:t>完成了食品属地属地包保责任台账，落实了党政领导干部食品安全责任制。修订了《伽师县食品安全事故应急预案》，健全了应急监测预警、指挥决策、报告和应急处置等机制，进一步提升了食品安全事件应急处突能力。强化了药品质量安全监管，充分发挥药品检验技术支撑作用，及时排查发现质量安全隐患，保障公众用药安全。</w:t>
      </w:r>
    </w:p>
    <w:p>
      <w:pPr>
        <w:spacing w:line="560" w:lineRule="exact"/>
        <w:ind w:firstLine="640" w:firstLineChars="200"/>
        <w:outlineLvl w:val="0"/>
        <w:rPr>
          <w:rFonts w:hint="eastAsia" w:ascii="方正黑体_GBK" w:hAnsi="方正黑体_GBK" w:eastAsia="方正黑体_GBK" w:cs="方正黑体_GBK"/>
          <w:sz w:val="32"/>
          <w:szCs w:val="32"/>
          <w:lang w:eastAsia="zh-CN"/>
        </w:rPr>
      </w:pPr>
      <w:bookmarkStart w:id="22" w:name="_Toc19633"/>
      <w:bookmarkStart w:id="23" w:name="_Toc20891"/>
      <w:r>
        <w:rPr>
          <w:rFonts w:hint="eastAsia" w:ascii="方正黑体_GBK" w:hAnsi="方正黑体_GBK" w:eastAsia="方正黑体_GBK" w:cs="方正黑体_GBK"/>
          <w:sz w:val="32"/>
          <w:szCs w:val="32"/>
        </w:rPr>
        <w:t>三、</w:t>
      </w:r>
      <w:bookmarkEnd w:id="22"/>
      <w:bookmarkEnd w:id="23"/>
      <w:r>
        <w:rPr>
          <w:rFonts w:hint="eastAsia" w:ascii="方正黑体_GBK" w:hAnsi="方正黑体_GBK" w:eastAsia="方正黑体_GBK" w:cs="方正黑体_GBK"/>
          <w:b w:val="0"/>
          <w:bCs w:val="0"/>
          <w:color w:val="auto"/>
          <w:kern w:val="0"/>
          <w:sz w:val="32"/>
          <w:szCs w:val="32"/>
          <w:highlight w:val="none"/>
          <w:lang w:val="en-US" w:eastAsia="zh-CN" w:bidi="en-US"/>
        </w:rPr>
        <w:t>主要经验及做法、存在的问题和改进的建议</w:t>
      </w:r>
    </w:p>
    <w:p>
      <w:pPr>
        <w:pStyle w:val="16"/>
        <w:overflowPunct w:val="0"/>
        <w:autoSpaceDE w:val="0"/>
        <w:autoSpaceDN w:val="0"/>
        <w:adjustRightInd w:val="0"/>
        <w:snapToGrid w:val="0"/>
        <w:spacing w:line="560" w:lineRule="exact"/>
        <w:jc w:val="both"/>
        <w:outlineLvl w:val="1"/>
        <w:rPr>
          <w:rFonts w:hint="eastAsia" w:ascii="方正楷体_GBK" w:hAnsi="方正楷体_GBK" w:eastAsia="方正楷体_GBK" w:cs="方正楷体_GBK"/>
          <w:b/>
          <w:bCs/>
          <w:color w:val="auto"/>
          <w:sz w:val="32"/>
          <w:szCs w:val="32"/>
          <w:lang w:val="en-US" w:eastAsia="zh-CN"/>
        </w:rPr>
      </w:pPr>
      <w:bookmarkStart w:id="24" w:name="_Toc12896"/>
      <w:bookmarkStart w:id="25" w:name="_Toc6709"/>
      <w:r>
        <w:rPr>
          <w:rFonts w:hint="eastAsia" w:ascii="方正楷体_GBK" w:hAnsi="方正楷体_GBK" w:eastAsia="方正楷体_GBK" w:cs="方正楷体_GBK"/>
          <w:b/>
          <w:bCs/>
          <w:color w:val="auto"/>
          <w:sz w:val="32"/>
          <w:szCs w:val="32"/>
          <w:lang w:eastAsia="zh-CN"/>
        </w:rPr>
        <w:t>（</w:t>
      </w:r>
      <w:r>
        <w:rPr>
          <w:rFonts w:hint="eastAsia" w:ascii="方正楷体_GBK" w:hAnsi="方正楷体_GBK" w:eastAsia="方正楷体_GBK" w:cs="方正楷体_GBK"/>
          <w:b/>
          <w:bCs/>
          <w:color w:val="auto"/>
          <w:sz w:val="32"/>
          <w:szCs w:val="32"/>
          <w:lang w:val="en-US" w:eastAsia="zh-CN"/>
        </w:rPr>
        <w:t>一）主要经验及做法</w:t>
      </w:r>
      <w:bookmarkEnd w:id="24"/>
      <w:bookmarkEnd w:id="25"/>
    </w:p>
    <w:p>
      <w:pPr>
        <w:pStyle w:val="16"/>
        <w:overflowPunct w:val="0"/>
        <w:autoSpaceDE w:val="0"/>
        <w:autoSpaceDN w:val="0"/>
        <w:adjustRightInd w:val="0"/>
        <w:snapToGrid w:val="0"/>
        <w:spacing w:line="576" w:lineRule="atLeast"/>
        <w:outlineLvl w:val="9"/>
        <w:rPr>
          <w:rFonts w:hint="eastAsia" w:ascii="方正仿宋_GBK" w:hAnsi="方正仿宋_GBK" w:eastAsia="方正仿宋_GBK" w:cs="方正仿宋_GBK"/>
          <w:color w:val="auto"/>
          <w:sz w:val="32"/>
          <w:szCs w:val="32"/>
          <w:highlight w:val="none"/>
          <w:lang w:eastAsia="zh-CN"/>
        </w:rPr>
      </w:pPr>
      <w:r>
        <w:rPr>
          <w:rFonts w:hint="eastAsia" w:ascii="方正仿宋_GBK" w:hAnsi="方正仿宋_GBK" w:eastAsia="方正仿宋_GBK" w:cs="方正仿宋_GBK"/>
          <w:color w:val="auto"/>
          <w:sz w:val="32"/>
          <w:szCs w:val="32"/>
          <w:highlight w:val="none"/>
          <w:lang w:val="en-US" w:eastAsia="zh-CN"/>
        </w:rPr>
        <w:t>市监局推进深化改革与市场监管职能落实的两手抓、两不误，突出抓好食品安全、药品安全、产品质量安全和特种设备安全这四个关系人民群众身体健康、生命安全的大事。落实“四个最严”要求，做好食品安全示范街创建工作；开展</w:t>
      </w:r>
      <w:r>
        <w:rPr>
          <w:rFonts w:hint="eastAsia" w:ascii="方正仿宋_GBK" w:hAnsi="方正仿宋_GBK" w:eastAsia="方正仿宋_GBK" w:cs="方正仿宋_GBK"/>
          <w:color w:val="auto"/>
          <w:sz w:val="32"/>
          <w:szCs w:val="32"/>
          <w:highlight w:val="none"/>
          <w:lang w:eastAsia="zh-CN"/>
        </w:rPr>
        <w:t>“两品一械”：药品、医疗器械、化妆品、中药饮片安全专项整治工作。聚焦民生关切，持续推进信用体系建设，深化市场监管专项整治，优化服务供给，推进“放管服”改革，助推经济转型发展，持续优化营商环境。严格规范行政执法行为，开展全县粮食市场秩序专项整治，对12家粮食收购及粮食加工企业工开展现场整治，重点整治价格违法、价格垄断、计量违法行为以及其他违反市场监管法律法规行为。</w:t>
      </w:r>
      <w:r>
        <w:rPr>
          <w:rFonts w:hint="eastAsia" w:ascii="方正仿宋_GBK" w:hAnsi="方正仿宋_GBK" w:eastAsia="方正仿宋_GBK" w:cs="方正仿宋_GBK"/>
          <w:color w:val="auto"/>
          <w:sz w:val="32"/>
          <w:szCs w:val="32"/>
          <w:highlight w:val="none"/>
          <w:lang w:val="en-US" w:eastAsia="zh-CN"/>
        </w:rPr>
        <w:t>做好登记注册、信用、“双反双打”、价格、知识产权、网络交易、计量、标准化监管等重点业务工作。</w:t>
      </w:r>
    </w:p>
    <w:p>
      <w:pPr>
        <w:spacing w:line="560" w:lineRule="exact"/>
        <w:ind w:firstLine="643" w:firstLineChars="200"/>
        <w:jc w:val="both"/>
        <w:outlineLvl w:val="1"/>
        <w:rPr>
          <w:rFonts w:hint="eastAsia" w:ascii="方正楷体_GBK" w:hAnsi="方正楷体_GBK" w:eastAsia="方正楷体_GBK" w:cs="方正楷体_GBK"/>
          <w:b/>
          <w:bCs/>
          <w:color w:val="auto"/>
          <w:sz w:val="32"/>
          <w:szCs w:val="32"/>
        </w:rPr>
      </w:pPr>
      <w:bookmarkStart w:id="26" w:name="_Toc11724"/>
      <w:bookmarkStart w:id="27" w:name="_Toc8274"/>
      <w:r>
        <w:rPr>
          <w:rFonts w:hint="eastAsia" w:ascii="方正楷体_GBK" w:hAnsi="方正楷体_GBK" w:eastAsia="方正楷体_GBK" w:cs="方正楷体_GBK"/>
          <w:b/>
          <w:bCs/>
          <w:color w:val="auto"/>
          <w:sz w:val="32"/>
          <w:szCs w:val="32"/>
        </w:rPr>
        <w:t>（</w:t>
      </w:r>
      <w:r>
        <w:rPr>
          <w:rFonts w:hint="eastAsia" w:ascii="方正楷体_GBK" w:hAnsi="方正楷体_GBK" w:eastAsia="方正楷体_GBK" w:cs="方正楷体_GBK"/>
          <w:b/>
          <w:bCs/>
          <w:color w:val="auto"/>
          <w:sz w:val="32"/>
          <w:szCs w:val="32"/>
          <w:lang w:val="en-US" w:eastAsia="zh-CN"/>
        </w:rPr>
        <w:t>二</w:t>
      </w:r>
      <w:r>
        <w:rPr>
          <w:rFonts w:hint="eastAsia" w:ascii="方正楷体_GBK" w:hAnsi="方正楷体_GBK" w:eastAsia="方正楷体_GBK" w:cs="方正楷体_GBK"/>
          <w:b/>
          <w:bCs/>
          <w:color w:val="auto"/>
          <w:sz w:val="32"/>
          <w:szCs w:val="32"/>
        </w:rPr>
        <w:t>）存在的问题</w:t>
      </w:r>
      <w:bookmarkEnd w:id="26"/>
      <w:bookmarkEnd w:id="27"/>
      <w:r>
        <w:rPr>
          <w:rFonts w:hint="eastAsia" w:ascii="方正楷体_GBK" w:hAnsi="方正楷体_GBK" w:eastAsia="方正楷体_GBK" w:cs="方正楷体_GBK"/>
          <w:b/>
          <w:bCs/>
          <w:color w:val="auto"/>
          <w:kern w:val="0"/>
          <w:sz w:val="32"/>
          <w:szCs w:val="32"/>
          <w:highlight w:val="none"/>
          <w:lang w:val="en-US" w:eastAsia="zh-CN" w:bidi="en-US"/>
        </w:rPr>
        <w:t>与不足</w:t>
      </w:r>
    </w:p>
    <w:p>
      <w:pPr>
        <w:pStyle w:val="16"/>
        <w:overflowPunct w:val="0"/>
        <w:autoSpaceDE w:val="0"/>
        <w:autoSpaceDN w:val="0"/>
        <w:adjustRightInd w:val="0"/>
        <w:snapToGrid w:val="0"/>
        <w:spacing w:line="560" w:lineRule="exact"/>
        <w:jc w:val="both"/>
        <w:outlineLvl w:val="9"/>
        <w:rPr>
          <w:rFonts w:hint="eastAsia" w:ascii="方正仿宋_GBK" w:hAnsi="方正仿宋_GBK" w:eastAsia="方正仿宋_GBK" w:cs="方正仿宋_GBK"/>
          <w:bCs/>
          <w:color w:val="auto"/>
          <w:sz w:val="32"/>
          <w:szCs w:val="32"/>
          <w:highlight w:val="yellow"/>
        </w:rPr>
      </w:pPr>
      <w:r>
        <w:rPr>
          <w:rFonts w:hint="eastAsia" w:ascii="方正仿宋_GBK" w:hAnsi="方正仿宋_GBK" w:eastAsia="方正仿宋_GBK" w:cs="方正仿宋_GBK"/>
          <w:bCs/>
          <w:color w:val="auto"/>
          <w:sz w:val="32"/>
          <w:szCs w:val="32"/>
          <w:highlight w:val="none"/>
          <w:lang w:val="en-US" w:eastAsia="zh-CN"/>
        </w:rPr>
        <w:t>伽师县市场监督管理局培训任务较多，覆盖群体广泛，但部门</w:t>
      </w:r>
      <w:r>
        <w:rPr>
          <w:rFonts w:hint="eastAsia" w:ascii="方正仿宋_GBK" w:hAnsi="方正仿宋_GBK" w:eastAsia="方正仿宋_GBK" w:cs="方正仿宋_GBK"/>
          <w:bCs/>
          <w:color w:val="auto"/>
          <w:sz w:val="32"/>
          <w:szCs w:val="32"/>
          <w:highlight w:val="none"/>
        </w:rPr>
        <w:t>未</w:t>
      </w:r>
      <w:r>
        <w:rPr>
          <w:rFonts w:hint="eastAsia" w:ascii="方正仿宋_GBK" w:hAnsi="方正仿宋_GBK" w:eastAsia="方正仿宋_GBK" w:cs="方正仿宋_GBK"/>
          <w:bCs/>
          <w:color w:val="auto"/>
          <w:sz w:val="32"/>
          <w:szCs w:val="32"/>
          <w:highlight w:val="none"/>
          <w:lang w:val="en-US" w:eastAsia="zh-CN"/>
        </w:rPr>
        <w:t>针对各项培训内容</w:t>
      </w:r>
      <w:r>
        <w:rPr>
          <w:rFonts w:hint="eastAsia" w:ascii="方正仿宋_GBK" w:hAnsi="方正仿宋_GBK" w:eastAsia="方正仿宋_GBK" w:cs="方正仿宋_GBK"/>
          <w:bCs/>
          <w:color w:val="auto"/>
          <w:sz w:val="32"/>
          <w:szCs w:val="32"/>
          <w:highlight w:val="none"/>
        </w:rPr>
        <w:t>建立</w:t>
      </w:r>
      <w:r>
        <w:rPr>
          <w:rFonts w:hint="eastAsia" w:ascii="方正仿宋_GBK" w:hAnsi="方正仿宋_GBK" w:eastAsia="方正仿宋_GBK" w:cs="方正仿宋_GBK"/>
          <w:bCs/>
          <w:color w:val="auto"/>
          <w:sz w:val="32"/>
          <w:szCs w:val="32"/>
          <w:highlight w:val="none"/>
          <w:lang w:val="en-US" w:eastAsia="zh-CN"/>
        </w:rPr>
        <w:t>较完善的</w:t>
      </w:r>
      <w:r>
        <w:rPr>
          <w:rFonts w:hint="eastAsia" w:ascii="方正仿宋_GBK" w:hAnsi="方正仿宋_GBK" w:eastAsia="方正仿宋_GBK" w:cs="方正仿宋_GBK"/>
          <w:bCs/>
          <w:color w:val="auto"/>
          <w:sz w:val="32"/>
          <w:szCs w:val="32"/>
          <w:highlight w:val="none"/>
        </w:rPr>
        <w:t>业务能力提升机制</w:t>
      </w:r>
      <w:r>
        <w:rPr>
          <w:rFonts w:hint="eastAsia" w:ascii="方正仿宋_GBK" w:hAnsi="方正仿宋_GBK" w:eastAsia="方正仿宋_GBK" w:cs="方正仿宋_GBK"/>
          <w:bCs/>
          <w:color w:val="auto"/>
          <w:sz w:val="32"/>
          <w:szCs w:val="32"/>
          <w:highlight w:val="none"/>
          <w:lang w:eastAsia="zh-CN"/>
        </w:rPr>
        <w:t>及年度培训计划。</w:t>
      </w:r>
    </w:p>
    <w:p>
      <w:pPr>
        <w:spacing w:line="560" w:lineRule="exact"/>
        <w:ind w:firstLine="643" w:firstLineChars="200"/>
        <w:outlineLvl w:val="0"/>
        <w:rPr>
          <w:rFonts w:hint="default"/>
          <w:lang w:val="en-US" w:eastAsia="zh-CN"/>
        </w:rPr>
      </w:pPr>
      <w:r>
        <w:rPr>
          <w:rFonts w:hint="eastAsia" w:ascii="方正楷体_GBK" w:hAnsi="方正楷体_GBK" w:eastAsia="方正楷体_GBK" w:cs="方正楷体_GBK"/>
          <w:b/>
          <w:bCs/>
          <w:sz w:val="32"/>
          <w:szCs w:val="32"/>
          <w:lang w:val="en-US" w:eastAsia="zh-CN"/>
        </w:rPr>
        <w:t>（三）建议和改进措施</w:t>
      </w:r>
    </w:p>
    <w:p>
      <w:pPr>
        <w:pStyle w:val="16"/>
        <w:overflowPunct w:val="0"/>
        <w:autoSpaceDE w:val="0"/>
        <w:autoSpaceDN w:val="0"/>
        <w:adjustRightInd w:val="0"/>
        <w:snapToGrid w:val="0"/>
        <w:spacing w:line="560" w:lineRule="exact"/>
        <w:jc w:val="both"/>
        <w:outlineLvl w:val="9"/>
        <w:rPr>
          <w:rFonts w:hint="eastAsia" w:ascii="方正仿宋_GBK" w:hAnsi="方正仿宋_GBK" w:eastAsia="方正仿宋_GBK" w:cs="方正仿宋_GBK"/>
          <w:bCs/>
          <w:color w:val="auto"/>
          <w:sz w:val="32"/>
          <w:szCs w:val="32"/>
          <w:highlight w:val="none"/>
          <w:lang w:eastAsia="zh-CN"/>
        </w:rPr>
      </w:pPr>
      <w:r>
        <w:rPr>
          <w:rFonts w:hint="eastAsia" w:ascii="方正仿宋_GBK" w:hAnsi="方正仿宋_GBK" w:eastAsia="方正仿宋_GBK" w:cs="方正仿宋_GBK"/>
          <w:bCs/>
          <w:color w:val="auto"/>
          <w:sz w:val="32"/>
          <w:szCs w:val="32"/>
          <w:highlight w:val="none"/>
        </w:rPr>
        <w:t>建议</w:t>
      </w:r>
      <w:r>
        <w:rPr>
          <w:rFonts w:hint="eastAsia" w:ascii="方正仿宋_GBK" w:hAnsi="方正仿宋_GBK" w:eastAsia="方正仿宋_GBK" w:cs="方正仿宋_GBK"/>
          <w:bCs/>
          <w:color w:val="auto"/>
          <w:sz w:val="32"/>
          <w:szCs w:val="32"/>
          <w:highlight w:val="none"/>
          <w:lang w:val="en-US" w:eastAsia="zh-CN"/>
        </w:rPr>
        <w:t>伽师县市场监督管理局制定部门相关业务培训制度</w:t>
      </w:r>
      <w:r>
        <w:rPr>
          <w:rFonts w:hint="eastAsia" w:ascii="方正仿宋_GBK" w:hAnsi="方正仿宋_GBK" w:eastAsia="方正仿宋_GBK" w:cs="方正仿宋_GBK"/>
          <w:bCs/>
          <w:color w:val="auto"/>
          <w:sz w:val="32"/>
          <w:szCs w:val="32"/>
          <w:highlight w:val="none"/>
          <w:lang w:eastAsia="zh-CN"/>
        </w:rPr>
        <w:t>及年度培训计划，</w:t>
      </w:r>
      <w:r>
        <w:rPr>
          <w:rFonts w:hint="eastAsia" w:ascii="方正仿宋_GBK" w:hAnsi="方正仿宋_GBK" w:eastAsia="方正仿宋_GBK" w:cs="方正仿宋_GBK"/>
          <w:bCs/>
          <w:color w:val="auto"/>
          <w:sz w:val="32"/>
          <w:szCs w:val="32"/>
          <w:highlight w:val="none"/>
          <w:lang w:val="en-US" w:eastAsia="zh-CN"/>
        </w:rPr>
        <w:t>根据各项培训内容</w:t>
      </w:r>
      <w:r>
        <w:rPr>
          <w:rFonts w:hint="eastAsia" w:ascii="方正仿宋_GBK" w:hAnsi="方正仿宋_GBK" w:eastAsia="方正仿宋_GBK" w:cs="方正仿宋_GBK"/>
          <w:bCs/>
          <w:color w:val="auto"/>
          <w:sz w:val="32"/>
          <w:szCs w:val="32"/>
          <w:highlight w:val="none"/>
        </w:rPr>
        <w:t>建立</w:t>
      </w:r>
      <w:r>
        <w:rPr>
          <w:rFonts w:hint="eastAsia" w:ascii="方正仿宋_GBK" w:hAnsi="方正仿宋_GBK" w:eastAsia="方正仿宋_GBK" w:cs="方正仿宋_GBK"/>
          <w:bCs/>
          <w:color w:val="auto"/>
          <w:sz w:val="32"/>
          <w:szCs w:val="32"/>
          <w:highlight w:val="none"/>
          <w:lang w:val="en-US" w:eastAsia="zh-CN"/>
        </w:rPr>
        <w:t>完善</w:t>
      </w:r>
      <w:r>
        <w:rPr>
          <w:rFonts w:hint="eastAsia" w:ascii="方正仿宋_GBK" w:hAnsi="方正仿宋_GBK" w:eastAsia="方正仿宋_GBK" w:cs="方正仿宋_GBK"/>
          <w:bCs/>
          <w:color w:val="auto"/>
          <w:sz w:val="32"/>
          <w:szCs w:val="32"/>
          <w:highlight w:val="none"/>
        </w:rPr>
        <w:t>业务能力提升机制</w:t>
      </w:r>
      <w:r>
        <w:rPr>
          <w:rFonts w:hint="eastAsia" w:ascii="方正仿宋_GBK" w:hAnsi="方正仿宋_GBK" w:eastAsia="方正仿宋_GBK" w:cs="方正仿宋_GBK"/>
          <w:bCs/>
          <w:color w:val="auto"/>
          <w:sz w:val="32"/>
          <w:szCs w:val="32"/>
          <w:highlight w:val="none"/>
          <w:lang w:eastAsia="zh-CN"/>
        </w:rPr>
        <w:t>。</w:t>
      </w:r>
    </w:p>
    <w:p>
      <w:pPr>
        <w:pStyle w:val="14"/>
        <w:rPr>
          <w:rFonts w:hint="default"/>
          <w:lang w:val="en-US" w:eastAsia="zh-CN"/>
        </w:rPr>
        <w:sectPr>
          <w:footerReference r:id="rId3" w:type="default"/>
          <w:pgSz w:w="11906" w:h="16838"/>
          <w:pgMar w:top="1440" w:right="1800" w:bottom="1440" w:left="1800" w:header="851" w:footer="992" w:gutter="0"/>
          <w:pgNumType w:fmt="numberInDash" w:start="1"/>
          <w:cols w:space="720" w:num="1"/>
          <w:docGrid w:type="lines" w:linePitch="312" w:charSpace="0"/>
        </w:sectPr>
      </w:pPr>
    </w:p>
    <w:p>
      <w:pPr>
        <w:spacing w:before="0" w:after="0" w:line="240" w:lineRule="auto"/>
        <w:ind w:left="0" w:leftChars="0" w:right="0" w:rightChars="0" w:firstLine="0" w:firstLineChars="0"/>
        <w:jc w:val="center"/>
        <w:rPr>
          <w:rFonts w:hint="eastAsia" w:ascii="方正小标宋_GBK" w:hAnsi="方正小标宋_GBK" w:eastAsia="方正小标宋_GBK" w:cs="方正小标宋_GBK"/>
          <w:b/>
          <w:bCs/>
          <w:sz w:val="40"/>
          <w:szCs w:val="40"/>
        </w:rPr>
      </w:pPr>
      <w:r>
        <w:rPr>
          <w:rFonts w:hint="eastAsia" w:ascii="方正小标宋_GBK" w:hAnsi="方正小标宋_GBK" w:eastAsia="方正小标宋_GBK" w:cs="方正小标宋_GBK"/>
          <w:b/>
          <w:bCs/>
          <w:sz w:val="40"/>
          <w:szCs w:val="40"/>
        </w:rPr>
        <w:t>目录</w:t>
      </w:r>
    </w:p>
    <w:p>
      <w:pPr>
        <w:pStyle w:val="8"/>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fldChar w:fldCharType="begin"/>
      </w:r>
      <w:r>
        <w:rPr>
          <w:rFonts w:hint="eastAsia" w:ascii="方正仿宋_GBK" w:hAnsi="方正仿宋_GBK" w:eastAsia="方正仿宋_GBK" w:cs="方正仿宋_GBK"/>
          <w:sz w:val="30"/>
          <w:szCs w:val="30"/>
          <w:lang w:val="en-US" w:eastAsia="zh-CN"/>
        </w:rPr>
        <w:instrText xml:space="preserve">TOC \o "1-2" \h \u </w:instrText>
      </w:r>
      <w:r>
        <w:rPr>
          <w:rFonts w:hint="eastAsia" w:ascii="方正仿宋_GBK" w:hAnsi="方正仿宋_GBK" w:eastAsia="方正仿宋_GBK" w:cs="方正仿宋_GBK"/>
          <w:sz w:val="30"/>
          <w:szCs w:val="30"/>
          <w:lang w:val="en-US" w:eastAsia="zh-CN"/>
        </w:rPr>
        <w:fldChar w:fldCharType="separate"/>
      </w:r>
    </w:p>
    <w:p>
      <w:pPr>
        <w:pStyle w:val="8"/>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fldChar w:fldCharType="begin"/>
      </w:r>
      <w:r>
        <w:rPr>
          <w:rFonts w:hint="eastAsia" w:ascii="方正仿宋_GBK" w:hAnsi="方正仿宋_GBK" w:eastAsia="方正仿宋_GBK" w:cs="方正仿宋_GBK"/>
          <w:sz w:val="30"/>
          <w:szCs w:val="30"/>
          <w:lang w:val="en-US" w:eastAsia="zh-CN"/>
        </w:rPr>
        <w:instrText xml:space="preserve"> HYPERLINK \l _Toc11129 </w:instrText>
      </w:r>
      <w:r>
        <w:rPr>
          <w:rFonts w:hint="eastAsia" w:ascii="方正仿宋_GBK" w:hAnsi="方正仿宋_GBK" w:eastAsia="方正仿宋_GBK" w:cs="方正仿宋_GBK"/>
          <w:sz w:val="30"/>
          <w:szCs w:val="30"/>
          <w:lang w:val="en-US" w:eastAsia="zh-CN"/>
        </w:rPr>
        <w:fldChar w:fldCharType="separate"/>
      </w:r>
      <w:r>
        <w:rPr>
          <w:rFonts w:hint="eastAsia" w:ascii="方正仿宋_GBK" w:hAnsi="方正仿宋_GBK" w:eastAsia="方正仿宋_GBK" w:cs="方正仿宋_GBK"/>
          <w:sz w:val="30"/>
          <w:szCs w:val="30"/>
        </w:rPr>
        <w:t>一、部门基本情况</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_Toc11129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- 1 -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lang w:val="en-US" w:eastAsia="zh-CN"/>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fldChar w:fldCharType="begin"/>
      </w:r>
      <w:r>
        <w:rPr>
          <w:rFonts w:hint="eastAsia" w:ascii="方正仿宋_GBK" w:hAnsi="方正仿宋_GBK" w:eastAsia="方正仿宋_GBK" w:cs="方正仿宋_GBK"/>
          <w:sz w:val="30"/>
          <w:szCs w:val="30"/>
          <w:lang w:val="en-US" w:eastAsia="zh-CN"/>
        </w:rPr>
        <w:instrText xml:space="preserve"> HYPERLINK \l _Toc19902 </w:instrText>
      </w:r>
      <w:r>
        <w:rPr>
          <w:rFonts w:hint="eastAsia" w:ascii="方正仿宋_GBK" w:hAnsi="方正仿宋_GBK" w:eastAsia="方正仿宋_GBK" w:cs="方正仿宋_GBK"/>
          <w:sz w:val="30"/>
          <w:szCs w:val="30"/>
          <w:lang w:val="en-US" w:eastAsia="zh-CN"/>
        </w:rPr>
        <w:fldChar w:fldCharType="separate"/>
      </w:r>
      <w:r>
        <w:rPr>
          <w:rFonts w:hint="eastAsia" w:ascii="方正仿宋_GBK" w:hAnsi="方正仿宋_GBK" w:eastAsia="方正仿宋_GBK" w:cs="方正仿宋_GBK"/>
          <w:sz w:val="30"/>
          <w:szCs w:val="30"/>
        </w:rPr>
        <w:t>（一）部门概况</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_Toc19902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- 1 -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lang w:val="en-US" w:eastAsia="zh-CN"/>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fldChar w:fldCharType="begin"/>
      </w:r>
      <w:r>
        <w:rPr>
          <w:rFonts w:hint="eastAsia" w:ascii="方正仿宋_GBK" w:hAnsi="方正仿宋_GBK" w:eastAsia="方正仿宋_GBK" w:cs="方正仿宋_GBK"/>
          <w:sz w:val="30"/>
          <w:szCs w:val="30"/>
          <w:lang w:val="en-US" w:eastAsia="zh-CN"/>
        </w:rPr>
        <w:instrText xml:space="preserve"> HYPERLINK \l _Toc8013 </w:instrText>
      </w:r>
      <w:r>
        <w:rPr>
          <w:rFonts w:hint="eastAsia" w:ascii="方正仿宋_GBK" w:hAnsi="方正仿宋_GBK" w:eastAsia="方正仿宋_GBK" w:cs="方正仿宋_GBK"/>
          <w:sz w:val="30"/>
          <w:szCs w:val="30"/>
          <w:lang w:val="en-US" w:eastAsia="zh-CN"/>
        </w:rPr>
        <w:fldChar w:fldCharType="separate"/>
      </w:r>
      <w:r>
        <w:rPr>
          <w:rFonts w:hint="eastAsia" w:ascii="方正仿宋_GBK" w:hAnsi="方正仿宋_GBK" w:eastAsia="方正仿宋_GBK" w:cs="方正仿宋_GBK"/>
          <w:sz w:val="30"/>
          <w:szCs w:val="30"/>
        </w:rPr>
        <w:t>（</w:t>
      </w:r>
      <w:r>
        <w:rPr>
          <w:rFonts w:hint="eastAsia" w:ascii="方正仿宋_GBK" w:hAnsi="方正仿宋_GBK" w:eastAsia="方正仿宋_GBK" w:cs="方正仿宋_GBK"/>
          <w:sz w:val="30"/>
          <w:szCs w:val="30"/>
          <w:lang w:val="en-US" w:eastAsia="zh-CN"/>
        </w:rPr>
        <w:t>二</w:t>
      </w:r>
      <w:r>
        <w:rPr>
          <w:rFonts w:hint="eastAsia" w:ascii="方正仿宋_GBK" w:hAnsi="方正仿宋_GBK" w:eastAsia="方正仿宋_GBK" w:cs="方正仿宋_GBK"/>
          <w:sz w:val="30"/>
          <w:szCs w:val="30"/>
        </w:rPr>
        <w:t>）部门绩效目标</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_Toc8013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- 11 -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lang w:val="en-US" w:eastAsia="zh-CN"/>
        </w:rPr>
        <w:fldChar w:fldCharType="end"/>
      </w:r>
    </w:p>
    <w:p>
      <w:pPr>
        <w:pStyle w:val="8"/>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fldChar w:fldCharType="begin"/>
      </w:r>
      <w:r>
        <w:rPr>
          <w:rFonts w:hint="eastAsia" w:ascii="方正仿宋_GBK" w:hAnsi="方正仿宋_GBK" w:eastAsia="方正仿宋_GBK" w:cs="方正仿宋_GBK"/>
          <w:sz w:val="30"/>
          <w:szCs w:val="30"/>
          <w:lang w:val="en-US" w:eastAsia="zh-CN"/>
        </w:rPr>
        <w:instrText xml:space="preserve"> HYPERLINK \l _Toc24335 </w:instrText>
      </w:r>
      <w:r>
        <w:rPr>
          <w:rFonts w:hint="eastAsia" w:ascii="方正仿宋_GBK" w:hAnsi="方正仿宋_GBK" w:eastAsia="方正仿宋_GBK" w:cs="方正仿宋_GBK"/>
          <w:sz w:val="30"/>
          <w:szCs w:val="30"/>
          <w:lang w:val="en-US" w:eastAsia="zh-CN"/>
        </w:rPr>
        <w:fldChar w:fldCharType="separate"/>
      </w:r>
      <w:r>
        <w:rPr>
          <w:rFonts w:hint="eastAsia" w:ascii="方正仿宋_GBK" w:hAnsi="方正仿宋_GBK" w:eastAsia="方正仿宋_GBK" w:cs="方正仿宋_GBK"/>
          <w:sz w:val="30"/>
          <w:szCs w:val="30"/>
          <w:lang w:val="en-US" w:eastAsia="zh-CN"/>
        </w:rPr>
        <w:t>二</w:t>
      </w:r>
      <w:r>
        <w:rPr>
          <w:rFonts w:hint="eastAsia" w:ascii="方正仿宋_GBK" w:hAnsi="方正仿宋_GBK" w:eastAsia="方正仿宋_GBK" w:cs="方正仿宋_GBK"/>
          <w:sz w:val="30"/>
          <w:szCs w:val="30"/>
          <w:lang w:val="zh-CN"/>
        </w:rPr>
        <w:t>、绩效评价工作</w:t>
      </w:r>
      <w:r>
        <w:rPr>
          <w:rFonts w:hint="eastAsia" w:ascii="方正仿宋_GBK" w:hAnsi="方正仿宋_GBK" w:eastAsia="方正仿宋_GBK" w:cs="方正仿宋_GBK"/>
          <w:sz w:val="30"/>
          <w:szCs w:val="30"/>
          <w:lang w:val="en-US" w:eastAsia="zh-CN"/>
        </w:rPr>
        <w:t>开展</w:t>
      </w:r>
      <w:r>
        <w:rPr>
          <w:rFonts w:hint="eastAsia" w:ascii="方正仿宋_GBK" w:hAnsi="方正仿宋_GBK" w:eastAsia="方正仿宋_GBK" w:cs="方正仿宋_GBK"/>
          <w:sz w:val="30"/>
          <w:szCs w:val="30"/>
          <w:lang w:val="zh-CN"/>
        </w:rPr>
        <w:t>情况</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_Toc24335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- 13 -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lang w:val="en-US" w:eastAsia="zh-CN"/>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fldChar w:fldCharType="begin"/>
      </w:r>
      <w:r>
        <w:rPr>
          <w:rFonts w:hint="eastAsia" w:ascii="方正仿宋_GBK" w:hAnsi="方正仿宋_GBK" w:eastAsia="方正仿宋_GBK" w:cs="方正仿宋_GBK"/>
          <w:sz w:val="30"/>
          <w:szCs w:val="30"/>
          <w:lang w:val="en-US" w:eastAsia="zh-CN"/>
        </w:rPr>
        <w:instrText xml:space="preserve"> HYPERLINK \l _Toc18217 </w:instrText>
      </w:r>
      <w:r>
        <w:rPr>
          <w:rFonts w:hint="eastAsia" w:ascii="方正仿宋_GBK" w:hAnsi="方正仿宋_GBK" w:eastAsia="方正仿宋_GBK" w:cs="方正仿宋_GBK"/>
          <w:sz w:val="30"/>
          <w:szCs w:val="30"/>
          <w:lang w:val="en-US" w:eastAsia="zh-CN"/>
        </w:rPr>
        <w:fldChar w:fldCharType="separate"/>
      </w:r>
      <w:r>
        <w:rPr>
          <w:rFonts w:hint="eastAsia" w:ascii="方正仿宋_GBK" w:hAnsi="方正仿宋_GBK" w:eastAsia="方正仿宋_GBK" w:cs="方正仿宋_GBK"/>
          <w:sz w:val="30"/>
          <w:szCs w:val="30"/>
        </w:rPr>
        <w:t>（一）绩效评价原则</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_Toc18217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- 13 -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lang w:val="en-US" w:eastAsia="zh-CN"/>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fldChar w:fldCharType="begin"/>
      </w:r>
      <w:r>
        <w:rPr>
          <w:rFonts w:hint="eastAsia" w:ascii="方正仿宋_GBK" w:hAnsi="方正仿宋_GBK" w:eastAsia="方正仿宋_GBK" w:cs="方正仿宋_GBK"/>
          <w:sz w:val="30"/>
          <w:szCs w:val="30"/>
          <w:lang w:val="en-US" w:eastAsia="zh-CN"/>
        </w:rPr>
        <w:instrText xml:space="preserve"> HYPERLINK \l _Toc21035 </w:instrText>
      </w:r>
      <w:r>
        <w:rPr>
          <w:rFonts w:hint="eastAsia" w:ascii="方正仿宋_GBK" w:hAnsi="方正仿宋_GBK" w:eastAsia="方正仿宋_GBK" w:cs="方正仿宋_GBK"/>
          <w:sz w:val="30"/>
          <w:szCs w:val="30"/>
          <w:lang w:val="en-US" w:eastAsia="zh-CN"/>
        </w:rPr>
        <w:fldChar w:fldCharType="separate"/>
      </w:r>
      <w:r>
        <w:rPr>
          <w:rFonts w:hint="eastAsia" w:ascii="方正仿宋_GBK" w:hAnsi="方正仿宋_GBK" w:eastAsia="方正仿宋_GBK" w:cs="方正仿宋_GBK"/>
          <w:sz w:val="30"/>
          <w:szCs w:val="30"/>
        </w:rPr>
        <w:t>（二） 绩效评价范围</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_Toc21035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- 13 -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lang w:val="en-US" w:eastAsia="zh-CN"/>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fldChar w:fldCharType="begin"/>
      </w:r>
      <w:r>
        <w:rPr>
          <w:rFonts w:hint="eastAsia" w:ascii="方正仿宋_GBK" w:hAnsi="方正仿宋_GBK" w:eastAsia="方正仿宋_GBK" w:cs="方正仿宋_GBK"/>
          <w:sz w:val="30"/>
          <w:szCs w:val="30"/>
          <w:lang w:val="en-US" w:eastAsia="zh-CN"/>
        </w:rPr>
        <w:instrText xml:space="preserve"> HYPERLINK \l _Toc31458 </w:instrText>
      </w:r>
      <w:r>
        <w:rPr>
          <w:rFonts w:hint="eastAsia" w:ascii="方正仿宋_GBK" w:hAnsi="方正仿宋_GBK" w:eastAsia="方正仿宋_GBK" w:cs="方正仿宋_GBK"/>
          <w:sz w:val="30"/>
          <w:szCs w:val="30"/>
          <w:lang w:val="en-US" w:eastAsia="zh-CN"/>
        </w:rPr>
        <w:fldChar w:fldCharType="separate"/>
      </w:r>
      <w:r>
        <w:rPr>
          <w:rFonts w:hint="eastAsia" w:ascii="方正仿宋_GBK" w:hAnsi="方正仿宋_GBK" w:eastAsia="方正仿宋_GBK" w:cs="方正仿宋_GBK"/>
          <w:sz w:val="30"/>
          <w:szCs w:val="30"/>
        </w:rPr>
        <w:t>（</w:t>
      </w:r>
      <w:r>
        <w:rPr>
          <w:rFonts w:hint="eastAsia" w:ascii="方正仿宋_GBK" w:hAnsi="方正仿宋_GBK" w:eastAsia="方正仿宋_GBK" w:cs="方正仿宋_GBK"/>
          <w:sz w:val="30"/>
          <w:szCs w:val="30"/>
          <w:lang w:val="en-US" w:eastAsia="zh-CN"/>
        </w:rPr>
        <w:t>三</w:t>
      </w:r>
      <w:r>
        <w:rPr>
          <w:rFonts w:hint="eastAsia" w:ascii="方正仿宋_GBK" w:hAnsi="方正仿宋_GBK" w:eastAsia="方正仿宋_GBK" w:cs="方正仿宋_GBK"/>
          <w:sz w:val="30"/>
          <w:szCs w:val="30"/>
        </w:rPr>
        <w:t>）评价方法</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_Toc31458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- 15 -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lang w:val="en-US" w:eastAsia="zh-CN"/>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fldChar w:fldCharType="begin"/>
      </w:r>
      <w:r>
        <w:rPr>
          <w:rFonts w:hint="eastAsia" w:ascii="方正仿宋_GBK" w:hAnsi="方正仿宋_GBK" w:eastAsia="方正仿宋_GBK" w:cs="方正仿宋_GBK"/>
          <w:sz w:val="30"/>
          <w:szCs w:val="30"/>
          <w:lang w:val="en-US" w:eastAsia="zh-CN"/>
        </w:rPr>
        <w:instrText xml:space="preserve"> HYPERLINK \l _Toc10360 </w:instrText>
      </w:r>
      <w:r>
        <w:rPr>
          <w:rFonts w:hint="eastAsia" w:ascii="方正仿宋_GBK" w:hAnsi="方正仿宋_GBK" w:eastAsia="方正仿宋_GBK" w:cs="方正仿宋_GBK"/>
          <w:sz w:val="30"/>
          <w:szCs w:val="30"/>
          <w:lang w:val="en-US" w:eastAsia="zh-CN"/>
        </w:rPr>
        <w:fldChar w:fldCharType="separate"/>
      </w:r>
      <w:r>
        <w:rPr>
          <w:rFonts w:hint="eastAsia" w:ascii="方正仿宋_GBK" w:hAnsi="方正仿宋_GBK" w:eastAsia="方正仿宋_GBK" w:cs="方正仿宋_GBK"/>
          <w:sz w:val="30"/>
          <w:szCs w:val="30"/>
        </w:rPr>
        <w:t>（</w:t>
      </w:r>
      <w:r>
        <w:rPr>
          <w:rFonts w:hint="eastAsia" w:ascii="方正仿宋_GBK" w:hAnsi="方正仿宋_GBK" w:eastAsia="方正仿宋_GBK" w:cs="方正仿宋_GBK"/>
          <w:sz w:val="30"/>
          <w:szCs w:val="30"/>
          <w:lang w:val="en-US" w:eastAsia="zh-CN"/>
        </w:rPr>
        <w:t>四</w:t>
      </w:r>
      <w:r>
        <w:rPr>
          <w:rFonts w:hint="eastAsia" w:ascii="方正仿宋_GBK" w:hAnsi="方正仿宋_GBK" w:eastAsia="方正仿宋_GBK" w:cs="方正仿宋_GBK"/>
          <w:sz w:val="30"/>
          <w:szCs w:val="30"/>
        </w:rPr>
        <w:t>）绩效评价工作程序</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_Toc10360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- 18 -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lang w:val="en-US" w:eastAsia="zh-CN"/>
        </w:rPr>
        <w:fldChar w:fldCharType="end"/>
      </w:r>
    </w:p>
    <w:p>
      <w:pPr>
        <w:pStyle w:val="8"/>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fldChar w:fldCharType="begin"/>
      </w:r>
      <w:r>
        <w:rPr>
          <w:rFonts w:hint="eastAsia" w:ascii="方正仿宋_GBK" w:hAnsi="方正仿宋_GBK" w:eastAsia="方正仿宋_GBK" w:cs="方正仿宋_GBK"/>
          <w:sz w:val="30"/>
          <w:szCs w:val="30"/>
          <w:lang w:val="en-US" w:eastAsia="zh-CN"/>
        </w:rPr>
        <w:instrText xml:space="preserve"> HYPERLINK \l _Toc22965 </w:instrText>
      </w:r>
      <w:r>
        <w:rPr>
          <w:rFonts w:hint="eastAsia" w:ascii="方正仿宋_GBK" w:hAnsi="方正仿宋_GBK" w:eastAsia="方正仿宋_GBK" w:cs="方正仿宋_GBK"/>
          <w:sz w:val="30"/>
          <w:szCs w:val="30"/>
          <w:lang w:val="en-US" w:eastAsia="zh-CN"/>
        </w:rPr>
        <w:fldChar w:fldCharType="separate"/>
      </w:r>
      <w:r>
        <w:rPr>
          <w:rFonts w:hint="eastAsia" w:ascii="方正仿宋_GBK" w:hAnsi="方正仿宋_GBK" w:eastAsia="方正仿宋_GBK" w:cs="方正仿宋_GBK"/>
          <w:sz w:val="30"/>
          <w:szCs w:val="30"/>
          <w:lang w:val="en-US" w:eastAsia="zh-CN"/>
        </w:rPr>
        <w:t>三</w:t>
      </w:r>
      <w:r>
        <w:rPr>
          <w:rFonts w:hint="eastAsia" w:ascii="方正仿宋_GBK" w:hAnsi="方正仿宋_GBK" w:eastAsia="方正仿宋_GBK" w:cs="方正仿宋_GBK"/>
          <w:sz w:val="30"/>
          <w:szCs w:val="30"/>
          <w:lang w:val="zh-CN"/>
        </w:rPr>
        <w:t>、绩效评价情况</w:t>
      </w:r>
      <w:r>
        <w:rPr>
          <w:rFonts w:hint="eastAsia" w:ascii="方正仿宋_GBK" w:hAnsi="方正仿宋_GBK" w:eastAsia="方正仿宋_GBK" w:cs="方正仿宋_GBK"/>
          <w:sz w:val="30"/>
          <w:szCs w:val="30"/>
          <w:lang w:val="en-US" w:eastAsia="zh-CN"/>
        </w:rPr>
        <w:t>及评价结论</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_Toc22965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- 20 -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lang w:val="en-US" w:eastAsia="zh-CN"/>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fldChar w:fldCharType="begin"/>
      </w:r>
      <w:r>
        <w:rPr>
          <w:rFonts w:hint="eastAsia" w:ascii="方正仿宋_GBK" w:hAnsi="方正仿宋_GBK" w:eastAsia="方正仿宋_GBK" w:cs="方正仿宋_GBK"/>
          <w:sz w:val="30"/>
          <w:szCs w:val="30"/>
          <w:lang w:val="en-US" w:eastAsia="zh-CN"/>
        </w:rPr>
        <w:instrText xml:space="preserve"> HYPERLINK \l _Toc17517 </w:instrText>
      </w:r>
      <w:r>
        <w:rPr>
          <w:rFonts w:hint="eastAsia" w:ascii="方正仿宋_GBK" w:hAnsi="方正仿宋_GBK" w:eastAsia="方正仿宋_GBK" w:cs="方正仿宋_GBK"/>
          <w:sz w:val="30"/>
          <w:szCs w:val="30"/>
          <w:lang w:val="en-US" w:eastAsia="zh-CN"/>
        </w:rPr>
        <w:fldChar w:fldCharType="separate"/>
      </w:r>
      <w:r>
        <w:rPr>
          <w:rFonts w:hint="eastAsia" w:ascii="方正仿宋_GBK" w:hAnsi="方正仿宋_GBK" w:eastAsia="方正仿宋_GBK" w:cs="方正仿宋_GBK"/>
          <w:sz w:val="30"/>
          <w:szCs w:val="30"/>
        </w:rPr>
        <w:t>（一）绩效评价总体情况</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_Toc17517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- 20 -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lang w:val="en-US" w:eastAsia="zh-CN"/>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fldChar w:fldCharType="begin"/>
      </w:r>
      <w:r>
        <w:rPr>
          <w:rFonts w:hint="eastAsia" w:ascii="方正仿宋_GBK" w:hAnsi="方正仿宋_GBK" w:eastAsia="方正仿宋_GBK" w:cs="方正仿宋_GBK"/>
          <w:sz w:val="30"/>
          <w:szCs w:val="30"/>
          <w:lang w:val="en-US" w:eastAsia="zh-CN"/>
        </w:rPr>
        <w:instrText xml:space="preserve"> HYPERLINK \l _Toc6075 </w:instrText>
      </w:r>
      <w:r>
        <w:rPr>
          <w:rFonts w:hint="eastAsia" w:ascii="方正仿宋_GBK" w:hAnsi="方正仿宋_GBK" w:eastAsia="方正仿宋_GBK" w:cs="方正仿宋_GBK"/>
          <w:sz w:val="30"/>
          <w:szCs w:val="30"/>
          <w:lang w:val="en-US" w:eastAsia="zh-CN"/>
        </w:rPr>
        <w:fldChar w:fldCharType="separate"/>
      </w:r>
      <w:r>
        <w:rPr>
          <w:rFonts w:hint="eastAsia" w:ascii="方正仿宋_GBK" w:hAnsi="方正仿宋_GBK" w:eastAsia="方正仿宋_GBK" w:cs="方正仿宋_GBK"/>
          <w:sz w:val="30"/>
          <w:szCs w:val="30"/>
        </w:rPr>
        <w:t>（二）资金情况分析</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_Toc6075 \h </w:instrText>
      </w:r>
      <w:r>
        <w:rPr>
          <w:rFonts w:hint="eastAsia" w:ascii="方正仿宋_GBK" w:hAnsi="方正仿宋_GBK" w:eastAsia="方正仿宋_GBK" w:cs="方正仿宋_GBK"/>
          <w:sz w:val="30"/>
          <w:szCs w:val="30"/>
        </w:rPr>
        <w:fldChar w:fldCharType="separate"/>
      </w:r>
      <w:r>
        <w:rPr>
          <w:b/>
        </w:rPr>
        <w:t>错误！未定义书签。</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lang w:val="en-US" w:eastAsia="zh-CN"/>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fldChar w:fldCharType="begin"/>
      </w:r>
      <w:r>
        <w:rPr>
          <w:rFonts w:hint="eastAsia" w:ascii="方正仿宋_GBK" w:hAnsi="方正仿宋_GBK" w:eastAsia="方正仿宋_GBK" w:cs="方正仿宋_GBK"/>
          <w:sz w:val="30"/>
          <w:szCs w:val="30"/>
          <w:lang w:val="en-US" w:eastAsia="zh-CN"/>
        </w:rPr>
        <w:instrText xml:space="preserve"> HYPERLINK \l _Toc13923 </w:instrText>
      </w:r>
      <w:r>
        <w:rPr>
          <w:rFonts w:hint="eastAsia" w:ascii="方正仿宋_GBK" w:hAnsi="方正仿宋_GBK" w:eastAsia="方正仿宋_GBK" w:cs="方正仿宋_GBK"/>
          <w:sz w:val="30"/>
          <w:szCs w:val="30"/>
          <w:lang w:val="en-US" w:eastAsia="zh-CN"/>
        </w:rPr>
        <w:fldChar w:fldCharType="separate"/>
      </w:r>
      <w:r>
        <w:rPr>
          <w:rFonts w:hint="eastAsia" w:ascii="方正仿宋_GBK" w:hAnsi="方正仿宋_GBK" w:eastAsia="方正仿宋_GBK" w:cs="方正仿宋_GBK"/>
          <w:sz w:val="30"/>
          <w:szCs w:val="30"/>
        </w:rPr>
        <w:t>（三）组织管理情况分析</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_Toc13923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- 21 -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lang w:val="en-US" w:eastAsia="zh-CN"/>
        </w:rPr>
        <w:fldChar w:fldCharType="end"/>
      </w:r>
    </w:p>
    <w:p>
      <w:pPr>
        <w:pStyle w:val="8"/>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fldChar w:fldCharType="begin"/>
      </w:r>
      <w:r>
        <w:rPr>
          <w:rFonts w:hint="eastAsia" w:ascii="方正仿宋_GBK" w:hAnsi="方正仿宋_GBK" w:eastAsia="方正仿宋_GBK" w:cs="方正仿宋_GBK"/>
          <w:sz w:val="30"/>
          <w:szCs w:val="30"/>
          <w:lang w:val="en-US" w:eastAsia="zh-CN"/>
        </w:rPr>
        <w:instrText xml:space="preserve"> HYPERLINK \l _Toc17868 </w:instrText>
      </w:r>
      <w:r>
        <w:rPr>
          <w:rFonts w:hint="eastAsia" w:ascii="方正仿宋_GBK" w:hAnsi="方正仿宋_GBK" w:eastAsia="方正仿宋_GBK" w:cs="方正仿宋_GBK"/>
          <w:sz w:val="30"/>
          <w:szCs w:val="30"/>
          <w:lang w:val="en-US" w:eastAsia="zh-CN"/>
        </w:rPr>
        <w:fldChar w:fldCharType="separate"/>
      </w:r>
      <w:r>
        <w:rPr>
          <w:rFonts w:hint="eastAsia" w:ascii="方正仿宋_GBK" w:hAnsi="方正仿宋_GBK" w:eastAsia="方正仿宋_GBK" w:cs="方正仿宋_GBK"/>
          <w:bCs/>
          <w:sz w:val="30"/>
          <w:szCs w:val="30"/>
          <w:lang w:val="en-US" w:eastAsia="zh-CN"/>
        </w:rPr>
        <w:t>四、</w:t>
      </w:r>
      <w:r>
        <w:rPr>
          <w:rFonts w:hint="eastAsia" w:ascii="方正仿宋_GBK" w:hAnsi="方正仿宋_GBK" w:eastAsia="方正仿宋_GBK" w:cs="方正仿宋_GBK"/>
          <w:bCs/>
          <w:sz w:val="30"/>
          <w:szCs w:val="30"/>
        </w:rPr>
        <w:t>绩效</w:t>
      </w:r>
      <w:r>
        <w:rPr>
          <w:rFonts w:hint="eastAsia" w:ascii="方正仿宋_GBK" w:hAnsi="方正仿宋_GBK" w:eastAsia="方正仿宋_GBK" w:cs="方正仿宋_GBK"/>
          <w:bCs/>
          <w:sz w:val="30"/>
          <w:szCs w:val="30"/>
          <w:lang w:val="en-US" w:eastAsia="zh-CN"/>
        </w:rPr>
        <w:t>评价指标分</w:t>
      </w:r>
      <w:r>
        <w:rPr>
          <w:rFonts w:hint="eastAsia" w:ascii="方正仿宋_GBK" w:hAnsi="方正仿宋_GBK" w:eastAsia="方正仿宋_GBK" w:cs="方正仿宋_GBK"/>
          <w:bCs/>
          <w:sz w:val="30"/>
          <w:szCs w:val="30"/>
        </w:rPr>
        <w:t>析</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_Toc17868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- 21 -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lang w:val="en-US" w:eastAsia="zh-CN"/>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fldChar w:fldCharType="begin"/>
      </w:r>
      <w:r>
        <w:rPr>
          <w:rFonts w:hint="eastAsia" w:ascii="方正仿宋_GBK" w:hAnsi="方正仿宋_GBK" w:eastAsia="方正仿宋_GBK" w:cs="方正仿宋_GBK"/>
          <w:sz w:val="30"/>
          <w:szCs w:val="30"/>
          <w:lang w:val="en-US" w:eastAsia="zh-CN"/>
        </w:rPr>
        <w:instrText xml:space="preserve"> HYPERLINK \l _Toc19373 </w:instrText>
      </w:r>
      <w:r>
        <w:rPr>
          <w:rFonts w:hint="eastAsia" w:ascii="方正仿宋_GBK" w:hAnsi="方正仿宋_GBK" w:eastAsia="方正仿宋_GBK" w:cs="方正仿宋_GBK"/>
          <w:sz w:val="30"/>
          <w:szCs w:val="30"/>
          <w:lang w:val="en-US" w:eastAsia="zh-CN"/>
        </w:rPr>
        <w:fldChar w:fldCharType="separate"/>
      </w:r>
      <w:r>
        <w:rPr>
          <w:rFonts w:hint="eastAsia" w:ascii="方正仿宋_GBK" w:hAnsi="方正仿宋_GBK" w:eastAsia="方正仿宋_GBK" w:cs="方正仿宋_GBK"/>
          <w:bCs/>
          <w:spacing w:val="6"/>
          <w:sz w:val="30"/>
          <w:szCs w:val="30"/>
          <w:highlight w:val="none"/>
          <w:lang w:val="en-US" w:eastAsia="zh-CN"/>
        </w:rPr>
        <w:t>（一）项目决策情况</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_Toc19373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- 22 -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lang w:val="en-US" w:eastAsia="zh-CN"/>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fldChar w:fldCharType="begin"/>
      </w:r>
      <w:r>
        <w:rPr>
          <w:rFonts w:hint="eastAsia" w:ascii="方正仿宋_GBK" w:hAnsi="方正仿宋_GBK" w:eastAsia="方正仿宋_GBK" w:cs="方正仿宋_GBK"/>
          <w:sz w:val="30"/>
          <w:szCs w:val="30"/>
          <w:lang w:val="en-US" w:eastAsia="zh-CN"/>
        </w:rPr>
        <w:instrText xml:space="preserve"> HYPERLINK \l _Toc14017 </w:instrText>
      </w:r>
      <w:r>
        <w:rPr>
          <w:rFonts w:hint="eastAsia" w:ascii="方正仿宋_GBK" w:hAnsi="方正仿宋_GBK" w:eastAsia="方正仿宋_GBK" w:cs="方正仿宋_GBK"/>
          <w:sz w:val="30"/>
          <w:szCs w:val="30"/>
          <w:lang w:val="en-US" w:eastAsia="zh-CN"/>
        </w:rPr>
        <w:fldChar w:fldCharType="separate"/>
      </w:r>
      <w:r>
        <w:rPr>
          <w:rFonts w:hint="eastAsia" w:ascii="方正仿宋_GBK" w:hAnsi="方正仿宋_GBK" w:eastAsia="方正仿宋_GBK" w:cs="方正仿宋_GBK"/>
          <w:bCs/>
          <w:spacing w:val="6"/>
          <w:sz w:val="30"/>
          <w:szCs w:val="30"/>
          <w:lang w:val="en-US" w:eastAsia="zh-CN"/>
        </w:rPr>
        <w:t>（二）项目过程情况</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_Toc14017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- 24 -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lang w:val="en-US" w:eastAsia="zh-CN"/>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fldChar w:fldCharType="begin"/>
      </w:r>
      <w:r>
        <w:rPr>
          <w:rFonts w:hint="eastAsia" w:ascii="方正仿宋_GBK" w:hAnsi="方正仿宋_GBK" w:eastAsia="方正仿宋_GBK" w:cs="方正仿宋_GBK"/>
          <w:sz w:val="30"/>
          <w:szCs w:val="30"/>
          <w:lang w:val="en-US" w:eastAsia="zh-CN"/>
        </w:rPr>
        <w:instrText xml:space="preserve"> HYPERLINK \l _Toc25043 </w:instrText>
      </w:r>
      <w:r>
        <w:rPr>
          <w:rFonts w:hint="eastAsia" w:ascii="方正仿宋_GBK" w:hAnsi="方正仿宋_GBK" w:eastAsia="方正仿宋_GBK" w:cs="方正仿宋_GBK"/>
          <w:sz w:val="30"/>
          <w:szCs w:val="30"/>
          <w:lang w:val="en-US" w:eastAsia="zh-CN"/>
        </w:rPr>
        <w:fldChar w:fldCharType="separate"/>
      </w:r>
      <w:r>
        <w:rPr>
          <w:rFonts w:hint="eastAsia" w:ascii="方正仿宋_GBK" w:hAnsi="方正仿宋_GBK" w:eastAsia="方正仿宋_GBK" w:cs="方正仿宋_GBK"/>
          <w:sz w:val="30"/>
          <w:szCs w:val="30"/>
        </w:rPr>
        <w:t>（</w:t>
      </w:r>
      <w:r>
        <w:rPr>
          <w:rFonts w:hint="eastAsia" w:ascii="方正仿宋_GBK" w:hAnsi="方正仿宋_GBK" w:eastAsia="方正仿宋_GBK" w:cs="方正仿宋_GBK"/>
          <w:sz w:val="30"/>
          <w:szCs w:val="30"/>
          <w:lang w:val="en-US" w:eastAsia="zh-CN"/>
        </w:rPr>
        <w:t>三</w:t>
      </w:r>
      <w:r>
        <w:rPr>
          <w:rFonts w:hint="eastAsia" w:ascii="方正仿宋_GBK" w:hAnsi="方正仿宋_GBK" w:eastAsia="方正仿宋_GBK" w:cs="方正仿宋_GBK"/>
          <w:sz w:val="30"/>
          <w:szCs w:val="30"/>
        </w:rPr>
        <w:t>）</w:t>
      </w:r>
      <w:r>
        <w:rPr>
          <w:rFonts w:hint="eastAsia" w:ascii="方正仿宋_GBK" w:hAnsi="方正仿宋_GBK" w:eastAsia="方正仿宋_GBK" w:cs="方正仿宋_GBK"/>
          <w:sz w:val="30"/>
          <w:szCs w:val="30"/>
          <w:lang w:val="en-US" w:eastAsia="zh-CN"/>
        </w:rPr>
        <w:t>项目</w:t>
      </w:r>
      <w:r>
        <w:rPr>
          <w:rFonts w:hint="eastAsia" w:ascii="方正仿宋_GBK" w:hAnsi="方正仿宋_GBK" w:eastAsia="方正仿宋_GBK" w:cs="方正仿宋_GBK"/>
          <w:sz w:val="30"/>
          <w:szCs w:val="30"/>
        </w:rPr>
        <w:t>产出</w:t>
      </w:r>
      <w:r>
        <w:rPr>
          <w:rFonts w:hint="eastAsia" w:ascii="方正仿宋_GBK" w:hAnsi="方正仿宋_GBK" w:eastAsia="方正仿宋_GBK" w:cs="方正仿宋_GBK"/>
          <w:sz w:val="30"/>
          <w:szCs w:val="30"/>
          <w:lang w:val="en-US" w:eastAsia="zh-CN"/>
        </w:rPr>
        <w:t>情况</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_Toc25043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- 30 -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lang w:val="en-US" w:eastAsia="zh-CN"/>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fldChar w:fldCharType="begin"/>
      </w:r>
      <w:r>
        <w:rPr>
          <w:rFonts w:hint="eastAsia" w:ascii="方正仿宋_GBK" w:hAnsi="方正仿宋_GBK" w:eastAsia="方正仿宋_GBK" w:cs="方正仿宋_GBK"/>
          <w:sz w:val="30"/>
          <w:szCs w:val="30"/>
          <w:lang w:val="en-US" w:eastAsia="zh-CN"/>
        </w:rPr>
        <w:instrText xml:space="preserve"> HYPERLINK \l _Toc13409 </w:instrText>
      </w:r>
      <w:r>
        <w:rPr>
          <w:rFonts w:hint="eastAsia" w:ascii="方正仿宋_GBK" w:hAnsi="方正仿宋_GBK" w:eastAsia="方正仿宋_GBK" w:cs="方正仿宋_GBK"/>
          <w:sz w:val="30"/>
          <w:szCs w:val="30"/>
          <w:lang w:val="en-US" w:eastAsia="zh-CN"/>
        </w:rPr>
        <w:fldChar w:fldCharType="separate"/>
      </w:r>
      <w:r>
        <w:rPr>
          <w:rFonts w:hint="eastAsia" w:ascii="方正仿宋_GBK" w:hAnsi="方正仿宋_GBK" w:eastAsia="方正仿宋_GBK" w:cs="方正仿宋_GBK"/>
          <w:bCs w:val="0"/>
          <w:spacing w:val="6"/>
          <w:sz w:val="30"/>
          <w:szCs w:val="30"/>
          <w:highlight w:val="none"/>
          <w:lang w:val="en-US" w:eastAsia="zh-CN"/>
        </w:rPr>
        <w:t>（四）项目效益情况</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_Toc13409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- 35 -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lang w:val="en-US" w:eastAsia="zh-CN"/>
        </w:rPr>
        <w:fldChar w:fldCharType="end"/>
      </w:r>
    </w:p>
    <w:p>
      <w:pPr>
        <w:pStyle w:val="8"/>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fldChar w:fldCharType="begin"/>
      </w:r>
      <w:r>
        <w:rPr>
          <w:rFonts w:hint="eastAsia" w:ascii="方正仿宋_GBK" w:hAnsi="方正仿宋_GBK" w:eastAsia="方正仿宋_GBK" w:cs="方正仿宋_GBK"/>
          <w:sz w:val="30"/>
          <w:szCs w:val="30"/>
          <w:lang w:val="en-US" w:eastAsia="zh-CN"/>
        </w:rPr>
        <w:instrText xml:space="preserve"> HYPERLINK \l _Toc7354 </w:instrText>
      </w:r>
      <w:r>
        <w:rPr>
          <w:rFonts w:hint="eastAsia" w:ascii="方正仿宋_GBK" w:hAnsi="方正仿宋_GBK" w:eastAsia="方正仿宋_GBK" w:cs="方正仿宋_GBK"/>
          <w:sz w:val="30"/>
          <w:szCs w:val="30"/>
          <w:lang w:val="en-US" w:eastAsia="zh-CN"/>
        </w:rPr>
        <w:fldChar w:fldCharType="separate"/>
      </w:r>
      <w:r>
        <w:rPr>
          <w:rFonts w:hint="eastAsia" w:ascii="方正仿宋_GBK" w:hAnsi="方正仿宋_GBK" w:eastAsia="方正仿宋_GBK" w:cs="方正仿宋_GBK"/>
          <w:sz w:val="30"/>
          <w:szCs w:val="30"/>
          <w:lang w:val="en-US" w:eastAsia="zh-CN"/>
        </w:rPr>
        <w:t>五</w:t>
      </w:r>
      <w:r>
        <w:rPr>
          <w:rFonts w:hint="eastAsia" w:ascii="方正仿宋_GBK" w:hAnsi="方正仿宋_GBK" w:eastAsia="方正仿宋_GBK" w:cs="方正仿宋_GBK"/>
          <w:sz w:val="30"/>
          <w:szCs w:val="30"/>
        </w:rPr>
        <w:t>、</w:t>
      </w:r>
      <w:r>
        <w:rPr>
          <w:rFonts w:hint="eastAsia" w:ascii="方正仿宋_GBK" w:hAnsi="方正仿宋_GBK" w:eastAsia="方正仿宋_GBK" w:cs="方正仿宋_GBK"/>
          <w:sz w:val="30"/>
          <w:szCs w:val="30"/>
          <w:lang w:val="en-US" w:eastAsia="zh-CN"/>
        </w:rPr>
        <w:t>主要经验及做法、</w:t>
      </w:r>
      <w:r>
        <w:rPr>
          <w:rFonts w:hint="eastAsia" w:ascii="方正仿宋_GBK" w:hAnsi="方正仿宋_GBK" w:eastAsia="方正仿宋_GBK" w:cs="方正仿宋_GBK"/>
          <w:sz w:val="30"/>
          <w:szCs w:val="30"/>
        </w:rPr>
        <w:t>存在的问题及</w:t>
      </w:r>
      <w:r>
        <w:rPr>
          <w:rFonts w:hint="eastAsia" w:ascii="方正仿宋_GBK" w:hAnsi="方正仿宋_GBK" w:eastAsia="方正仿宋_GBK" w:cs="方正仿宋_GBK"/>
          <w:sz w:val="30"/>
          <w:szCs w:val="30"/>
          <w:lang w:val="en-US" w:eastAsia="zh-CN"/>
        </w:rPr>
        <w:t>原因分析</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_Toc7354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- 37 -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lang w:val="en-US" w:eastAsia="zh-CN"/>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fldChar w:fldCharType="begin"/>
      </w:r>
      <w:r>
        <w:rPr>
          <w:rFonts w:hint="eastAsia" w:ascii="方正仿宋_GBK" w:hAnsi="方正仿宋_GBK" w:eastAsia="方正仿宋_GBK" w:cs="方正仿宋_GBK"/>
          <w:sz w:val="30"/>
          <w:szCs w:val="30"/>
          <w:lang w:val="en-US" w:eastAsia="zh-CN"/>
        </w:rPr>
        <w:instrText xml:space="preserve"> HYPERLINK \l _Toc18215 </w:instrText>
      </w:r>
      <w:r>
        <w:rPr>
          <w:rFonts w:hint="eastAsia" w:ascii="方正仿宋_GBK" w:hAnsi="方正仿宋_GBK" w:eastAsia="方正仿宋_GBK" w:cs="方正仿宋_GBK"/>
          <w:sz w:val="30"/>
          <w:szCs w:val="30"/>
          <w:lang w:val="en-US" w:eastAsia="zh-CN"/>
        </w:rPr>
        <w:fldChar w:fldCharType="separate"/>
      </w:r>
      <w:r>
        <w:rPr>
          <w:rFonts w:hint="eastAsia" w:ascii="方正仿宋_GBK" w:hAnsi="方正仿宋_GBK" w:eastAsia="方正仿宋_GBK" w:cs="方正仿宋_GBK"/>
          <w:bCs/>
          <w:sz w:val="30"/>
          <w:szCs w:val="30"/>
          <w:lang w:eastAsia="zh-CN"/>
        </w:rPr>
        <w:t>（</w:t>
      </w:r>
      <w:r>
        <w:rPr>
          <w:rFonts w:hint="eastAsia" w:ascii="方正仿宋_GBK" w:hAnsi="方正仿宋_GBK" w:eastAsia="方正仿宋_GBK" w:cs="方正仿宋_GBK"/>
          <w:bCs/>
          <w:sz w:val="30"/>
          <w:szCs w:val="30"/>
          <w:lang w:val="en-US" w:eastAsia="zh-CN"/>
        </w:rPr>
        <w:t>一）主要经验及做法</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_Toc18215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- 37 -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lang w:val="en-US" w:eastAsia="zh-CN"/>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fldChar w:fldCharType="begin"/>
      </w:r>
      <w:r>
        <w:rPr>
          <w:rFonts w:hint="eastAsia" w:ascii="方正仿宋_GBK" w:hAnsi="方正仿宋_GBK" w:eastAsia="方正仿宋_GBK" w:cs="方正仿宋_GBK"/>
          <w:sz w:val="30"/>
          <w:szCs w:val="30"/>
          <w:lang w:val="en-US" w:eastAsia="zh-CN"/>
        </w:rPr>
        <w:instrText xml:space="preserve"> HYPERLINK \l _Toc2017 </w:instrText>
      </w:r>
      <w:r>
        <w:rPr>
          <w:rFonts w:hint="eastAsia" w:ascii="方正仿宋_GBK" w:hAnsi="方正仿宋_GBK" w:eastAsia="方正仿宋_GBK" w:cs="方正仿宋_GBK"/>
          <w:sz w:val="30"/>
          <w:szCs w:val="30"/>
          <w:lang w:val="en-US" w:eastAsia="zh-CN"/>
        </w:rPr>
        <w:fldChar w:fldCharType="separate"/>
      </w:r>
      <w:r>
        <w:rPr>
          <w:rFonts w:hint="eastAsia" w:ascii="方正仿宋_GBK" w:hAnsi="方正仿宋_GBK" w:eastAsia="方正仿宋_GBK" w:cs="方正仿宋_GBK"/>
          <w:bCs/>
          <w:sz w:val="30"/>
          <w:szCs w:val="30"/>
        </w:rPr>
        <w:t>（</w:t>
      </w:r>
      <w:r>
        <w:rPr>
          <w:rFonts w:hint="eastAsia" w:ascii="方正仿宋_GBK" w:hAnsi="方正仿宋_GBK" w:eastAsia="方正仿宋_GBK" w:cs="方正仿宋_GBK"/>
          <w:bCs/>
          <w:sz w:val="30"/>
          <w:szCs w:val="30"/>
          <w:lang w:val="en-US" w:eastAsia="zh-CN"/>
        </w:rPr>
        <w:t>二</w:t>
      </w:r>
      <w:r>
        <w:rPr>
          <w:rFonts w:hint="eastAsia" w:ascii="方正仿宋_GBK" w:hAnsi="方正仿宋_GBK" w:eastAsia="方正仿宋_GBK" w:cs="方正仿宋_GBK"/>
          <w:bCs/>
          <w:sz w:val="30"/>
          <w:szCs w:val="30"/>
        </w:rPr>
        <w:t>）存在的问题</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_Toc2017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- 37 -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lang w:val="en-US" w:eastAsia="zh-CN"/>
        </w:rPr>
        <w:fldChar w:fldCharType="end"/>
      </w:r>
    </w:p>
    <w:p>
      <w:pPr>
        <w:pStyle w:val="8"/>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fldChar w:fldCharType="begin"/>
      </w:r>
      <w:r>
        <w:rPr>
          <w:rFonts w:hint="eastAsia" w:ascii="方正仿宋_GBK" w:hAnsi="方正仿宋_GBK" w:eastAsia="方正仿宋_GBK" w:cs="方正仿宋_GBK"/>
          <w:sz w:val="30"/>
          <w:szCs w:val="30"/>
          <w:lang w:val="en-US" w:eastAsia="zh-CN"/>
        </w:rPr>
        <w:instrText xml:space="preserve"> HYPERLINK \l _Toc1202 </w:instrText>
      </w:r>
      <w:r>
        <w:rPr>
          <w:rFonts w:hint="eastAsia" w:ascii="方正仿宋_GBK" w:hAnsi="方正仿宋_GBK" w:eastAsia="方正仿宋_GBK" w:cs="方正仿宋_GBK"/>
          <w:sz w:val="30"/>
          <w:szCs w:val="30"/>
          <w:lang w:val="en-US" w:eastAsia="zh-CN"/>
        </w:rPr>
        <w:fldChar w:fldCharType="separate"/>
      </w:r>
      <w:r>
        <w:rPr>
          <w:rFonts w:hint="eastAsia" w:ascii="方正仿宋_GBK" w:hAnsi="方正仿宋_GBK" w:eastAsia="方正仿宋_GBK" w:cs="方正仿宋_GBK"/>
          <w:bCs/>
          <w:sz w:val="30"/>
          <w:szCs w:val="30"/>
          <w:lang w:val="en-US" w:eastAsia="zh-CN"/>
        </w:rPr>
        <w:t>六、有关建议</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_Toc1202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- 38 -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lang w:val="en-US" w:eastAsia="zh-CN"/>
        </w:rPr>
        <w:fldChar w:fldCharType="end"/>
      </w:r>
    </w:p>
    <w:p>
      <w:pPr>
        <w:pStyle w:val="8"/>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fldChar w:fldCharType="begin"/>
      </w:r>
      <w:r>
        <w:rPr>
          <w:rFonts w:hint="eastAsia" w:ascii="方正仿宋_GBK" w:hAnsi="方正仿宋_GBK" w:eastAsia="方正仿宋_GBK" w:cs="方正仿宋_GBK"/>
          <w:sz w:val="30"/>
          <w:szCs w:val="30"/>
          <w:lang w:val="en-US" w:eastAsia="zh-CN"/>
        </w:rPr>
        <w:instrText xml:space="preserve"> HYPERLINK \l _Toc5683 </w:instrText>
      </w:r>
      <w:r>
        <w:rPr>
          <w:rFonts w:hint="eastAsia" w:ascii="方正仿宋_GBK" w:hAnsi="方正仿宋_GBK" w:eastAsia="方正仿宋_GBK" w:cs="方正仿宋_GBK"/>
          <w:sz w:val="30"/>
          <w:szCs w:val="30"/>
          <w:lang w:val="en-US" w:eastAsia="zh-CN"/>
        </w:rPr>
        <w:fldChar w:fldCharType="separate"/>
      </w:r>
      <w:r>
        <w:rPr>
          <w:rFonts w:hint="eastAsia" w:ascii="方正仿宋_GBK" w:hAnsi="方正仿宋_GBK" w:eastAsia="方正仿宋_GBK" w:cs="方正仿宋_GBK"/>
          <w:bCs/>
          <w:sz w:val="30"/>
          <w:szCs w:val="30"/>
        </w:rPr>
        <w:t>附件1 综合评分表</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_Toc5683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- 41 -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lang w:val="en-US" w:eastAsia="zh-CN"/>
        </w:rPr>
        <w:fldChar w:fldCharType="end"/>
      </w:r>
    </w:p>
    <w:p>
      <w:pPr>
        <w:pStyle w:val="8"/>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fldChar w:fldCharType="begin"/>
      </w:r>
      <w:r>
        <w:rPr>
          <w:rFonts w:hint="eastAsia" w:ascii="方正仿宋_GBK" w:hAnsi="方正仿宋_GBK" w:eastAsia="方正仿宋_GBK" w:cs="方正仿宋_GBK"/>
          <w:sz w:val="30"/>
          <w:szCs w:val="30"/>
          <w:lang w:val="en-US" w:eastAsia="zh-CN"/>
        </w:rPr>
        <w:instrText xml:space="preserve"> HYPERLINK \l _Toc15827 </w:instrText>
      </w:r>
      <w:r>
        <w:rPr>
          <w:rFonts w:hint="eastAsia" w:ascii="方正仿宋_GBK" w:hAnsi="方正仿宋_GBK" w:eastAsia="方正仿宋_GBK" w:cs="方正仿宋_GBK"/>
          <w:sz w:val="30"/>
          <w:szCs w:val="30"/>
          <w:lang w:val="en-US" w:eastAsia="zh-CN"/>
        </w:rPr>
        <w:fldChar w:fldCharType="separate"/>
      </w:r>
      <w:r>
        <w:rPr>
          <w:rFonts w:hint="eastAsia" w:ascii="方正仿宋_GBK" w:hAnsi="方正仿宋_GBK" w:eastAsia="方正仿宋_GBK" w:cs="方正仿宋_GBK"/>
          <w:bCs/>
          <w:sz w:val="30"/>
          <w:szCs w:val="30"/>
          <w:lang w:val="en-US" w:eastAsia="zh-CN"/>
        </w:rPr>
        <w:t>基础表2 部门整体支出明细汇总表</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_Toc15827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- 56 -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lang w:val="en-US" w:eastAsia="zh-CN"/>
        </w:rPr>
        <w:fldChar w:fldCharType="end"/>
      </w:r>
    </w:p>
    <w:p>
      <w:pPr>
        <w:pStyle w:val="8"/>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fldChar w:fldCharType="begin"/>
      </w:r>
      <w:r>
        <w:rPr>
          <w:rFonts w:hint="eastAsia" w:ascii="方正仿宋_GBK" w:hAnsi="方正仿宋_GBK" w:eastAsia="方正仿宋_GBK" w:cs="方正仿宋_GBK"/>
          <w:sz w:val="30"/>
          <w:szCs w:val="30"/>
          <w:lang w:val="en-US" w:eastAsia="zh-CN"/>
        </w:rPr>
        <w:instrText xml:space="preserve"> HYPERLINK \l _Toc11116 </w:instrText>
      </w:r>
      <w:r>
        <w:rPr>
          <w:rFonts w:hint="eastAsia" w:ascii="方正仿宋_GBK" w:hAnsi="方正仿宋_GBK" w:eastAsia="方正仿宋_GBK" w:cs="方正仿宋_GBK"/>
          <w:sz w:val="30"/>
          <w:szCs w:val="30"/>
          <w:lang w:val="en-US" w:eastAsia="zh-CN"/>
        </w:rPr>
        <w:fldChar w:fldCharType="separate"/>
      </w:r>
      <w:r>
        <w:rPr>
          <w:rFonts w:hint="eastAsia" w:ascii="方正仿宋_GBK" w:hAnsi="方正仿宋_GBK" w:eastAsia="方正仿宋_GBK" w:cs="方正仿宋_GBK"/>
          <w:bCs/>
          <w:sz w:val="30"/>
          <w:szCs w:val="30"/>
          <w:lang w:val="en-US" w:eastAsia="zh-CN"/>
        </w:rPr>
        <w:t>附件3 伽师县市场监督管理局“三公”经费使用情况统计表</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_Toc11116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- 57 -</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lang w:val="en-US" w:eastAsia="zh-CN"/>
        </w:rPr>
        <w:fldChar w:fldCharType="end"/>
      </w:r>
    </w:p>
    <w:p>
      <w:pPr>
        <w:pStyle w:val="8"/>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fldChar w:fldCharType="begin"/>
      </w:r>
      <w:r>
        <w:rPr>
          <w:rFonts w:hint="eastAsia" w:ascii="方正仿宋_GBK" w:hAnsi="方正仿宋_GBK" w:eastAsia="方正仿宋_GBK" w:cs="方正仿宋_GBK"/>
          <w:sz w:val="30"/>
          <w:szCs w:val="30"/>
          <w:lang w:val="en-US" w:eastAsia="zh-CN"/>
        </w:rPr>
        <w:instrText xml:space="preserve"> HYPERLINK \l _Toc745 </w:instrText>
      </w:r>
      <w:r>
        <w:rPr>
          <w:rFonts w:hint="eastAsia" w:ascii="方正仿宋_GBK" w:hAnsi="方正仿宋_GBK" w:eastAsia="方正仿宋_GBK" w:cs="方正仿宋_GBK"/>
          <w:sz w:val="30"/>
          <w:szCs w:val="30"/>
          <w:lang w:val="en-US" w:eastAsia="zh-CN"/>
        </w:rPr>
        <w:fldChar w:fldCharType="separate"/>
      </w:r>
      <w:r>
        <w:rPr>
          <w:rFonts w:hint="eastAsia" w:ascii="方正仿宋_GBK" w:hAnsi="方正仿宋_GBK" w:eastAsia="方正仿宋_GBK" w:cs="方正仿宋_GBK"/>
          <w:bCs/>
          <w:kern w:val="0"/>
          <w:sz w:val="30"/>
          <w:szCs w:val="30"/>
          <w:lang w:val="en-US" w:eastAsia="zh-CN" w:bidi="ar-SA"/>
        </w:rPr>
        <w:t>附件4 部门整体支出绩效自评表</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_Toc745 \h </w:instrText>
      </w:r>
      <w:r>
        <w:rPr>
          <w:rFonts w:hint="eastAsia" w:ascii="方正仿宋_GBK" w:hAnsi="方正仿宋_GBK" w:eastAsia="方正仿宋_GBK" w:cs="方正仿宋_GBK"/>
          <w:sz w:val="30"/>
          <w:szCs w:val="30"/>
        </w:rPr>
        <w:fldChar w:fldCharType="separate"/>
      </w:r>
      <w:r>
        <w:rPr>
          <w:b/>
        </w:rPr>
        <w:t>错误！未定义书签。</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lang w:val="en-US" w:eastAsia="zh-CN"/>
        </w:rPr>
        <w:fldChar w:fldCharType="end"/>
      </w:r>
    </w:p>
    <w:p>
      <w:pPr>
        <w:pStyle w:val="14"/>
        <w:rPr>
          <w:rFonts w:hint="eastAsia" w:ascii="方正仿宋_GBK" w:hAnsi="方正仿宋_GBK" w:eastAsia="方正仿宋_GBK" w:cs="方正仿宋_GBK"/>
          <w:b/>
          <w:kern w:val="2"/>
          <w:sz w:val="30"/>
          <w:szCs w:val="30"/>
          <w:lang w:val="en-US" w:eastAsia="zh-CN" w:bidi="ar-SA"/>
        </w:rPr>
        <w:sectPr>
          <w:pgSz w:w="11906" w:h="16838"/>
          <w:pgMar w:top="1440" w:right="1800" w:bottom="1440" w:left="1800" w:header="851" w:footer="992" w:gutter="0"/>
          <w:pgNumType w:fmt="numberInDash"/>
          <w:cols w:space="720" w:num="1"/>
          <w:docGrid w:type="lines" w:linePitch="312" w:charSpace="0"/>
        </w:sectPr>
      </w:pPr>
      <w:r>
        <w:rPr>
          <w:rFonts w:hint="eastAsia" w:ascii="方正仿宋_GBK" w:hAnsi="方正仿宋_GBK" w:eastAsia="方正仿宋_GBK" w:cs="方正仿宋_GBK"/>
          <w:sz w:val="30"/>
          <w:szCs w:val="30"/>
          <w:lang w:val="en-US" w:eastAsia="zh-CN"/>
        </w:rPr>
        <w:fldChar w:fldCharType="end"/>
      </w:r>
    </w:p>
    <w:p>
      <w:pPr>
        <w:jc w:val="center"/>
        <w:outlineLvl w:val="0"/>
        <w:rPr>
          <w:rFonts w:hint="eastAsia" w:ascii="方正小标宋_GBK" w:hAnsi="方正小标宋_GBK" w:eastAsia="方正小标宋_GBK" w:cs="方正小标宋_GBK"/>
          <w:b w:val="0"/>
          <w:bCs w:val="0"/>
          <w:color w:val="auto"/>
          <w:sz w:val="40"/>
          <w:szCs w:val="40"/>
        </w:rPr>
      </w:pPr>
      <w:bookmarkStart w:id="28" w:name="_Toc9454_WPSOffice_Level1"/>
      <w:bookmarkStart w:id="29" w:name="_Toc24347"/>
      <w:bookmarkStart w:id="30" w:name="_Toc7549"/>
      <w:r>
        <w:rPr>
          <w:rFonts w:hint="eastAsia" w:ascii="方正小标宋_GBK" w:hAnsi="方正小标宋_GBK" w:eastAsia="方正小标宋_GBK" w:cs="方正小标宋_GBK"/>
          <w:b w:val="0"/>
          <w:bCs w:val="0"/>
          <w:color w:val="auto"/>
          <w:sz w:val="40"/>
          <w:szCs w:val="40"/>
          <w:lang w:val="en-US" w:eastAsia="zh-CN"/>
        </w:rPr>
        <w:t>伽师县市场监督管理局</w:t>
      </w:r>
      <w:r>
        <w:rPr>
          <w:rFonts w:hint="eastAsia" w:ascii="方正小标宋_GBK" w:hAnsi="方正小标宋_GBK" w:eastAsia="方正小标宋_GBK" w:cs="方正小标宋_GBK"/>
          <w:b w:val="0"/>
          <w:bCs w:val="0"/>
          <w:color w:val="auto"/>
          <w:sz w:val="40"/>
          <w:szCs w:val="40"/>
        </w:rPr>
        <w:t>部门整体支出绩效评价</w:t>
      </w:r>
      <w:bookmarkEnd w:id="28"/>
      <w:bookmarkEnd w:id="29"/>
      <w:bookmarkEnd w:id="30"/>
    </w:p>
    <w:p>
      <w:pPr>
        <w:spacing w:line="560" w:lineRule="exact"/>
        <w:ind w:firstLine="640" w:firstLineChars="200"/>
        <w:jc w:val="both"/>
        <w:rPr>
          <w:rFonts w:hint="eastAsia" w:ascii="方正仿宋_GBK" w:hAnsi="方正仿宋_GBK" w:eastAsia="方正仿宋_GBK" w:cs="方正仿宋_GBK"/>
          <w:bCs/>
          <w:color w:val="auto"/>
          <w:kern w:val="0"/>
          <w:sz w:val="32"/>
          <w:szCs w:val="32"/>
          <w:lang w:val="zh-CN"/>
        </w:rPr>
      </w:pPr>
      <w:bookmarkStart w:id="31" w:name="_Toc40791538"/>
      <w:r>
        <w:rPr>
          <w:rFonts w:hint="eastAsia" w:ascii="方正仿宋_GBK" w:hAnsi="方正仿宋_GBK" w:eastAsia="方正仿宋_GBK" w:cs="方正仿宋_GBK"/>
          <w:bCs/>
          <w:color w:val="auto"/>
          <w:kern w:val="0"/>
          <w:sz w:val="32"/>
          <w:szCs w:val="32"/>
          <w:lang w:val="zh-CN"/>
        </w:rPr>
        <w:t>为深入贯彻落实《中共中央 国务院关于全面实施预算绩效管理的意见》（中发〔2018〕34号）、《自治区党委 自治区人民政府关于全面实施预算绩效管理的意见》（新党发〔2018〕30号）等相关文件精神，进一步规范财政资金管理，强化部门责任意识，提高财政资金使用效益，根据文件精神，为考察</w:t>
      </w:r>
      <w:r>
        <w:rPr>
          <w:rFonts w:hint="eastAsia" w:ascii="方正仿宋_GBK" w:hAnsi="方正仿宋_GBK" w:eastAsia="方正仿宋_GBK" w:cs="方正仿宋_GBK"/>
          <w:bCs/>
          <w:color w:val="auto"/>
          <w:kern w:val="0"/>
          <w:sz w:val="32"/>
          <w:szCs w:val="32"/>
          <w:lang w:val="en-US" w:eastAsia="zh-CN"/>
        </w:rPr>
        <w:t>伽师县市场监督管理局</w:t>
      </w:r>
      <w:r>
        <w:rPr>
          <w:rFonts w:hint="eastAsia" w:ascii="方正仿宋_GBK" w:hAnsi="方正仿宋_GBK" w:eastAsia="方正仿宋_GBK" w:cs="方正仿宋_GBK"/>
          <w:bCs/>
          <w:color w:val="auto"/>
          <w:kern w:val="0"/>
          <w:sz w:val="32"/>
          <w:szCs w:val="32"/>
          <w:lang w:val="zh-CN"/>
        </w:rPr>
        <w:t>部门整体支出、部门管理及职责履行等情况，</w:t>
      </w:r>
      <w:r>
        <w:rPr>
          <w:rFonts w:hint="eastAsia" w:ascii="方正仿宋_GBK" w:hAnsi="方正仿宋_GBK" w:eastAsia="方正仿宋_GBK" w:cs="方正仿宋_GBK"/>
          <w:bCs/>
          <w:color w:val="auto"/>
          <w:kern w:val="0"/>
          <w:sz w:val="32"/>
          <w:szCs w:val="32"/>
          <w:lang w:val="en-US" w:eastAsia="zh-CN"/>
        </w:rPr>
        <w:t>新疆永信中正项目管理咨询有限公司</w:t>
      </w:r>
      <w:r>
        <w:rPr>
          <w:rFonts w:hint="eastAsia" w:ascii="方正仿宋_GBK" w:hAnsi="方正仿宋_GBK" w:eastAsia="方正仿宋_GBK" w:cs="方正仿宋_GBK"/>
          <w:bCs/>
          <w:color w:val="auto"/>
          <w:kern w:val="0"/>
          <w:sz w:val="32"/>
          <w:szCs w:val="32"/>
          <w:lang w:val="zh-CN" w:eastAsia="zh-CN"/>
        </w:rPr>
        <w:t>受</w:t>
      </w:r>
      <w:r>
        <w:rPr>
          <w:rFonts w:hint="eastAsia" w:ascii="方正仿宋_GBK" w:hAnsi="方正仿宋_GBK" w:eastAsia="方正仿宋_GBK" w:cs="方正仿宋_GBK"/>
          <w:bCs/>
          <w:color w:val="auto"/>
          <w:kern w:val="0"/>
          <w:sz w:val="32"/>
          <w:szCs w:val="32"/>
          <w:lang w:val="en-US" w:eastAsia="zh-CN"/>
        </w:rPr>
        <w:t>伽师县财政局</w:t>
      </w:r>
      <w:r>
        <w:rPr>
          <w:rFonts w:hint="eastAsia" w:ascii="方正仿宋_GBK" w:hAnsi="方正仿宋_GBK" w:eastAsia="方正仿宋_GBK" w:cs="方正仿宋_GBK"/>
          <w:bCs/>
          <w:color w:val="auto"/>
          <w:kern w:val="0"/>
          <w:sz w:val="32"/>
          <w:szCs w:val="32"/>
          <w:lang w:val="zh-CN"/>
        </w:rPr>
        <w:t>委托，对</w:t>
      </w:r>
      <w:r>
        <w:rPr>
          <w:rFonts w:hint="eastAsia" w:ascii="方正仿宋_GBK" w:hAnsi="方正仿宋_GBK" w:eastAsia="方正仿宋_GBK" w:cs="方正仿宋_GBK"/>
          <w:bCs/>
          <w:color w:val="auto"/>
          <w:kern w:val="0"/>
          <w:sz w:val="32"/>
          <w:szCs w:val="32"/>
          <w:lang w:val="en-US" w:eastAsia="zh-CN"/>
        </w:rPr>
        <w:t>伽师县市场监督管理局</w:t>
      </w:r>
      <w:r>
        <w:rPr>
          <w:rFonts w:hint="eastAsia" w:ascii="方正仿宋_GBK" w:hAnsi="方正仿宋_GBK" w:eastAsia="方正仿宋_GBK" w:cs="方正仿宋_GBK"/>
          <w:bCs/>
          <w:color w:val="auto"/>
          <w:kern w:val="0"/>
          <w:sz w:val="32"/>
          <w:szCs w:val="32"/>
          <w:lang w:val="zh-CN"/>
        </w:rPr>
        <w:t>部门整体进行绩效评价。</w:t>
      </w:r>
    </w:p>
    <w:p>
      <w:pPr>
        <w:pStyle w:val="15"/>
        <w:ind w:firstLine="640"/>
        <w:jc w:val="both"/>
        <w:rPr>
          <w:rFonts w:hint="eastAsia" w:ascii="方正黑体_GBK" w:hAnsi="方正黑体_GBK" w:eastAsia="方正黑体_GBK" w:cs="方正黑体_GBK"/>
          <w:color w:val="auto"/>
        </w:rPr>
      </w:pPr>
      <w:bookmarkStart w:id="32" w:name="_Toc11129"/>
      <w:bookmarkStart w:id="33" w:name="_Toc23328_WPSOffice_Level1"/>
      <w:r>
        <w:rPr>
          <w:rFonts w:hint="eastAsia" w:ascii="方正黑体_GBK" w:hAnsi="方正黑体_GBK" w:eastAsia="方正黑体_GBK" w:cs="方正黑体_GBK"/>
          <w:color w:val="auto"/>
        </w:rPr>
        <w:t>一、部门基本情况</w:t>
      </w:r>
      <w:bookmarkEnd w:id="31"/>
      <w:bookmarkEnd w:id="32"/>
      <w:bookmarkEnd w:id="33"/>
    </w:p>
    <w:p>
      <w:pPr>
        <w:spacing w:line="500" w:lineRule="exact"/>
        <w:ind w:firstLine="643" w:firstLineChars="200"/>
        <w:jc w:val="both"/>
        <w:outlineLvl w:val="1"/>
        <w:rPr>
          <w:rFonts w:hint="eastAsia" w:ascii="方正楷体_GBK" w:hAnsi="方正楷体_GBK" w:eastAsia="方正楷体_GBK" w:cs="方正楷体_GBK"/>
          <w:b/>
          <w:color w:val="auto"/>
          <w:sz w:val="32"/>
          <w:szCs w:val="22"/>
        </w:rPr>
      </w:pPr>
      <w:bookmarkStart w:id="34" w:name="_Toc19399_WPSOffice_Level2"/>
      <w:bookmarkStart w:id="35" w:name="_Toc509855521"/>
      <w:bookmarkStart w:id="36" w:name="_Toc23328_WPSOffice_Level2"/>
      <w:bookmarkStart w:id="37" w:name="_Toc9373"/>
      <w:bookmarkStart w:id="38" w:name="_Toc40791539"/>
      <w:bookmarkStart w:id="39" w:name="_Toc19902"/>
      <w:r>
        <w:rPr>
          <w:rFonts w:hint="eastAsia" w:ascii="方正楷体_GBK" w:hAnsi="方正楷体_GBK" w:eastAsia="方正楷体_GBK" w:cs="方正楷体_GBK"/>
          <w:b/>
          <w:color w:val="auto"/>
          <w:sz w:val="32"/>
          <w:szCs w:val="22"/>
        </w:rPr>
        <w:t>（一）</w:t>
      </w:r>
      <w:bookmarkEnd w:id="34"/>
      <w:bookmarkEnd w:id="35"/>
      <w:r>
        <w:rPr>
          <w:rFonts w:hint="eastAsia" w:ascii="方正楷体_GBK" w:hAnsi="方正楷体_GBK" w:eastAsia="方正楷体_GBK" w:cs="方正楷体_GBK"/>
          <w:b/>
          <w:color w:val="auto"/>
          <w:sz w:val="32"/>
          <w:szCs w:val="22"/>
        </w:rPr>
        <w:t>部门概况</w:t>
      </w:r>
      <w:bookmarkEnd w:id="36"/>
      <w:bookmarkEnd w:id="37"/>
      <w:bookmarkEnd w:id="38"/>
      <w:bookmarkEnd w:id="39"/>
    </w:p>
    <w:p>
      <w:pPr>
        <w:pStyle w:val="16"/>
        <w:ind w:firstLine="562"/>
        <w:jc w:val="both"/>
        <w:rPr>
          <w:rFonts w:hint="eastAsia" w:ascii="方正仿宋_GBK" w:hAnsi="方正仿宋_GBK" w:eastAsia="方正仿宋_GBK" w:cs="方正仿宋_GBK"/>
          <w:b/>
          <w:color w:val="auto"/>
          <w:sz w:val="32"/>
          <w:szCs w:val="32"/>
        </w:rPr>
      </w:pPr>
      <w:r>
        <w:rPr>
          <w:rFonts w:hint="eastAsia" w:ascii="方正仿宋_GBK" w:hAnsi="方正仿宋_GBK" w:eastAsia="方正仿宋_GBK" w:cs="方正仿宋_GBK"/>
          <w:b/>
          <w:color w:val="auto"/>
          <w:sz w:val="32"/>
          <w:szCs w:val="32"/>
        </w:rPr>
        <w:t>1. 部门设立背景及概况</w:t>
      </w:r>
    </w:p>
    <w:p>
      <w:pPr>
        <w:pStyle w:val="17"/>
        <w:keepNext w:val="0"/>
        <w:keepLines w:val="0"/>
        <w:pageBreakBefore w:val="0"/>
        <w:widowControl w:val="0"/>
        <w:kinsoku/>
        <w:wordWrap/>
        <w:overflowPunct/>
        <w:topLinePunct w:val="0"/>
        <w:autoSpaceDE/>
        <w:autoSpaceDN/>
        <w:bidi w:val="0"/>
        <w:adjustRightInd/>
        <w:snapToGrid w:val="0"/>
        <w:spacing w:line="570" w:lineRule="atLeast"/>
        <w:ind w:firstLine="640"/>
        <w:jc w:val="both"/>
        <w:textAlignment w:val="auto"/>
        <w:rPr>
          <w:rStyle w:val="13"/>
          <w:rFonts w:hint="eastAsia" w:ascii="方正仿宋_GBK" w:hAnsi="方正仿宋_GBK" w:eastAsia="方正仿宋_GBK" w:cs="方正仿宋_GBK"/>
          <w:b w:val="0"/>
          <w:color w:val="auto"/>
          <w:spacing w:val="6"/>
          <w:kern w:val="2"/>
          <w:sz w:val="32"/>
          <w:szCs w:val="32"/>
          <w:highlight w:val="none"/>
          <w:lang w:val="en-US" w:eastAsia="zh-CN"/>
        </w:rPr>
      </w:pPr>
      <w:r>
        <w:rPr>
          <w:rFonts w:hint="eastAsia" w:ascii="方正仿宋_GBK" w:hAnsi="方正仿宋_GBK" w:eastAsia="方正仿宋_GBK" w:cs="方正仿宋_GBK"/>
          <w:color w:val="auto"/>
          <w:sz w:val="32"/>
          <w:szCs w:val="32"/>
        </w:rPr>
        <w:t>市场监管是政府的重要职能。加强和改善市场监管，是政府机构职能调整优化的重要内容，是维护市场公平竞争、充分激发市场活力的重要保障，是国家治理体系和治理能力现代化</w:t>
      </w:r>
      <w:r>
        <w:rPr>
          <w:rStyle w:val="13"/>
          <w:rFonts w:hint="eastAsia" w:ascii="方正仿宋_GBK" w:hAnsi="方正仿宋_GBK" w:eastAsia="方正仿宋_GBK" w:cs="方正仿宋_GBK"/>
          <w:b w:val="0"/>
          <w:color w:val="auto"/>
          <w:spacing w:val="6"/>
          <w:kern w:val="2"/>
          <w:sz w:val="32"/>
          <w:szCs w:val="32"/>
          <w:lang w:val="en-US" w:eastAsia="zh-CN"/>
        </w:rPr>
        <w:t>的重要任务，是新时代加快完善社会主义市场经济体</w:t>
      </w:r>
      <w:r>
        <w:rPr>
          <w:rStyle w:val="13"/>
          <w:rFonts w:hint="eastAsia" w:ascii="方正仿宋_GBK" w:hAnsi="方正仿宋_GBK" w:eastAsia="方正仿宋_GBK" w:cs="方正仿宋_GBK"/>
          <w:b w:val="0"/>
          <w:color w:val="auto"/>
          <w:spacing w:val="6"/>
          <w:kern w:val="2"/>
          <w:sz w:val="32"/>
          <w:szCs w:val="32"/>
          <w:highlight w:val="none"/>
          <w:lang w:val="en-US" w:eastAsia="zh-CN"/>
        </w:rPr>
        <w:t>制的内在要求。</w:t>
      </w:r>
    </w:p>
    <w:p>
      <w:pPr>
        <w:pStyle w:val="17"/>
        <w:keepNext w:val="0"/>
        <w:keepLines w:val="0"/>
        <w:pageBreakBefore w:val="0"/>
        <w:widowControl w:val="0"/>
        <w:kinsoku/>
        <w:wordWrap/>
        <w:overflowPunct/>
        <w:topLinePunct w:val="0"/>
        <w:autoSpaceDE/>
        <w:autoSpaceDN/>
        <w:bidi w:val="0"/>
        <w:adjustRightInd/>
        <w:snapToGrid w:val="0"/>
        <w:spacing w:line="570" w:lineRule="atLeast"/>
        <w:ind w:firstLine="640"/>
        <w:jc w:val="both"/>
        <w:textAlignment w:val="auto"/>
        <w:rPr>
          <w:rStyle w:val="13"/>
          <w:rFonts w:hint="eastAsia" w:ascii="方正仿宋_GBK" w:hAnsi="方正仿宋_GBK" w:eastAsia="方正仿宋_GBK" w:cs="方正仿宋_GBK"/>
          <w:b w:val="0"/>
          <w:color w:val="auto"/>
          <w:spacing w:val="6"/>
          <w:kern w:val="2"/>
          <w:sz w:val="32"/>
          <w:szCs w:val="32"/>
          <w:highlight w:val="none"/>
          <w:lang w:val="en-US" w:eastAsia="zh-CN"/>
        </w:rPr>
      </w:pPr>
      <w:r>
        <w:rPr>
          <w:rStyle w:val="13"/>
          <w:rFonts w:hint="eastAsia" w:ascii="方正仿宋_GBK" w:hAnsi="方正仿宋_GBK" w:eastAsia="方正仿宋_GBK" w:cs="方正仿宋_GBK"/>
          <w:b w:val="0"/>
          <w:color w:val="auto"/>
          <w:spacing w:val="6"/>
          <w:kern w:val="2"/>
          <w:sz w:val="32"/>
          <w:szCs w:val="32"/>
          <w:highlight w:val="none"/>
          <w:lang w:val="en-US" w:eastAsia="zh-CN"/>
        </w:rPr>
        <w:t>2019年伽师县市场监督管理局根据中共喀什地委行署批准的《伽师县机构改革方案》（喀党办字</w:t>
      </w:r>
      <w:r>
        <w:rPr>
          <w:rStyle w:val="13"/>
          <w:rFonts w:hint="eastAsia" w:ascii="宋体" w:hAnsi="宋体" w:eastAsia="宋体" w:cs="宋体"/>
          <w:b w:val="0"/>
          <w:color w:val="auto"/>
          <w:spacing w:val="6"/>
          <w:kern w:val="2"/>
          <w:sz w:val="32"/>
          <w:szCs w:val="32"/>
          <w:highlight w:val="none"/>
          <w:lang w:val="en-US" w:eastAsia="zh-CN"/>
        </w:rPr>
        <w:t>﹝</w:t>
      </w:r>
      <w:r>
        <w:rPr>
          <w:rStyle w:val="13"/>
          <w:rFonts w:hint="eastAsia" w:ascii="方正仿宋_GBK" w:hAnsi="方正仿宋_GBK" w:eastAsia="方正仿宋_GBK" w:cs="方正仿宋_GBK"/>
          <w:b w:val="0"/>
          <w:color w:val="auto"/>
          <w:spacing w:val="6"/>
          <w:kern w:val="2"/>
          <w:sz w:val="32"/>
          <w:szCs w:val="32"/>
          <w:highlight w:val="none"/>
          <w:lang w:val="en-US" w:eastAsia="zh-CN"/>
        </w:rPr>
        <w:t>2019</w:t>
      </w:r>
      <w:r>
        <w:rPr>
          <w:rStyle w:val="13"/>
          <w:rFonts w:hint="eastAsia" w:ascii="宋体" w:hAnsi="宋体" w:eastAsia="宋体" w:cs="宋体"/>
          <w:b w:val="0"/>
          <w:color w:val="auto"/>
          <w:spacing w:val="6"/>
          <w:kern w:val="2"/>
          <w:sz w:val="32"/>
          <w:szCs w:val="32"/>
          <w:highlight w:val="none"/>
          <w:lang w:val="en-US" w:eastAsia="zh-CN"/>
        </w:rPr>
        <w:t>﹞</w:t>
      </w:r>
      <w:r>
        <w:rPr>
          <w:rStyle w:val="13"/>
          <w:rFonts w:hint="eastAsia" w:ascii="方正仿宋_GBK" w:hAnsi="方正仿宋_GBK" w:eastAsia="方正仿宋_GBK" w:cs="方正仿宋_GBK"/>
          <w:b w:val="0"/>
          <w:color w:val="auto"/>
          <w:spacing w:val="6"/>
          <w:kern w:val="2"/>
          <w:sz w:val="32"/>
          <w:szCs w:val="32"/>
          <w:highlight w:val="none"/>
          <w:lang w:val="en-US" w:eastAsia="zh-CN"/>
        </w:rPr>
        <w:t>5号）和中共伽师县委员会办公室、人民政府办公室印发的《〈伽师县机构改革方案〉的实施意见》（伽党办发</w:t>
      </w:r>
      <w:r>
        <w:rPr>
          <w:rStyle w:val="13"/>
          <w:rFonts w:hint="eastAsia" w:ascii="宋体" w:hAnsi="宋体" w:eastAsia="宋体" w:cs="宋体"/>
          <w:b w:val="0"/>
          <w:color w:val="auto"/>
          <w:spacing w:val="6"/>
          <w:kern w:val="2"/>
          <w:sz w:val="32"/>
          <w:szCs w:val="32"/>
          <w:highlight w:val="none"/>
          <w:lang w:val="en-US" w:eastAsia="zh-CN"/>
        </w:rPr>
        <w:t>﹝</w:t>
      </w:r>
      <w:r>
        <w:rPr>
          <w:rStyle w:val="13"/>
          <w:rFonts w:hint="eastAsia" w:ascii="方正仿宋_GBK" w:hAnsi="方正仿宋_GBK" w:eastAsia="方正仿宋_GBK" w:cs="方正仿宋_GBK"/>
          <w:b w:val="0"/>
          <w:color w:val="auto"/>
          <w:spacing w:val="6"/>
          <w:kern w:val="2"/>
          <w:sz w:val="32"/>
          <w:szCs w:val="32"/>
          <w:highlight w:val="none"/>
          <w:lang w:val="en-US" w:eastAsia="zh-CN"/>
        </w:rPr>
        <w:t>2019</w:t>
      </w:r>
      <w:r>
        <w:rPr>
          <w:rStyle w:val="13"/>
          <w:rFonts w:hint="eastAsia" w:ascii="宋体" w:hAnsi="宋体" w:eastAsia="宋体" w:cs="宋体"/>
          <w:b w:val="0"/>
          <w:color w:val="auto"/>
          <w:spacing w:val="6"/>
          <w:kern w:val="2"/>
          <w:sz w:val="32"/>
          <w:szCs w:val="32"/>
          <w:highlight w:val="none"/>
          <w:lang w:val="en-US" w:eastAsia="zh-CN"/>
        </w:rPr>
        <w:t>﹞</w:t>
      </w:r>
      <w:r>
        <w:rPr>
          <w:rStyle w:val="13"/>
          <w:rFonts w:hint="eastAsia" w:ascii="方正仿宋_GBK" w:hAnsi="方正仿宋_GBK" w:eastAsia="方正仿宋_GBK" w:cs="方正仿宋_GBK"/>
          <w:b w:val="0"/>
          <w:color w:val="auto"/>
          <w:spacing w:val="6"/>
          <w:kern w:val="2"/>
          <w:sz w:val="32"/>
          <w:szCs w:val="32"/>
          <w:highlight w:val="none"/>
          <w:lang w:val="en-US" w:eastAsia="zh-CN"/>
        </w:rPr>
        <w:t>2号）等文件进行机构改组并挂牌成立。市监局将市场监督管理局（县食品安全委员会办公室）的职责，以及县发展和改革委员会的价格监督检查与反垄断执法职责，县商务和经济信息化委员会的相关反垄断职责，县知识产权的职责等整合新组建。</w:t>
      </w:r>
    </w:p>
    <w:p>
      <w:pPr>
        <w:pStyle w:val="17"/>
        <w:keepNext w:val="0"/>
        <w:keepLines w:val="0"/>
        <w:pageBreakBefore w:val="0"/>
        <w:widowControl w:val="0"/>
        <w:kinsoku/>
        <w:wordWrap/>
        <w:overflowPunct/>
        <w:topLinePunct w:val="0"/>
        <w:autoSpaceDE/>
        <w:autoSpaceDN/>
        <w:bidi w:val="0"/>
        <w:adjustRightInd/>
        <w:snapToGrid w:val="0"/>
        <w:spacing w:line="570" w:lineRule="atLeast"/>
        <w:ind w:firstLine="640"/>
        <w:jc w:val="both"/>
        <w:textAlignment w:val="auto"/>
        <w:rPr>
          <w:rStyle w:val="13"/>
          <w:rFonts w:hint="eastAsia" w:ascii="方正仿宋_GBK" w:hAnsi="方正仿宋_GBK" w:eastAsia="方正仿宋_GBK" w:cs="方正仿宋_GBK"/>
          <w:b w:val="0"/>
          <w:color w:val="auto"/>
          <w:spacing w:val="6"/>
          <w:kern w:val="2"/>
          <w:sz w:val="32"/>
          <w:szCs w:val="32"/>
          <w:highlight w:val="none"/>
          <w:lang w:val="en-US" w:eastAsia="zh-CN"/>
        </w:rPr>
      </w:pPr>
      <w:r>
        <w:rPr>
          <w:rStyle w:val="13"/>
          <w:rFonts w:hint="eastAsia" w:ascii="方正仿宋_GBK" w:hAnsi="方正仿宋_GBK" w:eastAsia="方正仿宋_GBK" w:cs="方正仿宋_GBK"/>
          <w:b w:val="0"/>
          <w:color w:val="auto"/>
          <w:spacing w:val="6"/>
          <w:kern w:val="2"/>
          <w:sz w:val="32"/>
          <w:szCs w:val="32"/>
          <w:highlight w:val="none"/>
          <w:lang w:val="en-US" w:eastAsia="zh-CN"/>
        </w:rPr>
        <w:t>市场监管机构改制是国家基于大市场发展进行的调整，改革后，实现多部门职能整合，市场有序性、监管的一致性得以提高，执法协调性不断增强，综合执法效果不断提高，监管力度加强。市场监管、质量监管、安全监管更加严格规范，违法惩戒力度明显增强。食品、药品、特种设备和产品质量“四大安全”得到有效保障。基本形成创新创业、公平竞争、安全放心的市场营商环境，法治保障、科技支撑、多元共治的市场治理大格局，促进伽师县经济社会更高质量、更有效率、更加公平、更可持续发展。</w:t>
      </w:r>
    </w:p>
    <w:p>
      <w:pPr>
        <w:pStyle w:val="17"/>
        <w:keepNext w:val="0"/>
        <w:keepLines w:val="0"/>
        <w:pageBreakBefore w:val="0"/>
        <w:widowControl w:val="0"/>
        <w:kinsoku/>
        <w:wordWrap/>
        <w:overflowPunct/>
        <w:topLinePunct w:val="0"/>
        <w:autoSpaceDE/>
        <w:autoSpaceDN/>
        <w:bidi w:val="0"/>
        <w:adjustRightInd/>
        <w:snapToGrid w:val="0"/>
        <w:spacing w:line="570" w:lineRule="atLeast"/>
        <w:ind w:firstLine="640"/>
        <w:jc w:val="both"/>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val="0"/>
          <w:color w:val="auto"/>
          <w:spacing w:val="6"/>
          <w:kern w:val="2"/>
          <w:sz w:val="32"/>
          <w:szCs w:val="32"/>
          <w:highlight w:val="none"/>
          <w:lang w:val="en-US" w:eastAsia="zh-CN"/>
        </w:rPr>
        <w:t>伽师县市场监督管理局是财政全额拨款的行政单位，内设职能部门13个</w:t>
      </w:r>
      <w:r>
        <w:rPr>
          <w:rStyle w:val="13"/>
          <w:rFonts w:hint="eastAsia" w:ascii="方正仿宋_GBK" w:hAnsi="方正仿宋_GBK" w:eastAsia="方正仿宋_GBK" w:cs="方正仿宋_GBK"/>
          <w:b w:val="0"/>
          <w:color w:val="auto"/>
          <w:spacing w:val="6"/>
          <w:kern w:val="2"/>
          <w:sz w:val="32"/>
          <w:szCs w:val="32"/>
          <w:lang w:val="en-US" w:eastAsia="zh-CN"/>
        </w:rPr>
        <w:t>：办公室、政策法规室、注册登记管理股、信用监督管理股、反垄断和反不正当竞争股、价格监督管理股、网络交易监督管理股、产品质量监督管理股、食品生产经营监督管理股、药品、医疗器械监督管理股、特种设备监察股、计量标准化监督管理股、知识产权监督管理股。</w:t>
      </w:r>
    </w:p>
    <w:p>
      <w:pPr>
        <w:pStyle w:val="17"/>
        <w:keepNext w:val="0"/>
        <w:keepLines w:val="0"/>
        <w:pageBreakBefore w:val="0"/>
        <w:widowControl w:val="0"/>
        <w:kinsoku/>
        <w:wordWrap/>
        <w:overflowPunct/>
        <w:topLinePunct w:val="0"/>
        <w:autoSpaceDE/>
        <w:autoSpaceDN/>
        <w:bidi w:val="0"/>
        <w:adjustRightInd/>
        <w:snapToGrid w:val="0"/>
        <w:spacing w:line="570" w:lineRule="atLeast"/>
        <w:ind w:firstLine="640"/>
        <w:jc w:val="both"/>
        <w:textAlignment w:val="auto"/>
        <w:rPr>
          <w:rFonts w:hint="eastAsia" w:ascii="方正仿宋_GBK" w:hAnsi="方正仿宋_GBK" w:eastAsia="方正仿宋_GBK" w:cs="方正仿宋_GBK"/>
          <w:color w:val="auto"/>
          <w:sz w:val="32"/>
          <w:szCs w:val="32"/>
        </w:rPr>
      </w:pPr>
      <w:r>
        <w:rPr>
          <w:rStyle w:val="13"/>
          <w:rFonts w:hint="eastAsia" w:ascii="方正仿宋_GBK" w:hAnsi="方正仿宋_GBK" w:eastAsia="方正仿宋_GBK" w:cs="方正仿宋_GBK"/>
          <w:b w:val="0"/>
          <w:color w:val="auto"/>
          <w:spacing w:val="6"/>
          <w:kern w:val="2"/>
          <w:sz w:val="32"/>
          <w:szCs w:val="32"/>
          <w:highlight w:val="none"/>
          <w:lang w:val="en-US" w:eastAsia="zh-CN"/>
        </w:rPr>
        <w:t>人员编制总数44人，其中：行政编制32人，机关工勤编制2人，事业编制10人。2022年底实有在职人员45人，与上年末相比减少3人，主要原因：在职人员辞职2人、在职死亡1人。退休及遗属人员46人。</w:t>
      </w:r>
    </w:p>
    <w:p>
      <w:pPr>
        <w:pStyle w:val="16"/>
        <w:ind w:firstLine="562"/>
        <w:jc w:val="both"/>
        <w:rPr>
          <w:rFonts w:hint="eastAsia" w:ascii="方正仿宋_GBK" w:hAnsi="方正仿宋_GBK" w:eastAsia="方正仿宋_GBK" w:cs="方正仿宋_GBK"/>
          <w:b/>
          <w:color w:val="auto"/>
          <w:sz w:val="32"/>
          <w:szCs w:val="32"/>
        </w:rPr>
      </w:pPr>
      <w:r>
        <w:rPr>
          <w:rFonts w:hint="eastAsia" w:ascii="方正仿宋_GBK" w:hAnsi="方正仿宋_GBK" w:eastAsia="方正仿宋_GBK" w:cs="方正仿宋_GBK"/>
          <w:b/>
          <w:color w:val="auto"/>
          <w:sz w:val="32"/>
          <w:szCs w:val="32"/>
        </w:rPr>
        <w:t>2. 部门职能</w:t>
      </w:r>
    </w:p>
    <w:p>
      <w:pPr>
        <w:keepNext w:val="0"/>
        <w:keepLines w:val="0"/>
        <w:pageBreakBefore w:val="0"/>
        <w:widowControl w:val="0"/>
        <w:kinsoku/>
        <w:wordWrap/>
        <w:overflowPunct/>
        <w:topLinePunct w:val="0"/>
        <w:autoSpaceDE/>
        <w:autoSpaceDN/>
        <w:bidi w:val="0"/>
        <w:adjustRightInd/>
        <w:spacing w:line="520" w:lineRule="exact"/>
        <w:ind w:left="0" w:leftChars="0" w:firstLine="640" w:firstLineChars="200"/>
        <w:jc w:val="both"/>
        <w:textAlignment w:val="auto"/>
        <w:outlineLvl w:val="9"/>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lang w:eastAsia="zh-CN"/>
        </w:rPr>
        <w:t>市监局主要职责如下：</w:t>
      </w:r>
    </w:p>
    <w:p>
      <w:pPr>
        <w:keepNext w:val="0"/>
        <w:keepLines w:val="0"/>
        <w:pageBreakBefore w:val="0"/>
        <w:widowControl w:val="0"/>
        <w:kinsoku/>
        <w:wordWrap/>
        <w:overflowPunct/>
        <w:topLinePunct w:val="0"/>
        <w:autoSpaceDE/>
        <w:autoSpaceDN/>
        <w:bidi w:val="0"/>
        <w:adjustRightInd/>
        <w:spacing w:line="520" w:lineRule="exact"/>
        <w:ind w:left="0" w:leftChars="0" w:firstLine="640" w:firstLineChars="200"/>
        <w:jc w:val="both"/>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1）负责市场综合监督管理和知识产权管理。贯彻执行国家、自治区、地区市场监督和知识产权管理有关法律、法规、规章和政策，组织实施质量强县战略、食品安全战略、标准化战略和知识产权战略。拟订并组织实施有关规划，规范和维护市场秩序，营造诚实守信、公平竞争的市场环境。</w:t>
      </w:r>
    </w:p>
    <w:p>
      <w:pPr>
        <w:keepNext w:val="0"/>
        <w:keepLines w:val="0"/>
        <w:pageBreakBefore w:val="0"/>
        <w:widowControl w:val="0"/>
        <w:kinsoku/>
        <w:wordWrap/>
        <w:overflowPunct/>
        <w:topLinePunct w:val="0"/>
        <w:autoSpaceDE/>
        <w:autoSpaceDN/>
        <w:bidi w:val="0"/>
        <w:adjustRightInd/>
        <w:spacing w:line="520" w:lineRule="exact"/>
        <w:ind w:left="0" w:leftChars="0" w:firstLine="640" w:firstLineChars="200"/>
        <w:jc w:val="both"/>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负责市场主体统一登记注册。指导各类企业、农牧民专业合作社和从事经营活动的单位、个体工商户等市场主体的登记注册。建立市场主体信息公示和共享机制，依法公示和共享有关信息，加强信用监管，推动市场主体信用体系建设。</w:t>
      </w:r>
    </w:p>
    <w:p>
      <w:pPr>
        <w:keepNext w:val="0"/>
        <w:keepLines w:val="0"/>
        <w:pageBreakBefore w:val="0"/>
        <w:widowControl w:val="0"/>
        <w:kinsoku/>
        <w:wordWrap/>
        <w:overflowPunct/>
        <w:topLinePunct w:val="0"/>
        <w:autoSpaceDE/>
        <w:autoSpaceDN/>
        <w:bidi w:val="0"/>
        <w:adjustRightInd/>
        <w:spacing w:line="520" w:lineRule="exact"/>
        <w:ind w:left="0" w:leftChars="0" w:firstLine="480" w:firstLineChars="150"/>
        <w:jc w:val="both"/>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（3）负责组织和实施市场监管综合执法工作，规范市场监管行政执法行为。组织查处重大违法案件；规范市场监管和知识产权行政执法行为。</w:t>
      </w:r>
    </w:p>
    <w:p>
      <w:pPr>
        <w:keepNext w:val="0"/>
        <w:keepLines w:val="0"/>
        <w:pageBreakBefore w:val="0"/>
        <w:widowControl w:val="0"/>
        <w:kinsoku/>
        <w:wordWrap/>
        <w:overflowPunct/>
        <w:topLinePunct w:val="0"/>
        <w:autoSpaceDE/>
        <w:autoSpaceDN/>
        <w:bidi w:val="0"/>
        <w:adjustRightInd/>
        <w:spacing w:line="520" w:lineRule="exact"/>
        <w:ind w:left="0" w:leftChars="0" w:firstLine="480" w:firstLineChars="150"/>
        <w:jc w:val="both"/>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4）负责反垄断统一执法。统筹推进竞争政策实施，指导实施公平竞争审查制度。依据授权负责垄断协议、滥用市场支配地位和滥用行政权力排除、限制竞争等反垄断执法工作。依法对经营者集中行为进行反垄断审查。指导企业在国外的反垄断应诉工作。</w:t>
      </w:r>
    </w:p>
    <w:p>
      <w:pPr>
        <w:keepNext w:val="0"/>
        <w:keepLines w:val="0"/>
        <w:pageBreakBefore w:val="0"/>
        <w:widowControl w:val="0"/>
        <w:kinsoku/>
        <w:wordWrap/>
        <w:overflowPunct/>
        <w:topLinePunct w:val="0"/>
        <w:autoSpaceDE/>
        <w:autoSpaceDN/>
        <w:bidi w:val="0"/>
        <w:adjustRightInd/>
        <w:spacing w:line="520" w:lineRule="exact"/>
        <w:ind w:left="0" w:leftChars="0" w:firstLine="640" w:firstLineChars="200"/>
        <w:jc w:val="both"/>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5）负责监督管理市场秩序。依法监督管理市场交易、网络商品交易及有关服务的行为。组织指导查处价格收费违法违规、不正当竞争、违法直销、传销、侵犯商标专利知识产权和制售假冒伪劣商品行为。依法组织实施合同、拍卖行为的监督管理，管理动产抵押物登记。指导广告业发展，监督管理广告活动。指导查处无照生产经营和相关无证生产经营行为。负责组织、指导和监督管理行政审批中介服务机构。指导伽师县消费者协会开展消费维权工作。</w:t>
      </w:r>
    </w:p>
    <w:p>
      <w:pPr>
        <w:keepNext w:val="0"/>
        <w:keepLines w:val="0"/>
        <w:pageBreakBefore w:val="0"/>
        <w:widowControl w:val="0"/>
        <w:kinsoku/>
        <w:wordWrap/>
        <w:overflowPunct/>
        <w:topLinePunct w:val="0"/>
        <w:autoSpaceDE/>
        <w:autoSpaceDN/>
        <w:bidi w:val="0"/>
        <w:adjustRightInd/>
        <w:spacing w:line="520" w:lineRule="exact"/>
        <w:ind w:left="0" w:leftChars="0" w:firstLine="640" w:firstLineChars="200"/>
        <w:jc w:val="both"/>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6）负责宏观质量管理。拟订并实施质量发展的制度措施。统筹质量基础设施建设与应用，会同有关部门组织实施重大工程设备质量监理制度，组织重大质量事故调查，组织实施缺陷产品召回制度，监督管理产品防伪工作。</w:t>
      </w:r>
    </w:p>
    <w:p>
      <w:pPr>
        <w:keepNext w:val="0"/>
        <w:keepLines w:val="0"/>
        <w:pageBreakBefore w:val="0"/>
        <w:widowControl w:val="0"/>
        <w:kinsoku/>
        <w:wordWrap/>
        <w:overflowPunct/>
        <w:topLinePunct w:val="0"/>
        <w:autoSpaceDE/>
        <w:autoSpaceDN/>
        <w:bidi w:val="0"/>
        <w:adjustRightInd/>
        <w:spacing w:line="520" w:lineRule="exact"/>
        <w:ind w:left="0" w:leftChars="0" w:firstLine="640" w:firstLineChars="200"/>
        <w:jc w:val="both"/>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（7）负责产品质量安全监督管理。管理产品质量监督抽查、风险监控工作。组织实施质量分级制度、质量安全追溯制度。组织工业产品生产许可证后续管理工作。负责纤维质量监督工作。</w:t>
      </w:r>
    </w:p>
    <w:p>
      <w:pPr>
        <w:keepNext w:val="0"/>
        <w:keepLines w:val="0"/>
        <w:pageBreakBefore w:val="0"/>
        <w:widowControl w:val="0"/>
        <w:kinsoku/>
        <w:wordWrap/>
        <w:overflowPunct/>
        <w:topLinePunct w:val="0"/>
        <w:autoSpaceDE/>
        <w:autoSpaceDN/>
        <w:bidi w:val="0"/>
        <w:adjustRightInd/>
        <w:spacing w:line="520" w:lineRule="exact"/>
        <w:ind w:left="0" w:leftChars="0" w:firstLine="640" w:firstLineChars="200"/>
        <w:jc w:val="both"/>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（8）负责特种设备安全监督管理。综合管理特种设备安全监察、监督工作，监督检查高耗能特种设备节能标准和锅炉环境保护标准的执行情况。</w:t>
      </w:r>
    </w:p>
    <w:p>
      <w:pPr>
        <w:keepNext w:val="0"/>
        <w:keepLines w:val="0"/>
        <w:pageBreakBefore w:val="0"/>
        <w:widowControl w:val="0"/>
        <w:kinsoku/>
        <w:wordWrap/>
        <w:overflowPunct/>
        <w:topLinePunct w:val="0"/>
        <w:autoSpaceDE/>
        <w:autoSpaceDN/>
        <w:bidi w:val="0"/>
        <w:adjustRightInd/>
        <w:spacing w:line="520" w:lineRule="exact"/>
        <w:ind w:left="0" w:leftChars="0" w:firstLine="640" w:firstLineChars="200"/>
        <w:jc w:val="both"/>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（9）负责食品安全监督管理综合协调。负责推进食品安全重大政策措施的实施。负责食品安全应急体系建设，组织指导重大食品安全事件应急处置和调查处理工作。建立健全食品安全重要信息直报制度。</w:t>
      </w:r>
    </w:p>
    <w:p>
      <w:pPr>
        <w:keepNext w:val="0"/>
        <w:keepLines w:val="0"/>
        <w:pageBreakBefore w:val="0"/>
        <w:widowControl w:val="0"/>
        <w:kinsoku/>
        <w:wordWrap/>
        <w:overflowPunct/>
        <w:topLinePunct w:val="0"/>
        <w:autoSpaceDE/>
        <w:autoSpaceDN/>
        <w:bidi w:val="0"/>
        <w:adjustRightInd/>
        <w:spacing w:line="520" w:lineRule="exact"/>
        <w:ind w:left="0" w:leftChars="0" w:firstLine="640" w:firstLineChars="200"/>
        <w:jc w:val="both"/>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10）负责食品安全监督管理。建立覆盖食品生产、流通、消费全过程的监督检查制度和隐患排查治理机制并组织实施，防范区域性、系统性食品安全风险。推动建立食品生产经营者落实主体责任的机制，健全食品安全追溯体系。组织开展食品安全监督抽检、风险监测、核查处置和风险预警、风险交流工作。组织实施特殊食品监督管理。</w:t>
      </w:r>
    </w:p>
    <w:p>
      <w:pPr>
        <w:keepNext w:val="0"/>
        <w:keepLines w:val="0"/>
        <w:pageBreakBefore w:val="0"/>
        <w:widowControl w:val="0"/>
        <w:kinsoku/>
        <w:wordWrap/>
        <w:overflowPunct/>
        <w:topLinePunct w:val="0"/>
        <w:autoSpaceDE/>
        <w:autoSpaceDN/>
        <w:bidi w:val="0"/>
        <w:adjustRightInd/>
        <w:spacing w:line="520" w:lineRule="exact"/>
        <w:ind w:left="0" w:leftChars="0" w:firstLine="640" w:firstLineChars="200"/>
        <w:jc w:val="both"/>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11）负责统一管理计量工作。执行国家计量制度，推行国家法定计量单位，依法管理计量器具及量值传递、强制检定和比对工作。指导建立健全计量检定体系和节能减排等能源计量工作；监督管理计量检定机构、计量校准机构、社会公正计量机构及计量检定人员的资质资格；规范、监督商品量和市场计量行为。</w:t>
      </w:r>
    </w:p>
    <w:p>
      <w:pPr>
        <w:keepNext w:val="0"/>
        <w:keepLines w:val="0"/>
        <w:pageBreakBefore w:val="0"/>
        <w:widowControl w:val="0"/>
        <w:kinsoku/>
        <w:wordWrap/>
        <w:overflowPunct/>
        <w:topLinePunct w:val="0"/>
        <w:autoSpaceDE/>
        <w:autoSpaceDN/>
        <w:bidi w:val="0"/>
        <w:adjustRightInd/>
        <w:spacing w:line="520" w:lineRule="exact"/>
        <w:ind w:left="0" w:leftChars="0" w:firstLine="640" w:firstLineChars="200"/>
        <w:jc w:val="both"/>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（12）负责统一管理标准化工作。依法承担地方标准的立项、编号、制定和发布等工作。依法协调指导和监督团体标准、企业标准制定工作，管理商品条码工作。</w:t>
      </w:r>
    </w:p>
    <w:p>
      <w:pPr>
        <w:keepNext w:val="0"/>
        <w:keepLines w:val="0"/>
        <w:pageBreakBefore w:val="0"/>
        <w:widowControl w:val="0"/>
        <w:kinsoku/>
        <w:wordWrap/>
        <w:overflowPunct/>
        <w:topLinePunct w:val="0"/>
        <w:autoSpaceDE/>
        <w:autoSpaceDN/>
        <w:bidi w:val="0"/>
        <w:adjustRightInd/>
        <w:spacing w:line="520" w:lineRule="exact"/>
        <w:ind w:left="0" w:leftChars="0" w:firstLine="640" w:firstLineChars="200"/>
        <w:jc w:val="both"/>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（13）负责统一管理检验检测工作。推进检验检测机构改革，规范检验检测市场，完善检验检测体系，指导协调检验检测行业发展。</w:t>
      </w:r>
    </w:p>
    <w:p>
      <w:pPr>
        <w:keepNext w:val="0"/>
        <w:keepLines w:val="0"/>
        <w:pageBreakBefore w:val="0"/>
        <w:widowControl w:val="0"/>
        <w:kinsoku/>
        <w:wordWrap/>
        <w:overflowPunct/>
        <w:topLinePunct w:val="0"/>
        <w:autoSpaceDE/>
        <w:autoSpaceDN/>
        <w:bidi w:val="0"/>
        <w:adjustRightInd/>
        <w:spacing w:line="520" w:lineRule="exact"/>
        <w:ind w:left="0" w:leftChars="0" w:firstLine="640" w:firstLineChars="200"/>
        <w:jc w:val="both"/>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（14）负责统一管理、监督和综合协调认证认可工作。建立并组织实施统一的认证认可和合格评定监督管理制度。</w:t>
      </w:r>
    </w:p>
    <w:p>
      <w:pPr>
        <w:keepNext w:val="0"/>
        <w:keepLines w:val="0"/>
        <w:pageBreakBefore w:val="0"/>
        <w:widowControl w:val="0"/>
        <w:kinsoku/>
        <w:wordWrap/>
        <w:overflowPunct/>
        <w:topLinePunct w:val="0"/>
        <w:autoSpaceDE/>
        <w:autoSpaceDN/>
        <w:bidi w:val="0"/>
        <w:adjustRightInd/>
        <w:spacing w:line="520" w:lineRule="exact"/>
        <w:ind w:left="0" w:leftChars="0" w:firstLine="640" w:firstLineChars="200"/>
        <w:jc w:val="both"/>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（15）负责市场监督管理和知识产权科技与信息化建设、新闻宣传、以及对外交流合作。按规定承担技术性贸易措施有关工作。</w:t>
      </w:r>
    </w:p>
    <w:p>
      <w:pPr>
        <w:keepNext w:val="0"/>
        <w:keepLines w:val="0"/>
        <w:pageBreakBefore w:val="0"/>
        <w:widowControl w:val="0"/>
        <w:kinsoku/>
        <w:wordWrap/>
        <w:overflowPunct/>
        <w:topLinePunct w:val="0"/>
        <w:autoSpaceDE/>
        <w:autoSpaceDN/>
        <w:bidi w:val="0"/>
        <w:adjustRightInd/>
        <w:spacing w:line="520" w:lineRule="exact"/>
        <w:ind w:left="0" w:leftChars="0" w:firstLine="640" w:firstLineChars="200"/>
        <w:jc w:val="both"/>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（16）负责药品（含中药、民族药，下同）、医疗器械和化妆品安全监督管理。贯彻落实国家关于药品、医疗器械和化妆品监督管理的法律、法规、规章和政策。</w:t>
      </w:r>
    </w:p>
    <w:p>
      <w:pPr>
        <w:keepNext w:val="0"/>
        <w:keepLines w:val="0"/>
        <w:pageBreakBefore w:val="0"/>
        <w:widowControl w:val="0"/>
        <w:kinsoku/>
        <w:wordWrap/>
        <w:overflowPunct/>
        <w:topLinePunct w:val="0"/>
        <w:autoSpaceDE/>
        <w:autoSpaceDN/>
        <w:bidi w:val="0"/>
        <w:adjustRightInd/>
        <w:spacing w:line="520" w:lineRule="exact"/>
        <w:ind w:left="0" w:leftChars="0" w:firstLine="640" w:firstLineChars="200"/>
        <w:jc w:val="both"/>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（17）监督实施药品、医疗器械、化妆品相关标准和分类管理制度。监督实施中药材地方标准和中药饮片炮制规范。参与实施国家基本药物制度。</w:t>
      </w:r>
    </w:p>
    <w:p>
      <w:pPr>
        <w:keepNext w:val="0"/>
        <w:keepLines w:val="0"/>
        <w:pageBreakBefore w:val="0"/>
        <w:widowControl w:val="0"/>
        <w:kinsoku/>
        <w:wordWrap/>
        <w:overflowPunct/>
        <w:topLinePunct w:val="0"/>
        <w:autoSpaceDE/>
        <w:autoSpaceDN/>
        <w:bidi w:val="0"/>
        <w:adjustRightInd/>
        <w:spacing w:line="520" w:lineRule="exact"/>
        <w:ind w:left="0" w:leftChars="0" w:firstLine="640" w:firstLineChars="200"/>
        <w:jc w:val="both"/>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（18）负责药品、医疗器械和化妆品质量管理。监督实施药品、医疗器械经营质量管理规范，监督实施化妆品经营、使用卫生标准和技术规范。</w:t>
      </w:r>
    </w:p>
    <w:p>
      <w:pPr>
        <w:keepNext w:val="0"/>
        <w:keepLines w:val="0"/>
        <w:pageBreakBefore w:val="0"/>
        <w:widowControl w:val="0"/>
        <w:kinsoku/>
        <w:wordWrap/>
        <w:overflowPunct/>
        <w:topLinePunct w:val="0"/>
        <w:autoSpaceDE/>
        <w:autoSpaceDN/>
        <w:bidi w:val="0"/>
        <w:adjustRightInd/>
        <w:spacing w:line="520" w:lineRule="exact"/>
        <w:ind w:left="0" w:leftChars="0" w:firstLine="640" w:firstLineChars="200"/>
        <w:jc w:val="both"/>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（19）负责药品、医疗器械和化妆品上市后风险管理。组织开展辖区药品、化妆品不良反应和医疗器械不良事件监测、评价和处置。组织开展药物滥用监测。依法承担药品、医疗器械和化妆品安全应急管理。</w:t>
      </w:r>
    </w:p>
    <w:p>
      <w:pPr>
        <w:keepNext w:val="0"/>
        <w:keepLines w:val="0"/>
        <w:pageBreakBefore w:val="0"/>
        <w:widowControl w:val="0"/>
        <w:kinsoku/>
        <w:wordWrap/>
        <w:overflowPunct/>
        <w:topLinePunct w:val="0"/>
        <w:autoSpaceDE/>
        <w:autoSpaceDN/>
        <w:bidi w:val="0"/>
        <w:adjustRightInd/>
        <w:spacing w:line="520" w:lineRule="exact"/>
        <w:ind w:left="0" w:leftChars="0" w:firstLine="640" w:firstLineChars="200"/>
        <w:jc w:val="both"/>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（20）负责组织实施药品、医疗器械和化妆品监督检查。依职责组织指导查处药品、医疗器械、化妆品生产、经营和使用环节的违法行为。</w:t>
      </w:r>
    </w:p>
    <w:p>
      <w:pPr>
        <w:keepNext w:val="0"/>
        <w:keepLines w:val="0"/>
        <w:pageBreakBefore w:val="0"/>
        <w:widowControl w:val="0"/>
        <w:kinsoku/>
        <w:wordWrap/>
        <w:overflowPunct/>
        <w:topLinePunct w:val="0"/>
        <w:autoSpaceDE/>
        <w:autoSpaceDN/>
        <w:bidi w:val="0"/>
        <w:adjustRightInd/>
        <w:spacing w:line="520" w:lineRule="exact"/>
        <w:ind w:left="0" w:leftChars="0" w:firstLine="640" w:firstLineChars="200"/>
        <w:jc w:val="both"/>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21）负责促进知识产权运用。拟订实施知识产权激励奖励制度、知识产权转化运用和交易运营政策措施。指导落实商标、专利、原产地地理标志申请的审查、确权相关前置服务工作。指导知识产权无形资产评估、审查评议工作。指导和促进知识产权服务业发展、统筹指导知识产权公共服务体系建设，推动知识产权信息传播利用。</w:t>
      </w:r>
    </w:p>
    <w:p>
      <w:pPr>
        <w:keepNext w:val="0"/>
        <w:keepLines w:val="0"/>
        <w:pageBreakBefore w:val="0"/>
        <w:widowControl w:val="0"/>
        <w:kinsoku/>
        <w:wordWrap/>
        <w:overflowPunct/>
        <w:topLinePunct w:val="0"/>
        <w:autoSpaceDE/>
        <w:autoSpaceDN/>
        <w:bidi w:val="0"/>
        <w:adjustRightInd/>
        <w:spacing w:line="520" w:lineRule="exact"/>
        <w:ind w:left="0" w:leftChars="0" w:firstLine="640" w:firstLineChars="200"/>
        <w:jc w:val="both"/>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22）负责保护知识产权。拟订实施严格保护商标、专利、原产地地理标志等知识产权制度措施。研究提出知识产权保护体系建设方案并组织实施，推动建设知识产权保护体系。负责组织指导商标、专利执法工作，指导知识产权争议处理、维权援助和纠纷调处。组织指导知识产权预警和涉外保护工作。拟订实施鼓励新领域、新业态、新模式创新的知识产权保护、管理和服务政策。</w:t>
      </w:r>
    </w:p>
    <w:p>
      <w:pPr>
        <w:keepNext w:val="0"/>
        <w:keepLines w:val="0"/>
        <w:pageBreakBefore w:val="0"/>
        <w:widowControl w:val="0"/>
        <w:kinsoku/>
        <w:wordWrap/>
        <w:overflowPunct/>
        <w:topLinePunct w:val="0"/>
        <w:autoSpaceDE/>
        <w:autoSpaceDN/>
        <w:bidi w:val="0"/>
        <w:adjustRightInd/>
        <w:spacing w:line="520" w:lineRule="exact"/>
        <w:ind w:left="0" w:leftChars="0" w:firstLine="640" w:firstLineChars="200"/>
        <w:jc w:val="both"/>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（23）承担伽师县食品安全委员会的具体工作。</w:t>
      </w:r>
    </w:p>
    <w:p>
      <w:pPr>
        <w:keepNext w:val="0"/>
        <w:keepLines w:val="0"/>
        <w:pageBreakBefore w:val="0"/>
        <w:widowControl w:val="0"/>
        <w:kinsoku/>
        <w:wordWrap/>
        <w:overflowPunct/>
        <w:topLinePunct w:val="0"/>
        <w:autoSpaceDE/>
        <w:autoSpaceDN/>
        <w:bidi w:val="0"/>
        <w:adjustRightInd/>
        <w:snapToGrid w:val="0"/>
        <w:spacing w:line="520" w:lineRule="exact"/>
        <w:ind w:left="0" w:leftChars="0" w:firstLine="640" w:firstLineChars="200"/>
        <w:jc w:val="both"/>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（24）完成伽师县委、县政府交办的其他任务。</w:t>
      </w:r>
    </w:p>
    <w:p>
      <w:pPr>
        <w:pStyle w:val="16"/>
        <w:ind w:firstLine="562"/>
        <w:jc w:val="both"/>
        <w:rPr>
          <w:rFonts w:hint="eastAsia" w:ascii="方正仿宋_GBK" w:hAnsi="方正仿宋_GBK" w:eastAsia="方正仿宋_GBK" w:cs="方正仿宋_GBK"/>
          <w:b/>
          <w:color w:val="auto"/>
          <w:sz w:val="32"/>
          <w:szCs w:val="32"/>
          <w:highlight w:val="none"/>
        </w:rPr>
      </w:pPr>
      <w:bookmarkStart w:id="40" w:name="_Hlk40355089"/>
      <w:r>
        <w:rPr>
          <w:rFonts w:hint="eastAsia" w:ascii="方正仿宋_GBK" w:hAnsi="方正仿宋_GBK" w:eastAsia="方正仿宋_GBK" w:cs="方正仿宋_GBK"/>
          <w:b/>
          <w:color w:val="auto"/>
          <w:sz w:val="32"/>
          <w:szCs w:val="32"/>
          <w:highlight w:val="none"/>
        </w:rPr>
        <w:t>3. 部门组织架构</w:t>
      </w:r>
    </w:p>
    <w:p>
      <w:pPr>
        <w:pStyle w:val="17"/>
        <w:keepNext w:val="0"/>
        <w:keepLines w:val="0"/>
        <w:pageBreakBefore w:val="0"/>
        <w:widowControl w:val="0"/>
        <w:kinsoku/>
        <w:wordWrap/>
        <w:overflowPunct/>
        <w:topLinePunct w:val="0"/>
        <w:autoSpaceDE/>
        <w:autoSpaceDN/>
        <w:bidi w:val="0"/>
        <w:adjustRightInd/>
        <w:snapToGrid w:val="0"/>
        <w:spacing w:line="570" w:lineRule="atLeast"/>
        <w:ind w:firstLine="640"/>
        <w:jc w:val="both"/>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val="0"/>
          <w:color w:val="auto"/>
          <w:spacing w:val="6"/>
          <w:kern w:val="2"/>
          <w:sz w:val="32"/>
          <w:szCs w:val="32"/>
          <w:lang w:val="en-US" w:eastAsia="zh-CN"/>
        </w:rPr>
        <w:t>伽师县市场监督管理局是财政全额拨款的行政单位，内设职能部门13个：办公室、政策法规室、注册登记管理股、信用监督管理股、反垄断和反不正当竞争股、价格监督管理股、网络交易监督管理股、产品质量监督管理股、食品生产经营监督管理股、药品、医疗器械监督管理股、特种设备监察股、计量标准化监督管理股、知识产权监督管理股。</w:t>
      </w:r>
    </w:p>
    <w:p>
      <w:pPr>
        <w:pStyle w:val="17"/>
        <w:keepNext w:val="0"/>
        <w:keepLines w:val="0"/>
        <w:pageBreakBefore w:val="0"/>
        <w:widowControl w:val="0"/>
        <w:kinsoku/>
        <w:wordWrap/>
        <w:overflowPunct/>
        <w:topLinePunct w:val="0"/>
        <w:autoSpaceDE/>
        <w:autoSpaceDN/>
        <w:bidi w:val="0"/>
        <w:adjustRightInd/>
        <w:snapToGrid w:val="0"/>
        <w:spacing w:line="570" w:lineRule="atLeast"/>
        <w:ind w:firstLine="640"/>
        <w:jc w:val="both"/>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val="0"/>
          <w:color w:val="auto"/>
          <w:spacing w:val="6"/>
          <w:kern w:val="2"/>
          <w:sz w:val="32"/>
          <w:szCs w:val="32"/>
          <w:lang w:val="en-US" w:eastAsia="zh-CN"/>
        </w:rPr>
        <w:t>人员编制总数44人，其中：行政编制32人，机关工勤编制2人，事业编制10人。</w:t>
      </w:r>
    </w:p>
    <w:bookmarkEnd w:id="40"/>
    <w:p>
      <w:pPr>
        <w:pStyle w:val="16"/>
        <w:ind w:firstLine="562"/>
        <w:jc w:val="both"/>
        <w:rPr>
          <w:rFonts w:hint="eastAsia" w:ascii="方正仿宋_GBK" w:hAnsi="方正仿宋_GBK" w:eastAsia="方正仿宋_GBK" w:cs="方正仿宋_GBK"/>
          <w:b/>
          <w:color w:val="auto"/>
          <w:sz w:val="32"/>
          <w:szCs w:val="32"/>
        </w:rPr>
      </w:pPr>
      <w:r>
        <w:rPr>
          <w:rFonts w:hint="eastAsia" w:ascii="方正仿宋_GBK" w:hAnsi="方正仿宋_GBK" w:eastAsia="方正仿宋_GBK" w:cs="方正仿宋_GBK"/>
          <w:b/>
          <w:color w:val="auto"/>
          <w:sz w:val="32"/>
          <w:szCs w:val="32"/>
          <w:lang w:val="en-US" w:eastAsia="zh-CN"/>
        </w:rPr>
        <w:t>4</w:t>
      </w:r>
      <w:r>
        <w:rPr>
          <w:rFonts w:hint="eastAsia" w:ascii="方正仿宋_GBK" w:hAnsi="方正仿宋_GBK" w:eastAsia="方正仿宋_GBK" w:cs="方正仿宋_GBK"/>
          <w:b/>
          <w:color w:val="auto"/>
          <w:sz w:val="32"/>
          <w:szCs w:val="32"/>
        </w:rPr>
        <w:t>. 部门人员、固定资产情况</w:t>
      </w:r>
    </w:p>
    <w:p>
      <w:pPr>
        <w:keepNext w:val="0"/>
        <w:keepLines w:val="0"/>
        <w:pageBreakBefore w:val="0"/>
        <w:widowControl w:val="0"/>
        <w:kinsoku/>
        <w:wordWrap/>
        <w:overflowPunct/>
        <w:topLinePunct w:val="0"/>
        <w:autoSpaceDE/>
        <w:autoSpaceDN/>
        <w:bidi w:val="0"/>
        <w:adjustRightInd/>
        <w:snapToGrid w:val="0"/>
        <w:spacing w:line="520" w:lineRule="exact"/>
        <w:ind w:left="0" w:leftChars="0" w:firstLine="635" w:firstLineChars="200"/>
        <w:jc w:val="both"/>
        <w:textAlignment w:val="auto"/>
        <w:outlineLvl w:val="9"/>
        <w:rPr>
          <w:rFonts w:hint="eastAsia" w:ascii="方正仿宋_GBK" w:hAnsi="方正仿宋_GBK" w:eastAsia="方正仿宋_GBK" w:cs="方正仿宋_GBK"/>
          <w:b/>
          <w:bCs/>
          <w:color w:val="auto"/>
          <w:spacing w:val="-2"/>
          <w:sz w:val="32"/>
          <w:szCs w:val="32"/>
          <w:lang w:eastAsia="zh-CN"/>
        </w:rPr>
      </w:pPr>
      <w:r>
        <w:rPr>
          <w:rFonts w:hint="eastAsia" w:ascii="方正仿宋_GBK" w:hAnsi="方正仿宋_GBK" w:eastAsia="方正仿宋_GBK" w:cs="方正仿宋_GBK"/>
          <w:b/>
          <w:bCs/>
          <w:color w:val="auto"/>
          <w:spacing w:val="-2"/>
          <w:sz w:val="32"/>
          <w:szCs w:val="32"/>
          <w:lang w:eastAsia="zh-CN"/>
        </w:rPr>
        <w:t>（</w:t>
      </w:r>
      <w:r>
        <w:rPr>
          <w:rFonts w:hint="eastAsia" w:ascii="方正仿宋_GBK" w:hAnsi="方正仿宋_GBK" w:eastAsia="方正仿宋_GBK" w:cs="方正仿宋_GBK"/>
          <w:b/>
          <w:bCs/>
          <w:color w:val="auto"/>
          <w:spacing w:val="-2"/>
          <w:sz w:val="32"/>
          <w:szCs w:val="32"/>
          <w:lang w:val="en-US" w:eastAsia="zh-CN"/>
        </w:rPr>
        <w:t>1</w:t>
      </w:r>
      <w:r>
        <w:rPr>
          <w:rFonts w:hint="eastAsia" w:ascii="方正仿宋_GBK" w:hAnsi="方正仿宋_GBK" w:eastAsia="方正仿宋_GBK" w:cs="方正仿宋_GBK"/>
          <w:b/>
          <w:bCs/>
          <w:color w:val="auto"/>
          <w:spacing w:val="-2"/>
          <w:sz w:val="32"/>
          <w:szCs w:val="32"/>
          <w:lang w:eastAsia="zh-CN"/>
        </w:rPr>
        <w:t>）部门人员情况</w:t>
      </w:r>
    </w:p>
    <w:p>
      <w:pPr>
        <w:keepNext w:val="0"/>
        <w:keepLines w:val="0"/>
        <w:pageBreakBefore w:val="0"/>
        <w:widowControl w:val="0"/>
        <w:kinsoku/>
        <w:wordWrap/>
        <w:overflowPunct/>
        <w:topLinePunct w:val="0"/>
        <w:autoSpaceDE/>
        <w:autoSpaceDN/>
        <w:bidi w:val="0"/>
        <w:adjustRightInd/>
        <w:snapToGrid w:val="0"/>
        <w:spacing w:line="520" w:lineRule="exact"/>
        <w:ind w:left="0" w:leftChars="0" w:firstLine="632" w:firstLineChars="200"/>
        <w:jc w:val="both"/>
        <w:textAlignment w:val="auto"/>
        <w:outlineLvl w:val="9"/>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pacing w:val="-2"/>
          <w:sz w:val="32"/>
          <w:szCs w:val="32"/>
        </w:rPr>
        <w:t>202</w:t>
      </w:r>
      <w:r>
        <w:rPr>
          <w:rFonts w:hint="eastAsia" w:ascii="方正仿宋_GBK" w:hAnsi="方正仿宋_GBK" w:eastAsia="方正仿宋_GBK" w:cs="方正仿宋_GBK"/>
          <w:color w:val="auto"/>
          <w:spacing w:val="-2"/>
          <w:sz w:val="32"/>
          <w:szCs w:val="32"/>
          <w:lang w:val="en-US" w:eastAsia="zh-CN"/>
        </w:rPr>
        <w:t>2</w:t>
      </w:r>
      <w:r>
        <w:rPr>
          <w:rFonts w:hint="eastAsia" w:ascii="方正仿宋_GBK" w:hAnsi="方正仿宋_GBK" w:eastAsia="方正仿宋_GBK" w:cs="方正仿宋_GBK"/>
          <w:color w:val="auto"/>
          <w:spacing w:val="-2"/>
          <w:sz w:val="32"/>
          <w:szCs w:val="32"/>
        </w:rPr>
        <w:t>年年末实有在职</w:t>
      </w:r>
      <w:r>
        <w:rPr>
          <w:rFonts w:hint="eastAsia" w:ascii="方正仿宋_GBK" w:hAnsi="方正仿宋_GBK" w:eastAsia="方正仿宋_GBK" w:cs="方正仿宋_GBK"/>
          <w:color w:val="auto"/>
          <w:spacing w:val="-2"/>
          <w:sz w:val="32"/>
          <w:szCs w:val="32"/>
          <w:lang w:eastAsia="zh-CN"/>
        </w:rPr>
        <w:t>人数</w:t>
      </w:r>
      <w:r>
        <w:rPr>
          <w:rFonts w:hint="eastAsia" w:ascii="方正仿宋_GBK" w:hAnsi="方正仿宋_GBK" w:eastAsia="方正仿宋_GBK" w:cs="方正仿宋_GBK"/>
          <w:color w:val="auto"/>
          <w:spacing w:val="-2"/>
          <w:sz w:val="32"/>
          <w:szCs w:val="32"/>
          <w:lang w:val="en-US" w:eastAsia="zh-CN"/>
        </w:rPr>
        <w:t>45人，其中</w:t>
      </w:r>
      <w:r>
        <w:rPr>
          <w:rFonts w:hint="eastAsia" w:ascii="方正仿宋_GBK" w:hAnsi="方正仿宋_GBK" w:eastAsia="方正仿宋_GBK" w:cs="方正仿宋_GBK"/>
          <w:color w:val="auto"/>
          <w:spacing w:val="-2"/>
          <w:sz w:val="32"/>
          <w:szCs w:val="32"/>
        </w:rPr>
        <w:t>行政</w:t>
      </w:r>
      <w:r>
        <w:rPr>
          <w:rFonts w:hint="eastAsia" w:ascii="方正仿宋_GBK" w:hAnsi="方正仿宋_GBK" w:eastAsia="方正仿宋_GBK" w:cs="方正仿宋_GBK"/>
          <w:color w:val="auto"/>
          <w:spacing w:val="-2"/>
          <w:sz w:val="32"/>
          <w:szCs w:val="32"/>
          <w:lang w:eastAsia="zh-CN"/>
        </w:rPr>
        <w:t>编制</w:t>
      </w:r>
      <w:r>
        <w:rPr>
          <w:rFonts w:hint="eastAsia" w:ascii="方正仿宋_GBK" w:hAnsi="方正仿宋_GBK" w:eastAsia="方正仿宋_GBK" w:cs="方正仿宋_GBK"/>
          <w:color w:val="auto"/>
          <w:spacing w:val="-2"/>
          <w:sz w:val="32"/>
          <w:szCs w:val="32"/>
        </w:rPr>
        <w:t>人数3</w:t>
      </w:r>
      <w:r>
        <w:rPr>
          <w:rFonts w:hint="eastAsia" w:ascii="方正仿宋_GBK" w:hAnsi="方正仿宋_GBK" w:eastAsia="方正仿宋_GBK" w:cs="方正仿宋_GBK"/>
          <w:color w:val="auto"/>
          <w:spacing w:val="-2"/>
          <w:sz w:val="32"/>
          <w:szCs w:val="32"/>
          <w:lang w:val="en-US" w:eastAsia="zh-CN"/>
        </w:rPr>
        <w:t>6</w:t>
      </w:r>
      <w:r>
        <w:rPr>
          <w:rFonts w:hint="eastAsia" w:ascii="方正仿宋_GBK" w:hAnsi="方正仿宋_GBK" w:eastAsia="方正仿宋_GBK" w:cs="方正仿宋_GBK"/>
          <w:color w:val="auto"/>
          <w:spacing w:val="-2"/>
          <w:sz w:val="32"/>
          <w:szCs w:val="32"/>
        </w:rPr>
        <w:t>人，</w:t>
      </w:r>
      <w:r>
        <w:rPr>
          <w:rFonts w:hint="eastAsia" w:ascii="方正仿宋_GBK" w:hAnsi="方正仿宋_GBK" w:eastAsia="方正仿宋_GBK" w:cs="方正仿宋_GBK"/>
          <w:color w:val="auto"/>
          <w:sz w:val="32"/>
          <w:szCs w:val="32"/>
        </w:rPr>
        <w:t>比202</w:t>
      </w: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38</w:t>
      </w:r>
      <w:r>
        <w:rPr>
          <w:rFonts w:hint="eastAsia" w:ascii="方正仿宋_GBK" w:hAnsi="方正仿宋_GBK" w:eastAsia="方正仿宋_GBK" w:cs="方正仿宋_GBK"/>
          <w:color w:val="auto"/>
          <w:sz w:val="32"/>
          <w:szCs w:val="32"/>
        </w:rPr>
        <w:t>人减少2人，主要是根据伽党组退函〔2022〕24号、25号文件买买提·克日木和多力坤·沙依提2名行政在职人员转退休</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pacing w:val="-2"/>
          <w:sz w:val="32"/>
          <w:szCs w:val="32"/>
        </w:rPr>
        <w:t>事业编制</w:t>
      </w:r>
      <w:r>
        <w:rPr>
          <w:rFonts w:hint="eastAsia" w:ascii="方正仿宋_GBK" w:hAnsi="方正仿宋_GBK" w:eastAsia="方正仿宋_GBK" w:cs="方正仿宋_GBK"/>
          <w:color w:val="auto"/>
          <w:spacing w:val="-2"/>
          <w:sz w:val="32"/>
          <w:szCs w:val="32"/>
          <w:lang w:eastAsia="zh-CN"/>
        </w:rPr>
        <w:t>人数</w:t>
      </w:r>
      <w:r>
        <w:rPr>
          <w:rFonts w:hint="eastAsia" w:ascii="方正仿宋_GBK" w:hAnsi="方正仿宋_GBK" w:eastAsia="方正仿宋_GBK" w:cs="方正仿宋_GBK"/>
          <w:color w:val="auto"/>
          <w:spacing w:val="-2"/>
          <w:sz w:val="32"/>
          <w:szCs w:val="32"/>
          <w:lang w:val="en-US" w:eastAsia="zh-CN"/>
        </w:rPr>
        <w:t>9</w:t>
      </w:r>
      <w:r>
        <w:rPr>
          <w:rFonts w:hint="eastAsia" w:ascii="方正仿宋_GBK" w:hAnsi="方正仿宋_GBK" w:eastAsia="方正仿宋_GBK" w:cs="方正仿宋_GBK"/>
          <w:color w:val="auto"/>
          <w:spacing w:val="-2"/>
          <w:sz w:val="32"/>
          <w:szCs w:val="32"/>
        </w:rPr>
        <w:t>人，</w:t>
      </w:r>
      <w:r>
        <w:rPr>
          <w:rFonts w:hint="eastAsia" w:ascii="方正仿宋_GBK" w:hAnsi="方正仿宋_GBK" w:eastAsia="方正仿宋_GBK" w:cs="方正仿宋_GBK"/>
          <w:color w:val="auto"/>
          <w:sz w:val="32"/>
          <w:szCs w:val="32"/>
        </w:rPr>
        <w:t>比202</w:t>
      </w: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10</w:t>
      </w:r>
      <w:r>
        <w:rPr>
          <w:rFonts w:hint="eastAsia" w:ascii="方正仿宋_GBK" w:hAnsi="方正仿宋_GBK" w:eastAsia="方正仿宋_GBK" w:cs="方正仿宋_GBK"/>
          <w:color w:val="auto"/>
          <w:sz w:val="32"/>
          <w:szCs w:val="32"/>
        </w:rPr>
        <w:t>人减少</w:t>
      </w: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rPr>
        <w:t>人</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主要是在职事业人员买丽古·肉孜买买提死亡</w:t>
      </w:r>
      <w:r>
        <w:rPr>
          <w:rFonts w:hint="eastAsia" w:ascii="方正仿宋_GBK" w:hAnsi="方正仿宋_GBK" w:eastAsia="方正仿宋_GBK" w:cs="方正仿宋_GBK"/>
          <w:color w:val="auto"/>
          <w:spacing w:val="-2"/>
          <w:sz w:val="32"/>
          <w:szCs w:val="32"/>
        </w:rPr>
        <w:t>。</w:t>
      </w:r>
    </w:p>
    <w:p>
      <w:pPr>
        <w:spacing w:line="500" w:lineRule="exact"/>
        <w:ind w:firstLine="643" w:firstLineChars="200"/>
        <w:jc w:val="both"/>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b/>
          <w:color w:val="auto"/>
          <w:sz w:val="32"/>
          <w:szCs w:val="32"/>
          <w:lang w:eastAsia="zh-CN"/>
        </w:rPr>
        <w:t>（</w:t>
      </w:r>
      <w:r>
        <w:rPr>
          <w:rFonts w:hint="eastAsia" w:ascii="方正仿宋_GBK" w:hAnsi="方正仿宋_GBK" w:eastAsia="方正仿宋_GBK" w:cs="方正仿宋_GBK"/>
          <w:b/>
          <w:color w:val="auto"/>
          <w:sz w:val="32"/>
          <w:szCs w:val="32"/>
          <w:lang w:val="en-US" w:eastAsia="zh-CN"/>
        </w:rPr>
        <w:t>2</w:t>
      </w:r>
      <w:r>
        <w:rPr>
          <w:rFonts w:hint="eastAsia" w:ascii="方正仿宋_GBK" w:hAnsi="方正仿宋_GBK" w:eastAsia="方正仿宋_GBK" w:cs="方正仿宋_GBK"/>
          <w:b/>
          <w:color w:val="auto"/>
          <w:sz w:val="32"/>
          <w:szCs w:val="32"/>
          <w:lang w:eastAsia="zh-CN"/>
        </w:rPr>
        <w:t>）</w:t>
      </w:r>
      <w:r>
        <w:rPr>
          <w:rFonts w:hint="eastAsia" w:ascii="方正仿宋_GBK" w:hAnsi="方正仿宋_GBK" w:eastAsia="方正仿宋_GBK" w:cs="方正仿宋_GBK"/>
          <w:b/>
          <w:color w:val="auto"/>
          <w:sz w:val="32"/>
          <w:szCs w:val="32"/>
        </w:rPr>
        <w:t>固定资产情况</w:t>
      </w:r>
    </w:p>
    <w:p>
      <w:pPr>
        <w:pStyle w:val="5"/>
        <w:keepNext w:val="0"/>
        <w:keepLines w:val="0"/>
        <w:pageBreakBefore w:val="0"/>
        <w:widowControl w:val="0"/>
        <w:numPr>
          <w:ilvl w:val="2"/>
          <w:numId w:val="0"/>
        </w:numPr>
        <w:kinsoku/>
        <w:wordWrap/>
        <w:overflowPunct/>
        <w:topLinePunct w:val="0"/>
        <w:autoSpaceDE/>
        <w:autoSpaceDN/>
        <w:bidi w:val="0"/>
        <w:adjustRightInd/>
        <w:spacing w:before="0" w:after="0" w:line="560" w:lineRule="exact"/>
        <w:ind w:right="0" w:rightChars="0" w:firstLine="640" w:firstLineChars="200"/>
        <w:jc w:val="both"/>
        <w:textAlignment w:val="auto"/>
        <w:rPr>
          <w:rFonts w:hint="eastAsia" w:ascii="方正仿宋_GBK" w:hAnsi="方正仿宋_GBK" w:eastAsia="方正仿宋_GBK" w:cs="方正仿宋_GBK"/>
          <w:b w:val="0"/>
          <w:bCs/>
          <w:color w:val="auto"/>
          <w:sz w:val="32"/>
          <w:szCs w:val="32"/>
        </w:rPr>
      </w:pPr>
      <w:r>
        <w:rPr>
          <w:rFonts w:hint="eastAsia" w:ascii="方正仿宋_GBK" w:hAnsi="方正仿宋_GBK" w:eastAsia="方正仿宋_GBK" w:cs="方正仿宋_GBK"/>
          <w:b w:val="0"/>
          <w:bCs/>
          <w:color w:val="auto"/>
          <w:sz w:val="32"/>
          <w:szCs w:val="32"/>
        </w:rPr>
        <w:t>截至20</w:t>
      </w:r>
      <w:r>
        <w:rPr>
          <w:rFonts w:hint="eastAsia" w:ascii="方正仿宋_GBK" w:hAnsi="方正仿宋_GBK" w:eastAsia="方正仿宋_GBK" w:cs="方正仿宋_GBK"/>
          <w:b w:val="0"/>
          <w:bCs/>
          <w:color w:val="auto"/>
          <w:sz w:val="32"/>
          <w:szCs w:val="32"/>
          <w:lang w:val="en-US" w:eastAsia="zh-CN"/>
        </w:rPr>
        <w:t>22</w:t>
      </w:r>
      <w:r>
        <w:rPr>
          <w:rFonts w:hint="eastAsia" w:ascii="方正仿宋_GBK" w:hAnsi="方正仿宋_GBK" w:eastAsia="方正仿宋_GBK" w:cs="方正仿宋_GBK"/>
          <w:b w:val="0"/>
          <w:bCs/>
          <w:color w:val="auto"/>
          <w:sz w:val="32"/>
          <w:szCs w:val="32"/>
        </w:rPr>
        <w:t>年年底，</w:t>
      </w:r>
      <w:r>
        <w:rPr>
          <w:rFonts w:hint="eastAsia" w:ascii="方正仿宋_GBK" w:hAnsi="方正仿宋_GBK" w:eastAsia="方正仿宋_GBK" w:cs="方正仿宋_GBK"/>
          <w:b w:val="0"/>
          <w:bCs/>
          <w:color w:val="auto"/>
          <w:sz w:val="32"/>
          <w:szCs w:val="32"/>
          <w:lang w:eastAsia="zh-CN"/>
        </w:rPr>
        <w:t>市监局</w:t>
      </w:r>
      <w:r>
        <w:rPr>
          <w:rFonts w:hint="eastAsia" w:ascii="方正仿宋_GBK" w:hAnsi="方正仿宋_GBK" w:eastAsia="方正仿宋_GBK" w:cs="方正仿宋_GBK"/>
          <w:b w:val="0"/>
          <w:bCs/>
          <w:color w:val="auto"/>
          <w:sz w:val="32"/>
          <w:szCs w:val="32"/>
        </w:rPr>
        <w:t>资产总额为557.41万元，</w:t>
      </w:r>
      <w:r>
        <w:rPr>
          <w:rFonts w:hint="eastAsia" w:ascii="方正仿宋_GBK" w:hAnsi="方正仿宋_GBK" w:eastAsia="方正仿宋_GBK" w:cs="方正仿宋_GBK"/>
          <w:b w:val="0"/>
          <w:bCs/>
          <w:color w:val="auto"/>
          <w:sz w:val="32"/>
          <w:szCs w:val="32"/>
          <w:lang w:eastAsia="zh-CN"/>
        </w:rPr>
        <w:t>其中</w:t>
      </w:r>
      <w:r>
        <w:rPr>
          <w:rFonts w:hint="eastAsia" w:ascii="方正仿宋_GBK" w:hAnsi="方正仿宋_GBK" w:eastAsia="方正仿宋_GBK" w:cs="方正仿宋_GBK"/>
          <w:b w:val="0"/>
          <w:bCs/>
          <w:color w:val="auto"/>
          <w:sz w:val="32"/>
          <w:szCs w:val="32"/>
        </w:rPr>
        <w:t>流动资产总额为21.72万元，固定资产</w:t>
      </w:r>
      <w:r>
        <w:rPr>
          <w:rFonts w:hint="eastAsia" w:ascii="方正仿宋_GBK" w:hAnsi="方正仿宋_GBK" w:eastAsia="方正仿宋_GBK" w:cs="方正仿宋_GBK"/>
          <w:b w:val="0"/>
          <w:bCs/>
          <w:color w:val="auto"/>
          <w:sz w:val="32"/>
          <w:szCs w:val="32"/>
          <w:lang w:eastAsia="zh-CN"/>
        </w:rPr>
        <w:t>账面价值</w:t>
      </w:r>
      <w:r>
        <w:rPr>
          <w:rFonts w:hint="eastAsia" w:ascii="方正仿宋_GBK" w:hAnsi="方正仿宋_GBK" w:eastAsia="方正仿宋_GBK" w:cs="方正仿宋_GBK"/>
          <w:b w:val="0"/>
          <w:bCs/>
          <w:color w:val="auto"/>
          <w:sz w:val="32"/>
          <w:szCs w:val="32"/>
        </w:rPr>
        <w:t>为</w:t>
      </w:r>
      <w:r>
        <w:rPr>
          <w:rFonts w:hint="eastAsia" w:ascii="方正仿宋_GBK" w:hAnsi="方正仿宋_GBK" w:eastAsia="方正仿宋_GBK" w:cs="方正仿宋_GBK"/>
          <w:b w:val="0"/>
          <w:bCs/>
          <w:color w:val="auto"/>
          <w:sz w:val="32"/>
          <w:szCs w:val="32"/>
          <w:lang w:val="en-US" w:eastAsia="zh-CN"/>
        </w:rPr>
        <w:t>535.69</w:t>
      </w:r>
      <w:r>
        <w:rPr>
          <w:rFonts w:hint="eastAsia" w:ascii="方正仿宋_GBK" w:hAnsi="方正仿宋_GBK" w:eastAsia="方正仿宋_GBK" w:cs="方正仿宋_GBK"/>
          <w:b w:val="0"/>
          <w:bCs/>
          <w:color w:val="auto"/>
          <w:sz w:val="32"/>
          <w:szCs w:val="32"/>
        </w:rPr>
        <w:t>万元</w:t>
      </w:r>
      <w:r>
        <w:rPr>
          <w:rFonts w:hint="eastAsia" w:ascii="方正仿宋_GBK" w:hAnsi="方正仿宋_GBK" w:eastAsia="方正仿宋_GBK" w:cs="方正仿宋_GBK"/>
          <w:b w:val="0"/>
          <w:bCs/>
          <w:color w:val="auto"/>
          <w:sz w:val="32"/>
          <w:szCs w:val="32"/>
          <w:lang w:eastAsia="zh-CN"/>
        </w:rPr>
        <w:t>；</w:t>
      </w:r>
      <w:r>
        <w:rPr>
          <w:rFonts w:hint="eastAsia" w:ascii="方正仿宋_GBK" w:hAnsi="方正仿宋_GBK" w:eastAsia="方正仿宋_GBK" w:cs="方正仿宋_GBK"/>
          <w:b w:val="0"/>
          <w:bCs/>
          <w:color w:val="auto"/>
          <w:sz w:val="32"/>
          <w:szCs w:val="32"/>
        </w:rPr>
        <w:t>负债总额为21.72万元</w:t>
      </w:r>
      <w:r>
        <w:rPr>
          <w:rFonts w:hint="eastAsia" w:ascii="方正仿宋_GBK" w:hAnsi="方正仿宋_GBK" w:eastAsia="方正仿宋_GBK" w:cs="方正仿宋_GBK"/>
          <w:b w:val="0"/>
          <w:bCs/>
          <w:color w:val="auto"/>
          <w:sz w:val="32"/>
          <w:szCs w:val="32"/>
          <w:lang w:eastAsia="zh-CN"/>
        </w:rPr>
        <w:t>；</w:t>
      </w:r>
      <w:r>
        <w:rPr>
          <w:rFonts w:hint="eastAsia" w:ascii="方正仿宋_GBK" w:hAnsi="方正仿宋_GBK" w:eastAsia="方正仿宋_GBK" w:cs="方正仿宋_GBK"/>
          <w:b w:val="0"/>
          <w:bCs/>
          <w:color w:val="auto"/>
          <w:sz w:val="32"/>
          <w:szCs w:val="32"/>
        </w:rPr>
        <w:t>净资产总额为535.6</w:t>
      </w:r>
      <w:r>
        <w:rPr>
          <w:rFonts w:hint="eastAsia" w:ascii="方正仿宋_GBK" w:hAnsi="方正仿宋_GBK" w:eastAsia="方正仿宋_GBK" w:cs="方正仿宋_GBK"/>
          <w:b w:val="0"/>
          <w:bCs/>
          <w:color w:val="auto"/>
          <w:sz w:val="32"/>
          <w:szCs w:val="32"/>
          <w:lang w:val="en-US" w:eastAsia="zh-CN"/>
        </w:rPr>
        <w:t>9</w:t>
      </w:r>
      <w:r>
        <w:rPr>
          <w:rFonts w:hint="eastAsia" w:ascii="方正仿宋_GBK" w:hAnsi="方正仿宋_GBK" w:eastAsia="方正仿宋_GBK" w:cs="方正仿宋_GBK"/>
          <w:b w:val="0"/>
          <w:bCs/>
          <w:color w:val="auto"/>
          <w:sz w:val="32"/>
          <w:szCs w:val="32"/>
        </w:rPr>
        <w:t>万元。</w:t>
      </w:r>
    </w:p>
    <w:p>
      <w:pPr>
        <w:pStyle w:val="5"/>
        <w:keepNext w:val="0"/>
        <w:keepLines w:val="0"/>
        <w:pageBreakBefore w:val="0"/>
        <w:widowControl w:val="0"/>
        <w:numPr>
          <w:ilvl w:val="2"/>
          <w:numId w:val="0"/>
        </w:numPr>
        <w:kinsoku/>
        <w:wordWrap/>
        <w:overflowPunct/>
        <w:topLinePunct w:val="0"/>
        <w:autoSpaceDE/>
        <w:autoSpaceDN/>
        <w:bidi w:val="0"/>
        <w:adjustRightInd/>
        <w:spacing w:before="0" w:after="0" w:line="560" w:lineRule="exact"/>
        <w:ind w:right="0" w:rightChars="0" w:firstLine="640" w:firstLineChars="200"/>
        <w:jc w:val="both"/>
        <w:textAlignment w:val="auto"/>
        <w:rPr>
          <w:rFonts w:hint="eastAsia" w:ascii="方正仿宋_GBK" w:hAnsi="方正仿宋_GBK" w:eastAsia="方正仿宋_GBK" w:cs="方正仿宋_GBK"/>
          <w:b w:val="0"/>
          <w:bCs/>
          <w:color w:val="auto"/>
          <w:sz w:val="32"/>
          <w:szCs w:val="32"/>
        </w:rPr>
      </w:pPr>
      <w:r>
        <w:rPr>
          <w:rFonts w:hint="eastAsia" w:ascii="方正仿宋_GBK" w:hAnsi="方正仿宋_GBK" w:eastAsia="方正仿宋_GBK" w:cs="方正仿宋_GBK"/>
          <w:b w:val="0"/>
          <w:bCs/>
          <w:color w:val="auto"/>
          <w:sz w:val="32"/>
          <w:szCs w:val="32"/>
        </w:rPr>
        <w:t>固定资产原值总额为</w:t>
      </w:r>
      <w:r>
        <w:rPr>
          <w:rFonts w:hint="eastAsia" w:ascii="方正仿宋_GBK" w:hAnsi="方正仿宋_GBK" w:eastAsia="方正仿宋_GBK" w:cs="方正仿宋_GBK"/>
          <w:b w:val="0"/>
          <w:bCs/>
          <w:color w:val="auto"/>
          <w:sz w:val="32"/>
          <w:szCs w:val="32"/>
          <w:lang w:val="en-US" w:eastAsia="zh-CN"/>
        </w:rPr>
        <w:t>1107.71</w:t>
      </w:r>
      <w:r>
        <w:rPr>
          <w:rFonts w:hint="eastAsia" w:ascii="方正仿宋_GBK" w:hAnsi="方正仿宋_GBK" w:eastAsia="方正仿宋_GBK" w:cs="方正仿宋_GBK"/>
          <w:b w:val="0"/>
          <w:bCs/>
          <w:color w:val="auto"/>
          <w:sz w:val="32"/>
          <w:szCs w:val="32"/>
        </w:rPr>
        <w:t>万元，累计折旧</w:t>
      </w:r>
      <w:r>
        <w:rPr>
          <w:rFonts w:hint="eastAsia" w:ascii="方正仿宋_GBK" w:hAnsi="方正仿宋_GBK" w:eastAsia="方正仿宋_GBK" w:cs="方正仿宋_GBK"/>
          <w:b w:val="0"/>
          <w:bCs/>
          <w:color w:val="auto"/>
          <w:sz w:val="32"/>
          <w:szCs w:val="32"/>
          <w:lang w:val="en-US" w:eastAsia="zh-CN"/>
        </w:rPr>
        <w:t>572.02</w:t>
      </w:r>
      <w:r>
        <w:rPr>
          <w:rFonts w:hint="eastAsia" w:ascii="方正仿宋_GBK" w:hAnsi="方正仿宋_GBK" w:eastAsia="方正仿宋_GBK" w:cs="方正仿宋_GBK"/>
          <w:b w:val="0"/>
          <w:bCs/>
          <w:color w:val="auto"/>
          <w:sz w:val="32"/>
          <w:szCs w:val="32"/>
        </w:rPr>
        <w:t>万元，</w:t>
      </w:r>
      <w:r>
        <w:rPr>
          <w:rFonts w:hint="eastAsia" w:ascii="方正仿宋_GBK" w:hAnsi="方正仿宋_GBK" w:eastAsia="方正仿宋_GBK" w:cs="方正仿宋_GBK"/>
          <w:b w:val="0"/>
          <w:bCs/>
          <w:color w:val="auto"/>
          <w:sz w:val="32"/>
          <w:szCs w:val="32"/>
          <w:lang w:eastAsia="zh-CN"/>
        </w:rPr>
        <w:t>账面价值</w:t>
      </w:r>
      <w:r>
        <w:rPr>
          <w:rFonts w:hint="eastAsia" w:ascii="方正仿宋_GBK" w:hAnsi="方正仿宋_GBK" w:eastAsia="方正仿宋_GBK" w:cs="方正仿宋_GBK"/>
          <w:b w:val="0"/>
          <w:bCs/>
          <w:color w:val="auto"/>
          <w:sz w:val="32"/>
          <w:szCs w:val="32"/>
        </w:rPr>
        <w:t>为</w:t>
      </w:r>
      <w:r>
        <w:rPr>
          <w:rFonts w:hint="eastAsia" w:ascii="方正仿宋_GBK" w:hAnsi="方正仿宋_GBK" w:eastAsia="方正仿宋_GBK" w:cs="方正仿宋_GBK"/>
          <w:b w:val="0"/>
          <w:bCs/>
          <w:color w:val="auto"/>
          <w:sz w:val="32"/>
          <w:szCs w:val="32"/>
          <w:lang w:val="en-US" w:eastAsia="zh-CN"/>
        </w:rPr>
        <w:t>535.69</w:t>
      </w:r>
      <w:r>
        <w:rPr>
          <w:rFonts w:hint="eastAsia" w:ascii="方正仿宋_GBK" w:hAnsi="方正仿宋_GBK" w:eastAsia="方正仿宋_GBK" w:cs="方正仿宋_GBK"/>
          <w:b w:val="0"/>
          <w:bCs/>
          <w:color w:val="auto"/>
          <w:sz w:val="32"/>
          <w:szCs w:val="32"/>
        </w:rPr>
        <w:t>万元</w:t>
      </w:r>
      <w:r>
        <w:rPr>
          <w:rFonts w:hint="eastAsia" w:ascii="方正仿宋_GBK" w:hAnsi="方正仿宋_GBK" w:eastAsia="方正仿宋_GBK" w:cs="方正仿宋_GBK"/>
          <w:b w:val="0"/>
          <w:bCs/>
          <w:color w:val="auto"/>
          <w:sz w:val="32"/>
          <w:szCs w:val="32"/>
          <w:lang w:eastAsia="zh-CN"/>
        </w:rPr>
        <w:t>。</w:t>
      </w:r>
      <w:r>
        <w:rPr>
          <w:rFonts w:hint="eastAsia" w:ascii="方正仿宋_GBK" w:hAnsi="方正仿宋_GBK" w:eastAsia="方正仿宋_GBK" w:cs="方正仿宋_GBK"/>
          <w:b w:val="0"/>
          <w:bCs/>
          <w:color w:val="auto"/>
          <w:sz w:val="32"/>
          <w:szCs w:val="32"/>
        </w:rPr>
        <w:t>其中：土地、房屋及构筑物数量为</w:t>
      </w:r>
      <w:r>
        <w:rPr>
          <w:rFonts w:hint="eastAsia" w:ascii="方正仿宋_GBK" w:hAnsi="方正仿宋_GBK" w:eastAsia="方正仿宋_GBK" w:cs="方正仿宋_GBK"/>
          <w:b w:val="0"/>
          <w:bCs/>
          <w:color w:val="auto"/>
          <w:sz w:val="32"/>
          <w:szCs w:val="32"/>
          <w:lang w:val="en-US" w:eastAsia="zh-CN"/>
        </w:rPr>
        <w:t>8702.12平方米</w:t>
      </w:r>
      <w:r>
        <w:rPr>
          <w:rFonts w:hint="eastAsia" w:ascii="方正仿宋_GBK" w:hAnsi="方正仿宋_GBK" w:eastAsia="方正仿宋_GBK" w:cs="方正仿宋_GBK"/>
          <w:b w:val="0"/>
          <w:bCs/>
          <w:color w:val="auto"/>
          <w:sz w:val="32"/>
          <w:szCs w:val="32"/>
        </w:rPr>
        <w:t>，总额为</w:t>
      </w:r>
      <w:r>
        <w:rPr>
          <w:rFonts w:hint="eastAsia" w:ascii="方正仿宋_GBK" w:hAnsi="方正仿宋_GBK" w:eastAsia="方正仿宋_GBK" w:cs="方正仿宋_GBK"/>
          <w:b w:val="0"/>
          <w:bCs/>
          <w:color w:val="auto"/>
          <w:sz w:val="32"/>
          <w:szCs w:val="32"/>
          <w:lang w:val="en-US" w:eastAsia="zh-CN"/>
        </w:rPr>
        <w:t>681.79</w:t>
      </w:r>
      <w:r>
        <w:rPr>
          <w:rFonts w:hint="eastAsia" w:ascii="方正仿宋_GBK" w:hAnsi="方正仿宋_GBK" w:eastAsia="方正仿宋_GBK" w:cs="方正仿宋_GBK"/>
          <w:b w:val="0"/>
          <w:bCs/>
          <w:color w:val="auto"/>
          <w:sz w:val="32"/>
          <w:szCs w:val="32"/>
        </w:rPr>
        <w:t>万元</w:t>
      </w:r>
      <w:r>
        <w:rPr>
          <w:rFonts w:hint="eastAsia" w:ascii="方正仿宋_GBK" w:hAnsi="方正仿宋_GBK" w:eastAsia="方正仿宋_GBK" w:cs="方正仿宋_GBK"/>
          <w:b w:val="0"/>
          <w:bCs/>
          <w:color w:val="auto"/>
          <w:sz w:val="32"/>
          <w:szCs w:val="32"/>
          <w:lang w:eastAsia="zh-CN"/>
        </w:rPr>
        <w:t>，</w:t>
      </w:r>
      <w:r>
        <w:rPr>
          <w:rFonts w:hint="eastAsia" w:ascii="方正仿宋_GBK" w:hAnsi="方正仿宋_GBK" w:eastAsia="方正仿宋_GBK" w:cs="方正仿宋_GBK"/>
          <w:b w:val="0"/>
          <w:bCs/>
          <w:color w:val="auto"/>
          <w:sz w:val="32"/>
          <w:szCs w:val="32"/>
        </w:rPr>
        <w:t>累计折旧</w:t>
      </w:r>
      <w:r>
        <w:rPr>
          <w:rFonts w:hint="eastAsia" w:ascii="方正仿宋_GBK" w:hAnsi="方正仿宋_GBK" w:eastAsia="方正仿宋_GBK" w:cs="方正仿宋_GBK"/>
          <w:b w:val="0"/>
          <w:bCs/>
          <w:color w:val="auto"/>
          <w:sz w:val="32"/>
          <w:szCs w:val="32"/>
          <w:lang w:val="en-US" w:eastAsia="zh-CN"/>
        </w:rPr>
        <w:t>221.57</w:t>
      </w:r>
      <w:r>
        <w:rPr>
          <w:rFonts w:hint="eastAsia" w:ascii="方正仿宋_GBK" w:hAnsi="方正仿宋_GBK" w:eastAsia="方正仿宋_GBK" w:cs="方正仿宋_GBK"/>
          <w:b w:val="0"/>
          <w:bCs/>
          <w:color w:val="auto"/>
          <w:sz w:val="32"/>
          <w:szCs w:val="32"/>
        </w:rPr>
        <w:t>万元</w:t>
      </w:r>
      <w:r>
        <w:rPr>
          <w:rFonts w:hint="eastAsia" w:ascii="方正仿宋_GBK" w:hAnsi="方正仿宋_GBK" w:eastAsia="方正仿宋_GBK" w:cs="方正仿宋_GBK"/>
          <w:b w:val="0"/>
          <w:bCs/>
          <w:color w:val="auto"/>
          <w:sz w:val="32"/>
          <w:szCs w:val="32"/>
          <w:lang w:eastAsia="zh-CN"/>
        </w:rPr>
        <w:t>；</w:t>
      </w:r>
    </w:p>
    <w:p>
      <w:pPr>
        <w:pStyle w:val="5"/>
        <w:keepNext w:val="0"/>
        <w:keepLines w:val="0"/>
        <w:pageBreakBefore w:val="0"/>
        <w:widowControl w:val="0"/>
        <w:numPr>
          <w:ilvl w:val="2"/>
          <w:numId w:val="0"/>
        </w:numPr>
        <w:kinsoku/>
        <w:wordWrap/>
        <w:overflowPunct/>
        <w:topLinePunct w:val="0"/>
        <w:autoSpaceDE/>
        <w:autoSpaceDN/>
        <w:bidi w:val="0"/>
        <w:adjustRightInd/>
        <w:spacing w:before="0" w:after="0" w:line="560" w:lineRule="exact"/>
        <w:ind w:right="0" w:rightChars="0" w:firstLine="640" w:firstLineChars="200"/>
        <w:jc w:val="both"/>
        <w:textAlignment w:val="auto"/>
        <w:rPr>
          <w:rFonts w:hint="eastAsia" w:ascii="方正仿宋_GBK" w:hAnsi="方正仿宋_GBK" w:eastAsia="方正仿宋_GBK" w:cs="方正仿宋_GBK"/>
          <w:b w:val="0"/>
          <w:bCs/>
          <w:color w:val="auto"/>
          <w:sz w:val="32"/>
          <w:szCs w:val="32"/>
        </w:rPr>
      </w:pPr>
      <w:r>
        <w:rPr>
          <w:rFonts w:hint="eastAsia" w:ascii="方正仿宋_GBK" w:hAnsi="方正仿宋_GBK" w:eastAsia="方正仿宋_GBK" w:cs="方正仿宋_GBK"/>
          <w:b w:val="0"/>
          <w:bCs/>
          <w:color w:val="auto"/>
          <w:sz w:val="32"/>
          <w:szCs w:val="32"/>
        </w:rPr>
        <w:t>通用设备数量为24</w:t>
      </w:r>
      <w:r>
        <w:rPr>
          <w:rFonts w:hint="eastAsia" w:ascii="方正仿宋_GBK" w:hAnsi="方正仿宋_GBK" w:eastAsia="方正仿宋_GBK" w:cs="方正仿宋_GBK"/>
          <w:b w:val="0"/>
          <w:bCs/>
          <w:color w:val="auto"/>
          <w:sz w:val="32"/>
          <w:szCs w:val="32"/>
          <w:lang w:val="en-US" w:eastAsia="zh-CN"/>
        </w:rPr>
        <w:t>5</w:t>
      </w:r>
      <w:r>
        <w:rPr>
          <w:rFonts w:hint="eastAsia" w:ascii="方正仿宋_GBK" w:hAnsi="方正仿宋_GBK" w:eastAsia="方正仿宋_GBK" w:cs="方正仿宋_GBK"/>
          <w:b w:val="0"/>
          <w:bCs/>
          <w:color w:val="auto"/>
          <w:sz w:val="32"/>
          <w:szCs w:val="32"/>
        </w:rPr>
        <w:t xml:space="preserve">个，总额为 </w:t>
      </w:r>
      <w:r>
        <w:rPr>
          <w:rFonts w:hint="eastAsia" w:ascii="方正仿宋_GBK" w:hAnsi="方正仿宋_GBK" w:eastAsia="方正仿宋_GBK" w:cs="方正仿宋_GBK"/>
          <w:b w:val="0"/>
          <w:bCs/>
          <w:color w:val="auto"/>
          <w:sz w:val="32"/>
          <w:szCs w:val="32"/>
          <w:lang w:val="en-US" w:eastAsia="zh-CN"/>
        </w:rPr>
        <w:t>355.24</w:t>
      </w:r>
      <w:r>
        <w:rPr>
          <w:rFonts w:hint="eastAsia" w:ascii="方正仿宋_GBK" w:hAnsi="方正仿宋_GBK" w:eastAsia="方正仿宋_GBK" w:cs="方正仿宋_GBK"/>
          <w:b w:val="0"/>
          <w:bCs/>
          <w:color w:val="auto"/>
          <w:sz w:val="32"/>
          <w:szCs w:val="32"/>
        </w:rPr>
        <w:t>万元，累计折旧</w:t>
      </w:r>
      <w:r>
        <w:rPr>
          <w:rFonts w:hint="eastAsia" w:ascii="方正仿宋_GBK" w:hAnsi="方正仿宋_GBK" w:eastAsia="方正仿宋_GBK" w:cs="方正仿宋_GBK"/>
          <w:b w:val="0"/>
          <w:bCs/>
          <w:color w:val="auto"/>
          <w:sz w:val="32"/>
          <w:szCs w:val="32"/>
          <w:lang w:val="en-US" w:eastAsia="zh-CN"/>
        </w:rPr>
        <w:t>303.65</w:t>
      </w:r>
      <w:r>
        <w:rPr>
          <w:rFonts w:hint="eastAsia" w:ascii="方正仿宋_GBK" w:hAnsi="方正仿宋_GBK" w:eastAsia="方正仿宋_GBK" w:cs="方正仿宋_GBK"/>
          <w:b w:val="0"/>
          <w:bCs/>
          <w:color w:val="auto"/>
          <w:sz w:val="32"/>
          <w:szCs w:val="32"/>
        </w:rPr>
        <w:t>万元</w:t>
      </w:r>
      <w:r>
        <w:rPr>
          <w:rFonts w:hint="eastAsia" w:ascii="方正仿宋_GBK" w:hAnsi="方正仿宋_GBK" w:eastAsia="方正仿宋_GBK" w:cs="方正仿宋_GBK"/>
          <w:b w:val="0"/>
          <w:bCs/>
          <w:color w:val="auto"/>
          <w:sz w:val="32"/>
          <w:szCs w:val="32"/>
          <w:lang w:eastAsia="zh-CN"/>
        </w:rPr>
        <w:t>；</w:t>
      </w:r>
    </w:p>
    <w:p>
      <w:pPr>
        <w:pStyle w:val="5"/>
        <w:keepNext w:val="0"/>
        <w:keepLines w:val="0"/>
        <w:pageBreakBefore w:val="0"/>
        <w:widowControl w:val="0"/>
        <w:numPr>
          <w:ilvl w:val="2"/>
          <w:numId w:val="0"/>
        </w:numPr>
        <w:kinsoku/>
        <w:wordWrap/>
        <w:overflowPunct/>
        <w:topLinePunct w:val="0"/>
        <w:autoSpaceDE/>
        <w:autoSpaceDN/>
        <w:bidi w:val="0"/>
        <w:adjustRightInd/>
        <w:spacing w:before="0" w:after="0" w:line="560" w:lineRule="exact"/>
        <w:ind w:right="0" w:rightChars="0" w:firstLine="640" w:firstLineChars="200"/>
        <w:jc w:val="both"/>
        <w:textAlignment w:val="auto"/>
        <w:rPr>
          <w:rFonts w:hint="eastAsia" w:ascii="方正仿宋_GBK" w:hAnsi="方正仿宋_GBK" w:eastAsia="方正仿宋_GBK" w:cs="方正仿宋_GBK"/>
          <w:b w:val="0"/>
          <w:bCs/>
          <w:color w:val="auto"/>
          <w:sz w:val="32"/>
          <w:szCs w:val="32"/>
          <w:lang w:eastAsia="zh-CN"/>
        </w:rPr>
      </w:pPr>
      <w:r>
        <w:rPr>
          <w:rFonts w:hint="eastAsia" w:ascii="方正仿宋_GBK" w:hAnsi="方正仿宋_GBK" w:eastAsia="方正仿宋_GBK" w:cs="方正仿宋_GBK"/>
          <w:b w:val="0"/>
          <w:bCs/>
          <w:color w:val="auto"/>
          <w:sz w:val="32"/>
          <w:szCs w:val="32"/>
        </w:rPr>
        <w:t>专用设备数量为</w:t>
      </w:r>
      <w:r>
        <w:rPr>
          <w:rFonts w:hint="eastAsia" w:ascii="方正仿宋_GBK" w:hAnsi="方正仿宋_GBK" w:eastAsia="方正仿宋_GBK" w:cs="方正仿宋_GBK"/>
          <w:b w:val="0"/>
          <w:bCs/>
          <w:color w:val="auto"/>
          <w:sz w:val="32"/>
          <w:szCs w:val="32"/>
          <w:lang w:val="en-US" w:eastAsia="zh-CN"/>
        </w:rPr>
        <w:t>20</w:t>
      </w:r>
      <w:r>
        <w:rPr>
          <w:rFonts w:hint="eastAsia" w:ascii="方正仿宋_GBK" w:hAnsi="方正仿宋_GBK" w:eastAsia="方正仿宋_GBK" w:cs="方正仿宋_GBK"/>
          <w:b w:val="0"/>
          <w:bCs/>
          <w:color w:val="auto"/>
          <w:sz w:val="32"/>
          <w:szCs w:val="32"/>
        </w:rPr>
        <w:t xml:space="preserve">个，总额为 </w:t>
      </w:r>
      <w:r>
        <w:rPr>
          <w:rFonts w:hint="eastAsia" w:ascii="方正仿宋_GBK" w:hAnsi="方正仿宋_GBK" w:eastAsia="方正仿宋_GBK" w:cs="方正仿宋_GBK"/>
          <w:b w:val="0"/>
          <w:bCs/>
          <w:color w:val="auto"/>
          <w:sz w:val="32"/>
          <w:szCs w:val="32"/>
          <w:lang w:val="en-US" w:eastAsia="zh-CN"/>
        </w:rPr>
        <w:t>37.91</w:t>
      </w:r>
      <w:r>
        <w:rPr>
          <w:rFonts w:hint="eastAsia" w:ascii="方正仿宋_GBK" w:hAnsi="方正仿宋_GBK" w:eastAsia="方正仿宋_GBK" w:cs="方正仿宋_GBK"/>
          <w:b w:val="0"/>
          <w:bCs/>
          <w:color w:val="auto"/>
          <w:sz w:val="32"/>
          <w:szCs w:val="32"/>
        </w:rPr>
        <w:t>万元，累计折旧</w:t>
      </w:r>
      <w:r>
        <w:rPr>
          <w:rFonts w:hint="eastAsia" w:ascii="方正仿宋_GBK" w:hAnsi="方正仿宋_GBK" w:eastAsia="方正仿宋_GBK" w:cs="方正仿宋_GBK"/>
          <w:b w:val="0"/>
          <w:bCs/>
          <w:color w:val="auto"/>
          <w:sz w:val="32"/>
          <w:szCs w:val="32"/>
          <w:lang w:val="en-US" w:eastAsia="zh-CN"/>
        </w:rPr>
        <w:t>23.56</w:t>
      </w:r>
      <w:r>
        <w:rPr>
          <w:rFonts w:hint="eastAsia" w:ascii="方正仿宋_GBK" w:hAnsi="方正仿宋_GBK" w:eastAsia="方正仿宋_GBK" w:cs="方正仿宋_GBK"/>
          <w:b w:val="0"/>
          <w:bCs/>
          <w:color w:val="auto"/>
          <w:sz w:val="32"/>
          <w:szCs w:val="32"/>
        </w:rPr>
        <w:t>万元</w:t>
      </w:r>
      <w:r>
        <w:rPr>
          <w:rFonts w:hint="eastAsia" w:ascii="方正仿宋_GBK" w:hAnsi="方正仿宋_GBK" w:eastAsia="方正仿宋_GBK" w:cs="方正仿宋_GBK"/>
          <w:b w:val="0"/>
          <w:bCs/>
          <w:color w:val="auto"/>
          <w:sz w:val="32"/>
          <w:szCs w:val="32"/>
          <w:lang w:eastAsia="zh-CN"/>
        </w:rPr>
        <w:t>；</w:t>
      </w:r>
      <w:bookmarkStart w:id="41" w:name="_Toc14511"/>
      <w:bookmarkStart w:id="42" w:name="_Toc11842"/>
    </w:p>
    <w:p>
      <w:pPr>
        <w:pStyle w:val="17"/>
        <w:keepNext w:val="0"/>
        <w:keepLines w:val="0"/>
        <w:pageBreakBefore w:val="0"/>
        <w:kinsoku/>
        <w:overflowPunct/>
        <w:topLinePunct w:val="0"/>
        <w:autoSpaceDE/>
        <w:autoSpaceDN/>
        <w:bidi w:val="0"/>
        <w:snapToGrid w:val="0"/>
        <w:spacing w:line="570" w:lineRule="atLeast"/>
        <w:textAlignment w:val="auto"/>
        <w:rPr>
          <w:rFonts w:hint="eastAsia" w:ascii="方正仿宋_GBK" w:hAnsi="方正仿宋_GBK" w:eastAsia="方正仿宋_GBK" w:cs="方正仿宋_GBK"/>
          <w:b w:val="0"/>
          <w:bCs/>
          <w:color w:val="auto"/>
          <w:kern w:val="2"/>
          <w:sz w:val="32"/>
          <w:szCs w:val="32"/>
          <w:lang w:val="en-US" w:eastAsia="zh-CN" w:bidi="ar-SA"/>
        </w:rPr>
      </w:pPr>
      <w:r>
        <w:rPr>
          <w:rFonts w:hint="eastAsia" w:ascii="方正仿宋_GBK" w:hAnsi="方正仿宋_GBK" w:eastAsia="方正仿宋_GBK" w:cs="方正仿宋_GBK"/>
          <w:b w:val="0"/>
          <w:bCs/>
          <w:color w:val="auto"/>
          <w:kern w:val="2"/>
          <w:sz w:val="32"/>
          <w:szCs w:val="32"/>
          <w:lang w:val="en-US" w:eastAsia="zh-CN" w:bidi="ar-SA"/>
        </w:rPr>
        <w:t>家具、用具、装具数量为187个，总额为32.77万元，累计折旧23.24万元。</w:t>
      </w:r>
      <w:bookmarkEnd w:id="41"/>
      <w:bookmarkEnd w:id="42"/>
    </w:p>
    <w:p>
      <w:pPr>
        <w:pStyle w:val="17"/>
        <w:keepNext w:val="0"/>
        <w:keepLines w:val="0"/>
        <w:pageBreakBefore w:val="0"/>
        <w:kinsoku/>
        <w:overflowPunct/>
        <w:topLinePunct w:val="0"/>
        <w:autoSpaceDE/>
        <w:autoSpaceDN/>
        <w:bidi w:val="0"/>
        <w:snapToGrid w:val="0"/>
        <w:spacing w:line="570" w:lineRule="atLeast"/>
        <w:textAlignment w:val="auto"/>
        <w:rPr>
          <w:rFonts w:hint="eastAsia"/>
          <w:lang w:val="en-US" w:eastAsia="zh-CN"/>
        </w:rPr>
      </w:pPr>
      <w:r>
        <w:rPr>
          <w:rStyle w:val="13"/>
          <w:rFonts w:hint="eastAsia" w:ascii="方正仿宋_GBK" w:hAnsi="方正仿宋_GBK" w:eastAsia="方正仿宋_GBK" w:cs="方正仿宋_GBK"/>
          <w:b w:val="0"/>
          <w:color w:val="auto"/>
          <w:spacing w:val="6"/>
          <w:sz w:val="32"/>
          <w:szCs w:val="32"/>
          <w:highlight w:val="none"/>
          <w:lang w:val="en-US" w:eastAsia="zh-CN" w:bidi="ar"/>
        </w:rPr>
        <w:t>本年度固定资产账面净值535.69万元，年末实际在用固定资产535.69万元，固定资产利用率为100%。</w:t>
      </w:r>
    </w:p>
    <w:p>
      <w:pPr>
        <w:pStyle w:val="16"/>
        <w:ind w:firstLine="562"/>
        <w:jc w:val="both"/>
        <w:rPr>
          <w:rFonts w:hint="eastAsia" w:ascii="方正仿宋_GBK" w:hAnsi="方正仿宋_GBK" w:eastAsia="方正仿宋_GBK" w:cs="方正仿宋_GBK"/>
          <w:b/>
          <w:color w:val="auto"/>
          <w:sz w:val="32"/>
          <w:szCs w:val="32"/>
        </w:rPr>
      </w:pPr>
      <w:r>
        <w:rPr>
          <w:rFonts w:hint="eastAsia" w:ascii="方正仿宋_GBK" w:hAnsi="方正仿宋_GBK" w:eastAsia="方正仿宋_GBK" w:cs="方正仿宋_GBK"/>
          <w:b/>
          <w:color w:val="auto"/>
          <w:sz w:val="32"/>
          <w:szCs w:val="32"/>
          <w:lang w:val="en-US" w:eastAsia="zh-CN"/>
        </w:rPr>
        <w:t>5</w:t>
      </w:r>
      <w:r>
        <w:rPr>
          <w:rFonts w:hint="eastAsia" w:ascii="方正仿宋_GBK" w:hAnsi="方正仿宋_GBK" w:eastAsia="方正仿宋_GBK" w:cs="方正仿宋_GBK"/>
          <w:b/>
          <w:color w:val="auto"/>
          <w:sz w:val="32"/>
          <w:szCs w:val="32"/>
        </w:rPr>
        <w:t>. 部门预算安排及支出情况</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7" w:firstLineChars="200"/>
        <w:jc w:val="both"/>
        <w:textAlignment w:val="auto"/>
        <w:rPr>
          <w:rFonts w:hint="eastAsia" w:ascii="方正仿宋_GBK" w:hAnsi="方正仿宋_GBK" w:eastAsia="方正仿宋_GBK" w:cs="方正仿宋_GBK"/>
          <w:bCs/>
          <w:color w:val="333333"/>
          <w:spacing w:val="6"/>
          <w:sz w:val="32"/>
          <w:szCs w:val="32"/>
          <w:highlight w:val="none"/>
          <w:lang w:eastAsia="zh-CN" w:bidi="ar"/>
        </w:rPr>
      </w:pPr>
      <w:r>
        <w:rPr>
          <w:rStyle w:val="13"/>
          <w:rFonts w:hint="eastAsia" w:ascii="方正仿宋_GBK" w:hAnsi="方正仿宋_GBK" w:eastAsia="方正仿宋_GBK" w:cs="方正仿宋_GBK"/>
          <w:b/>
          <w:bCs w:val="0"/>
          <w:color w:val="auto"/>
          <w:spacing w:val="6"/>
          <w:sz w:val="32"/>
          <w:szCs w:val="32"/>
          <w:highlight w:val="none"/>
          <w:lang w:val="en-US" w:eastAsia="zh-CN" w:bidi="ar"/>
        </w:rPr>
        <w:t>部门预算安排：</w:t>
      </w:r>
      <w:r>
        <w:rPr>
          <w:rStyle w:val="13"/>
          <w:rFonts w:hint="eastAsia" w:ascii="方正仿宋_GBK" w:hAnsi="方正仿宋_GBK" w:eastAsia="方正仿宋_GBK" w:cs="方正仿宋_GBK"/>
          <w:b w:val="0"/>
          <w:color w:val="auto"/>
          <w:spacing w:val="6"/>
          <w:sz w:val="32"/>
          <w:szCs w:val="32"/>
          <w:highlight w:val="none"/>
          <w:lang w:val="en-US" w:eastAsia="zh-CN" w:bidi="ar"/>
        </w:rPr>
        <w:t>市监局2</w:t>
      </w:r>
      <w:r>
        <w:rPr>
          <w:rFonts w:hint="eastAsia" w:ascii="方正仿宋_GBK" w:hAnsi="方正仿宋_GBK" w:eastAsia="方正仿宋_GBK" w:cs="方正仿宋_GBK"/>
          <w:bCs/>
          <w:color w:val="333333"/>
          <w:spacing w:val="6"/>
          <w:sz w:val="32"/>
          <w:szCs w:val="32"/>
          <w:highlight w:val="none"/>
          <w:lang w:val="en-US" w:eastAsia="zh-CN" w:bidi="ar"/>
        </w:rPr>
        <w:t>022年年初批复部门预算729.44万元，其中，人员经费700.51万元，公用经费28.93万元</w:t>
      </w:r>
      <w:r>
        <w:rPr>
          <w:rFonts w:hint="eastAsia" w:ascii="方正仿宋_GBK" w:hAnsi="方正仿宋_GBK" w:eastAsia="方正仿宋_GBK" w:cs="方正仿宋_GBK"/>
          <w:bCs/>
          <w:color w:val="333333"/>
          <w:spacing w:val="6"/>
          <w:sz w:val="32"/>
          <w:szCs w:val="32"/>
          <w:highlight w:val="none"/>
          <w:lang w:eastAsia="zh-CN" w:bidi="ar"/>
        </w:rPr>
        <w:t>。</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7" w:firstLineChars="200"/>
        <w:jc w:val="both"/>
        <w:textAlignment w:val="auto"/>
        <w:rPr>
          <w:rFonts w:hint="eastAsia" w:ascii="方正仿宋_GBK" w:hAnsi="方正仿宋_GBK" w:eastAsia="方正仿宋_GBK" w:cs="方正仿宋_GBK"/>
          <w:bCs/>
          <w:color w:val="333333"/>
          <w:spacing w:val="6"/>
          <w:sz w:val="32"/>
          <w:szCs w:val="32"/>
          <w:highlight w:val="none"/>
          <w:lang w:val="en-US" w:eastAsia="zh-CN" w:bidi="ar"/>
        </w:rPr>
      </w:pPr>
      <w:r>
        <w:rPr>
          <w:rStyle w:val="13"/>
          <w:rFonts w:hint="eastAsia" w:ascii="方正仿宋_GBK" w:hAnsi="方正仿宋_GBK" w:eastAsia="方正仿宋_GBK" w:cs="方正仿宋_GBK"/>
          <w:b/>
          <w:bCs w:val="0"/>
          <w:color w:val="auto"/>
          <w:spacing w:val="6"/>
          <w:sz w:val="32"/>
          <w:szCs w:val="32"/>
          <w:highlight w:val="none"/>
          <w:lang w:val="en-US" w:eastAsia="zh-CN" w:bidi="ar"/>
        </w:rPr>
        <w:t>预算调整：</w:t>
      </w:r>
      <w:r>
        <w:rPr>
          <w:rFonts w:hint="eastAsia" w:ascii="方正仿宋_GBK" w:hAnsi="方正仿宋_GBK" w:eastAsia="方正仿宋_GBK" w:cs="方正仿宋_GBK"/>
          <w:bCs/>
          <w:color w:val="333333"/>
          <w:spacing w:val="6"/>
          <w:sz w:val="32"/>
          <w:szCs w:val="32"/>
          <w:highlight w:val="none"/>
          <w:lang w:eastAsia="zh-CN" w:bidi="ar"/>
        </w:rPr>
        <w:t>全年预算安排952.43</w:t>
      </w:r>
      <w:r>
        <w:rPr>
          <w:rFonts w:hint="eastAsia" w:ascii="方正仿宋_GBK" w:hAnsi="方正仿宋_GBK" w:eastAsia="方正仿宋_GBK" w:cs="方正仿宋_GBK"/>
          <w:bCs/>
          <w:color w:val="333333"/>
          <w:spacing w:val="6"/>
          <w:sz w:val="32"/>
          <w:szCs w:val="32"/>
          <w:highlight w:val="none"/>
          <w:lang w:val="en-US" w:eastAsia="zh-CN" w:bidi="ar"/>
        </w:rPr>
        <w:t>万元，较年初批复部门预算729.44万元调增222.99万元，预算调整率</w:t>
      </w:r>
      <w:r>
        <w:rPr>
          <w:rFonts w:hint="eastAsia" w:ascii="方正仿宋_GBK" w:hAnsi="方正仿宋_GBK" w:eastAsia="方正仿宋_GBK" w:cs="方正仿宋_GBK"/>
          <w:bCs/>
          <w:color w:val="333333"/>
          <w:spacing w:val="6"/>
          <w:sz w:val="32"/>
          <w:szCs w:val="32"/>
          <w:highlight w:val="none"/>
          <w:lang w:eastAsia="zh-CN" w:bidi="ar"/>
        </w:rPr>
        <w:t>30.57</w:t>
      </w:r>
      <w:r>
        <w:rPr>
          <w:rFonts w:hint="eastAsia" w:ascii="方正仿宋_GBK" w:hAnsi="方正仿宋_GBK" w:eastAsia="方正仿宋_GBK" w:cs="方正仿宋_GBK"/>
          <w:bCs/>
          <w:color w:val="333333"/>
          <w:spacing w:val="6"/>
          <w:sz w:val="32"/>
          <w:szCs w:val="32"/>
          <w:highlight w:val="none"/>
          <w:lang w:val="en-US" w:eastAsia="zh-CN" w:bidi="ar"/>
        </w:rPr>
        <w:t>%，其中，人员经费</w:t>
      </w:r>
      <w:r>
        <w:rPr>
          <w:rFonts w:hint="eastAsia" w:ascii="方正仿宋_GBK" w:hAnsi="方正仿宋_GBK" w:eastAsia="方正仿宋_GBK" w:cs="方正仿宋_GBK"/>
          <w:bCs/>
          <w:color w:val="333333"/>
          <w:spacing w:val="6"/>
          <w:sz w:val="32"/>
          <w:szCs w:val="32"/>
          <w:highlight w:val="none"/>
          <w:lang w:eastAsia="zh-CN" w:bidi="ar"/>
        </w:rPr>
        <w:t>预算</w:t>
      </w:r>
      <w:r>
        <w:rPr>
          <w:rFonts w:hint="eastAsia" w:ascii="方正仿宋_GBK" w:hAnsi="方正仿宋_GBK" w:eastAsia="方正仿宋_GBK" w:cs="方正仿宋_GBK"/>
          <w:bCs/>
          <w:color w:val="333333"/>
          <w:spacing w:val="6"/>
          <w:sz w:val="32"/>
          <w:szCs w:val="32"/>
          <w:highlight w:val="none"/>
          <w:lang w:val="en-US" w:eastAsia="zh-CN" w:bidi="ar"/>
        </w:rPr>
        <w:t>804.4万元，公用经费</w:t>
      </w:r>
      <w:r>
        <w:rPr>
          <w:rFonts w:hint="eastAsia" w:ascii="方正仿宋_GBK" w:hAnsi="方正仿宋_GBK" w:eastAsia="方正仿宋_GBK" w:cs="方正仿宋_GBK"/>
          <w:bCs/>
          <w:color w:val="333333"/>
          <w:spacing w:val="6"/>
          <w:sz w:val="32"/>
          <w:szCs w:val="32"/>
          <w:highlight w:val="none"/>
          <w:lang w:eastAsia="zh-CN" w:bidi="ar"/>
        </w:rPr>
        <w:t>预算</w:t>
      </w:r>
      <w:r>
        <w:rPr>
          <w:rFonts w:hint="eastAsia" w:ascii="方正仿宋_GBK" w:hAnsi="方正仿宋_GBK" w:eastAsia="方正仿宋_GBK" w:cs="方正仿宋_GBK"/>
          <w:bCs/>
          <w:color w:val="333333"/>
          <w:spacing w:val="6"/>
          <w:sz w:val="32"/>
          <w:szCs w:val="32"/>
          <w:highlight w:val="none"/>
          <w:lang w:val="en-US" w:eastAsia="zh-CN" w:bidi="ar"/>
        </w:rPr>
        <w:t>28.93万元，项目</w:t>
      </w:r>
      <w:r>
        <w:rPr>
          <w:rFonts w:hint="eastAsia" w:ascii="方正仿宋_GBK" w:hAnsi="方正仿宋_GBK" w:eastAsia="方正仿宋_GBK" w:cs="方正仿宋_GBK"/>
          <w:bCs/>
          <w:color w:val="333333"/>
          <w:spacing w:val="6"/>
          <w:sz w:val="32"/>
          <w:szCs w:val="32"/>
          <w:highlight w:val="none"/>
          <w:lang w:eastAsia="zh-CN" w:bidi="ar"/>
        </w:rPr>
        <w:t>预算</w:t>
      </w:r>
      <w:r>
        <w:rPr>
          <w:rFonts w:hint="eastAsia" w:ascii="方正仿宋_GBK" w:hAnsi="方正仿宋_GBK" w:eastAsia="方正仿宋_GBK" w:cs="方正仿宋_GBK"/>
          <w:bCs/>
          <w:color w:val="333333"/>
          <w:spacing w:val="6"/>
          <w:sz w:val="32"/>
          <w:szCs w:val="32"/>
          <w:highlight w:val="none"/>
          <w:lang w:val="en-US" w:eastAsia="zh-CN" w:bidi="ar"/>
        </w:rPr>
        <w:t>119.1万元</w:t>
      </w:r>
      <w:r>
        <w:rPr>
          <w:rFonts w:hint="eastAsia" w:ascii="方正仿宋_GBK" w:hAnsi="方正仿宋_GBK" w:eastAsia="方正仿宋_GBK" w:cs="方正仿宋_GBK"/>
          <w:bCs/>
          <w:color w:val="333333"/>
          <w:spacing w:val="6"/>
          <w:sz w:val="32"/>
          <w:szCs w:val="32"/>
          <w:highlight w:val="none"/>
          <w:lang w:eastAsia="zh-CN" w:bidi="ar"/>
        </w:rPr>
        <w:t>。</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7" w:firstLineChars="200"/>
        <w:jc w:val="both"/>
        <w:textAlignment w:val="auto"/>
        <w:rPr>
          <w:rFonts w:hint="eastAsia" w:ascii="方正仿宋_GBK" w:hAnsi="方正仿宋_GBK" w:eastAsia="方正仿宋_GBK" w:cs="方正仿宋_GBK"/>
          <w:color w:val="auto"/>
          <w:sz w:val="32"/>
          <w:szCs w:val="32"/>
        </w:rPr>
      </w:pPr>
      <w:r>
        <w:rPr>
          <w:rStyle w:val="13"/>
          <w:rFonts w:hint="eastAsia" w:ascii="方正仿宋_GBK" w:hAnsi="方正仿宋_GBK" w:eastAsia="方正仿宋_GBK" w:cs="方正仿宋_GBK"/>
          <w:b/>
          <w:bCs w:val="0"/>
          <w:color w:val="auto"/>
          <w:spacing w:val="6"/>
          <w:sz w:val="32"/>
          <w:szCs w:val="32"/>
          <w:highlight w:val="none"/>
          <w:lang w:val="en-US" w:eastAsia="zh-CN" w:bidi="ar"/>
        </w:rPr>
        <w:t>支出情况：</w:t>
      </w:r>
      <w:r>
        <w:rPr>
          <w:rFonts w:hint="eastAsia" w:ascii="方正仿宋_GBK" w:hAnsi="方正仿宋_GBK" w:eastAsia="方正仿宋_GBK" w:cs="方正仿宋_GBK"/>
          <w:bCs/>
          <w:color w:val="333333"/>
          <w:spacing w:val="6"/>
          <w:sz w:val="32"/>
          <w:szCs w:val="32"/>
          <w:highlight w:val="none"/>
          <w:lang w:eastAsia="zh-CN" w:bidi="ar"/>
        </w:rPr>
        <w:t>全年支出952.43</w:t>
      </w:r>
      <w:r>
        <w:rPr>
          <w:rFonts w:hint="eastAsia" w:ascii="方正仿宋_GBK" w:hAnsi="方正仿宋_GBK" w:eastAsia="方正仿宋_GBK" w:cs="方正仿宋_GBK"/>
          <w:bCs/>
          <w:color w:val="333333"/>
          <w:spacing w:val="6"/>
          <w:sz w:val="32"/>
          <w:szCs w:val="32"/>
          <w:highlight w:val="none"/>
          <w:lang w:val="en-US" w:eastAsia="zh-CN" w:bidi="ar"/>
        </w:rPr>
        <w:t>万元，其中，人员经费支出804.4万元，公用经费支出28.93万元，项目支出119.1万元</w:t>
      </w:r>
      <w:r>
        <w:rPr>
          <w:rFonts w:hint="eastAsia" w:ascii="方正仿宋_GBK" w:hAnsi="方正仿宋_GBK" w:eastAsia="方正仿宋_GBK" w:cs="方正仿宋_GBK"/>
          <w:bCs/>
          <w:color w:val="333333"/>
          <w:spacing w:val="6"/>
          <w:sz w:val="32"/>
          <w:szCs w:val="32"/>
          <w:highlight w:val="none"/>
          <w:lang w:eastAsia="zh-CN" w:bidi="ar"/>
        </w:rPr>
        <w:t>。</w:t>
      </w:r>
    </w:p>
    <w:p>
      <w:pPr>
        <w:pStyle w:val="18"/>
        <w:spacing w:line="500" w:lineRule="exact"/>
        <w:ind w:firstLine="562"/>
        <w:jc w:val="both"/>
        <w:rPr>
          <w:rFonts w:hint="eastAsia" w:ascii="方正仿宋_GBK" w:hAnsi="方正仿宋_GBK" w:eastAsia="方正仿宋_GBK" w:cs="方正仿宋_GBK"/>
          <w:b/>
          <w:bCs/>
          <w:color w:val="auto"/>
          <w:sz w:val="32"/>
          <w:szCs w:val="32"/>
          <w:highlight w:val="none"/>
        </w:rPr>
      </w:pPr>
      <w:r>
        <w:rPr>
          <w:rFonts w:hint="eastAsia" w:ascii="方正仿宋_GBK" w:hAnsi="方正仿宋_GBK" w:eastAsia="方正仿宋_GBK" w:cs="方正仿宋_GBK"/>
          <w:b/>
          <w:bCs/>
          <w:color w:val="auto"/>
          <w:sz w:val="32"/>
          <w:szCs w:val="32"/>
          <w:highlight w:val="none"/>
        </w:rPr>
        <w:t>（1）基本支出情况</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4" w:firstLineChars="200"/>
        <w:jc w:val="both"/>
        <w:textAlignment w:val="auto"/>
        <w:rPr>
          <w:rFonts w:hint="eastAsia" w:ascii="方正仿宋_GBK" w:hAnsi="方正仿宋_GBK" w:eastAsia="方正仿宋_GBK" w:cs="方正仿宋_GBK"/>
          <w:bCs/>
          <w:color w:val="auto"/>
          <w:spacing w:val="6"/>
          <w:sz w:val="32"/>
          <w:szCs w:val="32"/>
          <w:highlight w:val="none"/>
          <w:lang w:val="en-US" w:eastAsia="zh-CN"/>
        </w:rPr>
      </w:pPr>
      <w:r>
        <w:rPr>
          <w:rFonts w:hint="eastAsia" w:ascii="方正仿宋_GBK" w:hAnsi="方正仿宋_GBK" w:eastAsia="方正仿宋_GBK" w:cs="方正仿宋_GBK"/>
          <w:bCs/>
          <w:color w:val="auto"/>
          <w:spacing w:val="6"/>
          <w:sz w:val="32"/>
          <w:szCs w:val="32"/>
          <w:highlight w:val="none"/>
          <w:lang w:val="en-US" w:eastAsia="zh-CN"/>
        </w:rPr>
        <w:t>2022年</w:t>
      </w:r>
      <w:r>
        <w:rPr>
          <w:rStyle w:val="13"/>
          <w:rFonts w:hint="eastAsia" w:ascii="方正仿宋_GBK" w:hAnsi="方正仿宋_GBK" w:eastAsia="方正仿宋_GBK" w:cs="方正仿宋_GBK"/>
          <w:b w:val="0"/>
          <w:color w:val="auto"/>
          <w:kern w:val="2"/>
          <w:sz w:val="32"/>
          <w:szCs w:val="32"/>
          <w:lang w:val="en-US" w:eastAsia="zh-CN"/>
        </w:rPr>
        <w:t>基本支出全年预算总额为833.33</w:t>
      </w:r>
      <w:r>
        <w:rPr>
          <w:rStyle w:val="13"/>
          <w:rFonts w:hint="eastAsia" w:ascii="方正仿宋_GBK" w:hAnsi="方正仿宋_GBK" w:eastAsia="方正仿宋_GBK" w:cs="方正仿宋_GBK"/>
          <w:b w:val="0"/>
          <w:color w:val="auto"/>
          <w:spacing w:val="6"/>
          <w:kern w:val="2"/>
          <w:sz w:val="32"/>
          <w:szCs w:val="32"/>
          <w:lang w:val="en-US" w:eastAsia="zh-CN"/>
        </w:rPr>
        <w:t>万</w:t>
      </w:r>
      <w:r>
        <w:rPr>
          <w:rStyle w:val="13"/>
          <w:rFonts w:hint="eastAsia" w:ascii="方正仿宋_GBK" w:hAnsi="方正仿宋_GBK" w:eastAsia="方正仿宋_GBK" w:cs="方正仿宋_GBK"/>
          <w:b w:val="0"/>
          <w:color w:val="auto"/>
          <w:kern w:val="2"/>
          <w:sz w:val="32"/>
          <w:szCs w:val="32"/>
          <w:lang w:val="en-US" w:eastAsia="zh-CN"/>
        </w:rPr>
        <w:t>元，其中：人员经费</w:t>
      </w:r>
      <w:r>
        <w:rPr>
          <w:rStyle w:val="13"/>
          <w:rFonts w:hint="eastAsia" w:ascii="方正仿宋_GBK" w:hAnsi="方正仿宋_GBK" w:eastAsia="方正仿宋_GBK" w:cs="方正仿宋_GBK"/>
          <w:b w:val="0"/>
          <w:color w:val="auto"/>
          <w:spacing w:val="6"/>
          <w:kern w:val="2"/>
          <w:sz w:val="32"/>
          <w:szCs w:val="32"/>
          <w:lang w:val="en-US" w:eastAsia="zh-CN"/>
        </w:rPr>
        <w:t>804.41</w:t>
      </w:r>
      <w:r>
        <w:rPr>
          <w:rStyle w:val="13"/>
          <w:rFonts w:hint="eastAsia" w:ascii="方正仿宋_GBK" w:hAnsi="方正仿宋_GBK" w:eastAsia="方正仿宋_GBK" w:cs="方正仿宋_GBK"/>
          <w:b w:val="0"/>
          <w:color w:val="auto"/>
          <w:kern w:val="2"/>
          <w:sz w:val="32"/>
          <w:szCs w:val="32"/>
          <w:lang w:val="en-US" w:eastAsia="zh-CN"/>
        </w:rPr>
        <w:t>万元（其中包括抚恤金51.59万元），公用经费28.93万元，实际支出总额为833.33万元，预算总执行率为100%，</w:t>
      </w:r>
      <w:r>
        <w:rPr>
          <w:rFonts w:hint="eastAsia" w:ascii="方正仿宋_GBK" w:hAnsi="方正仿宋_GBK" w:eastAsia="方正仿宋_GBK" w:cs="方正仿宋_GBK"/>
          <w:bCs/>
          <w:color w:val="auto"/>
          <w:spacing w:val="6"/>
          <w:sz w:val="32"/>
          <w:szCs w:val="32"/>
          <w:highlight w:val="none"/>
          <w:lang w:eastAsia="zh-CN"/>
        </w:rPr>
        <w:t>本年度基本支出增加原因：</w:t>
      </w:r>
      <w:r>
        <w:rPr>
          <w:rFonts w:hint="eastAsia" w:ascii="方正仿宋_GBK" w:hAnsi="方正仿宋_GBK" w:eastAsia="方正仿宋_GBK" w:cs="方正仿宋_GBK"/>
          <w:bCs/>
          <w:color w:val="auto"/>
          <w:spacing w:val="6"/>
          <w:sz w:val="32"/>
          <w:szCs w:val="32"/>
          <w:highlight w:val="none"/>
          <w:lang w:val="en-US" w:eastAsia="zh-CN"/>
        </w:rPr>
        <w:t>职工增加基础绩效奖以及基本工资调标并补发，导致工资福利支出增加。</w:t>
      </w:r>
    </w:p>
    <w:p>
      <w:pPr>
        <w:pStyle w:val="19"/>
        <w:spacing w:before="0" w:after="0" w:line="500" w:lineRule="exact"/>
        <w:ind w:firstLine="482" w:firstLineChars="200"/>
        <w:jc w:val="both"/>
        <w:rPr>
          <w:color w:val="auto"/>
          <w:szCs w:val="24"/>
        </w:rPr>
      </w:pPr>
      <w:r>
        <w:rPr>
          <w:color w:val="auto"/>
          <w:szCs w:val="24"/>
        </w:rPr>
        <w:t>表1-</w:t>
      </w:r>
      <w:r>
        <w:rPr>
          <w:rFonts w:hint="eastAsia"/>
          <w:color w:val="auto"/>
          <w:szCs w:val="24"/>
          <w:lang w:val="en-US" w:eastAsia="zh-CN"/>
        </w:rPr>
        <w:t>1</w:t>
      </w:r>
      <w:r>
        <w:rPr>
          <w:color w:val="auto"/>
          <w:szCs w:val="24"/>
        </w:rPr>
        <w:t xml:space="preserve"> 20</w:t>
      </w:r>
      <w:r>
        <w:rPr>
          <w:rFonts w:hint="eastAsia"/>
          <w:color w:val="auto"/>
          <w:szCs w:val="24"/>
          <w:lang w:val="en-US" w:eastAsia="zh-CN"/>
        </w:rPr>
        <w:t>22</w:t>
      </w:r>
      <w:r>
        <w:rPr>
          <w:color w:val="auto"/>
          <w:szCs w:val="24"/>
        </w:rPr>
        <w:t>年</w:t>
      </w:r>
      <w:r>
        <w:rPr>
          <w:rFonts w:hint="eastAsia"/>
          <w:color w:val="auto"/>
          <w:szCs w:val="24"/>
          <w:lang w:val="en-US" w:eastAsia="zh-CN"/>
        </w:rPr>
        <w:t>伽师县市场监督管理局</w:t>
      </w:r>
      <w:r>
        <w:rPr>
          <w:color w:val="auto"/>
          <w:szCs w:val="24"/>
        </w:rPr>
        <w:t>基本支出预算执行情况</w:t>
      </w:r>
    </w:p>
    <w:p>
      <w:pPr>
        <w:pStyle w:val="19"/>
        <w:spacing w:before="0" w:after="0" w:line="500" w:lineRule="exact"/>
        <w:ind w:firstLine="6987" w:firstLineChars="2900"/>
        <w:jc w:val="both"/>
        <w:rPr>
          <w:color w:val="auto"/>
          <w:szCs w:val="24"/>
        </w:rPr>
      </w:pPr>
      <w:r>
        <w:rPr>
          <w:color w:val="auto"/>
          <w:szCs w:val="24"/>
        </w:rPr>
        <w:t>单位：元</w:t>
      </w:r>
    </w:p>
    <w:tbl>
      <w:tblPr>
        <w:tblStyle w:val="11"/>
        <w:tblW w:w="50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2"/>
        <w:gridCol w:w="3902"/>
        <w:gridCol w:w="3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824" w:type="pct"/>
            <w:shd w:val="clear" w:color="auto" w:fill="auto"/>
            <w:vAlign w:val="center"/>
          </w:tcPr>
          <w:p>
            <w:pPr>
              <w:widowControl/>
              <w:jc w:val="both"/>
              <w:rPr>
                <w:rFonts w:ascii="Times New Roman" w:hAnsi="Times New Roman" w:eastAsia="仿宋_GB2312" w:cs="Times New Roman"/>
                <w:b/>
                <w:bCs/>
                <w:color w:val="auto"/>
                <w:kern w:val="0"/>
                <w:sz w:val="22"/>
                <w:szCs w:val="22"/>
              </w:rPr>
            </w:pPr>
            <w:r>
              <w:rPr>
                <w:rFonts w:ascii="Times New Roman" w:hAnsi="Times New Roman" w:eastAsia="仿宋_GB2312" w:cs="Times New Roman"/>
                <w:b/>
                <w:bCs/>
                <w:color w:val="auto"/>
                <w:kern w:val="0"/>
                <w:sz w:val="22"/>
                <w:szCs w:val="22"/>
              </w:rPr>
              <w:t>项目名称</w:t>
            </w:r>
          </w:p>
        </w:tc>
        <w:tc>
          <w:tcPr>
            <w:tcW w:w="2261" w:type="pct"/>
            <w:shd w:val="clear" w:color="auto" w:fill="auto"/>
            <w:vAlign w:val="center"/>
          </w:tcPr>
          <w:p>
            <w:pPr>
              <w:widowControl/>
              <w:jc w:val="both"/>
              <w:rPr>
                <w:rFonts w:ascii="Times New Roman" w:hAnsi="Times New Roman" w:eastAsia="仿宋_GB2312" w:cs="Times New Roman"/>
                <w:b/>
                <w:bCs/>
                <w:color w:val="auto"/>
                <w:kern w:val="0"/>
                <w:sz w:val="22"/>
                <w:szCs w:val="22"/>
              </w:rPr>
            </w:pPr>
            <w:r>
              <w:rPr>
                <w:rFonts w:ascii="Times New Roman" w:hAnsi="Times New Roman" w:eastAsia="仿宋_GB2312" w:cs="Times New Roman"/>
                <w:b/>
                <w:bCs/>
                <w:color w:val="auto"/>
                <w:kern w:val="0"/>
                <w:sz w:val="22"/>
                <w:szCs w:val="22"/>
              </w:rPr>
              <w:t>明细项目</w:t>
            </w:r>
          </w:p>
        </w:tc>
        <w:tc>
          <w:tcPr>
            <w:tcW w:w="1914" w:type="pct"/>
            <w:shd w:val="clear" w:color="auto" w:fill="auto"/>
            <w:vAlign w:val="center"/>
          </w:tcPr>
          <w:p>
            <w:pPr>
              <w:widowControl/>
              <w:jc w:val="both"/>
              <w:rPr>
                <w:rFonts w:ascii="Times New Roman" w:hAnsi="Times New Roman" w:eastAsia="仿宋_GB2312" w:cs="Times New Roman"/>
                <w:b/>
                <w:bCs/>
                <w:color w:val="auto"/>
                <w:kern w:val="0"/>
                <w:sz w:val="22"/>
                <w:szCs w:val="22"/>
              </w:rPr>
            </w:pPr>
            <w:r>
              <w:rPr>
                <w:rFonts w:hint="eastAsia" w:ascii="Times New Roman" w:hAnsi="Times New Roman" w:eastAsia="仿宋_GB2312" w:cs="Times New Roman"/>
                <w:b/>
                <w:bCs/>
                <w:color w:val="auto"/>
                <w:kern w:val="0"/>
                <w:sz w:val="22"/>
                <w:szCs w:val="22"/>
                <w:lang w:val="en-US" w:eastAsia="zh-CN"/>
              </w:rPr>
              <w:t>资金</w:t>
            </w:r>
            <w:r>
              <w:rPr>
                <w:rFonts w:ascii="Times New Roman" w:hAnsi="Times New Roman" w:eastAsia="仿宋_GB2312" w:cs="Times New Roman"/>
                <w:b/>
                <w:bCs/>
                <w:color w:val="auto"/>
                <w:kern w:val="0"/>
                <w:sz w:val="22"/>
                <w:szCs w:val="22"/>
              </w:rPr>
              <w:t>实际使用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085" w:type="pct"/>
            <w:gridSpan w:val="2"/>
            <w:shd w:val="clear" w:color="auto" w:fill="auto"/>
            <w:vAlign w:val="center"/>
          </w:tcPr>
          <w:p>
            <w:pPr>
              <w:widowControl/>
              <w:jc w:val="both"/>
              <w:rPr>
                <w:rFonts w:ascii="Times New Roman" w:hAnsi="Times New Roman" w:eastAsia="仿宋_GB2312" w:cs="Times New Roman"/>
                <w:b/>
                <w:bCs/>
                <w:color w:val="auto"/>
                <w:kern w:val="0"/>
                <w:sz w:val="22"/>
                <w:szCs w:val="22"/>
              </w:rPr>
            </w:pPr>
            <w:r>
              <w:rPr>
                <w:rFonts w:ascii="Times New Roman" w:hAnsi="Times New Roman" w:eastAsia="仿宋_GB2312" w:cs="Times New Roman"/>
                <w:b/>
                <w:bCs/>
                <w:color w:val="auto"/>
                <w:kern w:val="0"/>
                <w:sz w:val="22"/>
                <w:szCs w:val="22"/>
              </w:rPr>
              <w:t>合计</w:t>
            </w:r>
          </w:p>
        </w:tc>
        <w:tc>
          <w:tcPr>
            <w:tcW w:w="1914" w:type="pct"/>
            <w:shd w:val="clear" w:color="auto" w:fill="auto"/>
            <w:vAlign w:val="center"/>
          </w:tcPr>
          <w:p>
            <w:pPr>
              <w:widowControl/>
              <w:jc w:val="both"/>
              <w:rPr>
                <w:rFonts w:ascii="Times New Roman" w:hAnsi="Times New Roman" w:eastAsia="仿宋_GB2312" w:cs="Times New Roman"/>
                <w:b/>
                <w:bCs/>
                <w:color w:val="auto"/>
                <w:kern w:val="0"/>
                <w:sz w:val="22"/>
                <w:szCs w:val="22"/>
              </w:rPr>
            </w:pPr>
            <w:r>
              <w:rPr>
                <w:rFonts w:hint="eastAsia" w:ascii="Times New Roman" w:hAnsi="Times New Roman" w:eastAsia="仿宋_GB2312" w:cs="Times New Roman"/>
                <w:b/>
                <w:bCs/>
                <w:color w:val="auto"/>
                <w:kern w:val="0"/>
                <w:sz w:val="22"/>
                <w:szCs w:val="22"/>
              </w:rPr>
              <w:t>8333342.18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085" w:type="pct"/>
            <w:gridSpan w:val="2"/>
            <w:shd w:val="clear" w:color="auto" w:fill="auto"/>
            <w:vAlign w:val="center"/>
          </w:tcPr>
          <w:p>
            <w:pPr>
              <w:widowControl/>
              <w:jc w:val="both"/>
              <w:rPr>
                <w:rFonts w:ascii="Times New Roman" w:hAnsi="Times New Roman" w:eastAsia="仿宋_GB2312" w:cs="Times New Roman"/>
                <w:b/>
                <w:bCs/>
                <w:color w:val="auto"/>
                <w:kern w:val="0"/>
                <w:sz w:val="22"/>
                <w:szCs w:val="22"/>
              </w:rPr>
            </w:pPr>
            <w:r>
              <w:rPr>
                <w:rFonts w:ascii="Times New Roman" w:hAnsi="Times New Roman" w:eastAsia="仿宋_GB2312" w:cs="Times New Roman"/>
                <w:b/>
                <w:bCs/>
                <w:color w:val="auto"/>
                <w:kern w:val="0"/>
                <w:sz w:val="22"/>
                <w:szCs w:val="22"/>
              </w:rPr>
              <w:t>1.人员经费</w:t>
            </w:r>
          </w:p>
        </w:tc>
        <w:tc>
          <w:tcPr>
            <w:tcW w:w="1914" w:type="pct"/>
            <w:shd w:val="clear" w:color="auto" w:fill="auto"/>
            <w:vAlign w:val="center"/>
          </w:tcPr>
          <w:p>
            <w:pPr>
              <w:widowControl/>
              <w:jc w:val="both"/>
              <w:rPr>
                <w:rFonts w:hint="default" w:ascii="Times New Roman" w:hAnsi="Times New Roman" w:eastAsia="仿宋_GB2312" w:cs="Times New Roman"/>
                <w:b/>
                <w:bCs/>
                <w:color w:val="auto"/>
                <w:kern w:val="0"/>
                <w:sz w:val="22"/>
                <w:szCs w:val="22"/>
                <w:lang w:val="en-US" w:eastAsia="zh-CN"/>
              </w:rPr>
            </w:pPr>
            <w:r>
              <w:rPr>
                <w:rFonts w:hint="eastAsia" w:ascii="Times New Roman" w:hAnsi="Times New Roman" w:eastAsia="仿宋_GB2312" w:cs="Times New Roman"/>
                <w:b/>
                <w:bCs/>
                <w:color w:val="auto"/>
                <w:kern w:val="0"/>
                <w:sz w:val="22"/>
                <w:szCs w:val="22"/>
                <w:highlight w:val="none"/>
                <w:lang w:val="en-US" w:eastAsia="zh-CN"/>
              </w:rPr>
              <w:t>8044080.58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085" w:type="pct"/>
            <w:gridSpan w:val="2"/>
            <w:shd w:val="clear" w:color="auto" w:fill="auto"/>
            <w:vAlign w:val="center"/>
          </w:tcPr>
          <w:p>
            <w:pPr>
              <w:widowControl/>
              <w:jc w:val="both"/>
              <w:rPr>
                <w:rFonts w:ascii="Times New Roman" w:hAnsi="Times New Roman" w:eastAsia="仿宋_GB2312" w:cs="Times New Roman"/>
                <w:b/>
                <w:bCs/>
                <w:color w:val="auto"/>
                <w:kern w:val="0"/>
                <w:sz w:val="22"/>
                <w:szCs w:val="22"/>
              </w:rPr>
            </w:pPr>
            <w:r>
              <w:rPr>
                <w:rFonts w:ascii="Times New Roman" w:hAnsi="Times New Roman" w:eastAsia="仿宋_GB2312" w:cs="Times New Roman"/>
                <w:b/>
                <w:bCs/>
                <w:color w:val="auto"/>
                <w:kern w:val="0"/>
                <w:sz w:val="22"/>
                <w:szCs w:val="22"/>
              </w:rPr>
              <w:t>工资福利支出</w:t>
            </w:r>
          </w:p>
        </w:tc>
        <w:tc>
          <w:tcPr>
            <w:tcW w:w="1914" w:type="pct"/>
            <w:shd w:val="clear" w:color="auto" w:fill="auto"/>
            <w:vAlign w:val="center"/>
          </w:tcPr>
          <w:p>
            <w:pPr>
              <w:widowControl/>
              <w:jc w:val="both"/>
              <w:rPr>
                <w:rFonts w:ascii="Times New Roman" w:hAnsi="Times New Roman" w:eastAsia="仿宋_GB2312" w:cs="Times New Roman"/>
                <w:b/>
                <w:bCs/>
                <w:color w:val="auto"/>
                <w:kern w:val="0"/>
                <w:sz w:val="22"/>
                <w:szCs w:val="22"/>
              </w:rPr>
            </w:pPr>
            <w:r>
              <w:rPr>
                <w:rFonts w:hint="eastAsia" w:ascii="Times New Roman" w:hAnsi="Times New Roman" w:eastAsia="仿宋_GB2312" w:cs="Times New Roman"/>
                <w:b/>
                <w:bCs/>
                <w:color w:val="auto"/>
                <w:kern w:val="0"/>
                <w:sz w:val="22"/>
                <w:szCs w:val="22"/>
              </w:rPr>
              <w:t>7143309.78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24"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　</w:t>
            </w:r>
          </w:p>
        </w:tc>
        <w:tc>
          <w:tcPr>
            <w:tcW w:w="2261"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基本工资</w:t>
            </w:r>
          </w:p>
        </w:tc>
        <w:tc>
          <w:tcPr>
            <w:tcW w:w="1914" w:type="pct"/>
            <w:shd w:val="clear" w:color="auto" w:fill="auto"/>
            <w:noWrap/>
            <w:vAlign w:val="center"/>
          </w:tcPr>
          <w:p>
            <w:pPr>
              <w:widowControl/>
              <w:jc w:val="both"/>
              <w:rPr>
                <w:rFonts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rPr>
              <w:t>2178176</w:t>
            </w:r>
            <w:r>
              <w:rPr>
                <w:rFonts w:ascii="Times New Roman" w:hAnsi="Times New Roman" w:eastAsia="仿宋_GB2312" w:cs="Times New Roman"/>
                <w:color w:val="auto"/>
                <w:kern w:val="0"/>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24"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　</w:t>
            </w:r>
          </w:p>
        </w:tc>
        <w:tc>
          <w:tcPr>
            <w:tcW w:w="2261"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津贴补贴</w:t>
            </w:r>
          </w:p>
        </w:tc>
        <w:tc>
          <w:tcPr>
            <w:tcW w:w="1914" w:type="pct"/>
            <w:shd w:val="clear" w:color="auto" w:fill="auto"/>
            <w:noWrap/>
            <w:vAlign w:val="center"/>
          </w:tcPr>
          <w:p>
            <w:pPr>
              <w:widowControl/>
              <w:jc w:val="both"/>
              <w:rPr>
                <w:rFonts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rPr>
              <w:t>2822421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24"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　</w:t>
            </w:r>
          </w:p>
        </w:tc>
        <w:tc>
          <w:tcPr>
            <w:tcW w:w="2261"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奖金</w:t>
            </w:r>
          </w:p>
        </w:tc>
        <w:tc>
          <w:tcPr>
            <w:tcW w:w="1914" w:type="pct"/>
            <w:shd w:val="clear" w:color="auto" w:fill="auto"/>
            <w:noWrap/>
            <w:vAlign w:val="center"/>
          </w:tcPr>
          <w:p>
            <w:pPr>
              <w:widowControl/>
              <w:jc w:val="both"/>
              <w:rPr>
                <w:rFonts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rPr>
              <w:t>273305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24"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　</w:t>
            </w:r>
          </w:p>
        </w:tc>
        <w:tc>
          <w:tcPr>
            <w:tcW w:w="2261"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基本养老保险缴费</w:t>
            </w:r>
          </w:p>
        </w:tc>
        <w:tc>
          <w:tcPr>
            <w:tcW w:w="1914" w:type="pct"/>
            <w:shd w:val="clear" w:color="auto" w:fill="auto"/>
            <w:noWrap/>
            <w:vAlign w:val="center"/>
          </w:tcPr>
          <w:p>
            <w:pPr>
              <w:widowControl/>
              <w:jc w:val="both"/>
              <w:rPr>
                <w:rFonts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rPr>
              <w:t>633226.72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24"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　</w:t>
            </w:r>
          </w:p>
        </w:tc>
        <w:tc>
          <w:tcPr>
            <w:tcW w:w="2261"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职业年金缴费</w:t>
            </w:r>
          </w:p>
        </w:tc>
        <w:tc>
          <w:tcPr>
            <w:tcW w:w="1914" w:type="pct"/>
            <w:shd w:val="clear" w:color="auto" w:fill="auto"/>
            <w:noWrap/>
            <w:vAlign w:val="center"/>
          </w:tcPr>
          <w:p>
            <w:pPr>
              <w:widowControl/>
              <w:jc w:val="both"/>
              <w:rPr>
                <w:rFonts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rPr>
              <w:t>188294.79</w:t>
            </w:r>
            <w:r>
              <w:rPr>
                <w:rFonts w:ascii="Times New Roman" w:hAnsi="Times New Roman" w:eastAsia="仿宋_GB2312" w:cs="Times New Roman"/>
                <w:color w:val="auto"/>
                <w:kern w:val="0"/>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24"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　</w:t>
            </w:r>
          </w:p>
        </w:tc>
        <w:tc>
          <w:tcPr>
            <w:tcW w:w="2261"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职工基本医疗保险缴费</w:t>
            </w:r>
          </w:p>
        </w:tc>
        <w:tc>
          <w:tcPr>
            <w:tcW w:w="1914" w:type="pct"/>
            <w:shd w:val="clear" w:color="auto" w:fill="auto"/>
            <w:noWrap/>
            <w:vAlign w:val="center"/>
          </w:tcPr>
          <w:p>
            <w:pPr>
              <w:widowControl/>
              <w:jc w:val="both"/>
              <w:rPr>
                <w:rFonts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rPr>
              <w:t>414144.07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24"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　</w:t>
            </w:r>
          </w:p>
        </w:tc>
        <w:tc>
          <w:tcPr>
            <w:tcW w:w="2261"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公务员医疗补助缴费</w:t>
            </w:r>
          </w:p>
        </w:tc>
        <w:tc>
          <w:tcPr>
            <w:tcW w:w="1914" w:type="pct"/>
            <w:shd w:val="clear" w:color="auto" w:fill="auto"/>
            <w:noWrap/>
            <w:vAlign w:val="center"/>
          </w:tcPr>
          <w:p>
            <w:pPr>
              <w:widowControl/>
              <w:jc w:val="both"/>
              <w:rPr>
                <w:rFonts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rPr>
              <w:t>106994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24"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　</w:t>
            </w:r>
          </w:p>
        </w:tc>
        <w:tc>
          <w:tcPr>
            <w:tcW w:w="2261"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其他社会保障缴费</w:t>
            </w:r>
          </w:p>
        </w:tc>
        <w:tc>
          <w:tcPr>
            <w:tcW w:w="1914" w:type="pct"/>
            <w:shd w:val="clear" w:color="auto" w:fill="auto"/>
            <w:noWrap/>
            <w:vAlign w:val="center"/>
          </w:tcPr>
          <w:p>
            <w:pPr>
              <w:widowControl/>
              <w:jc w:val="both"/>
              <w:rPr>
                <w:rFonts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rPr>
              <w:t>20867.2</w:t>
            </w:r>
            <w:r>
              <w:rPr>
                <w:rFonts w:ascii="Times New Roman" w:hAnsi="Times New Roman" w:eastAsia="仿宋_GB2312" w:cs="Times New Roman"/>
                <w:color w:val="auto"/>
                <w:kern w:val="0"/>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24"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　</w:t>
            </w:r>
          </w:p>
        </w:tc>
        <w:tc>
          <w:tcPr>
            <w:tcW w:w="2261"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住房公积金</w:t>
            </w:r>
          </w:p>
        </w:tc>
        <w:tc>
          <w:tcPr>
            <w:tcW w:w="1914" w:type="pct"/>
            <w:shd w:val="clear" w:color="auto" w:fill="auto"/>
            <w:noWrap/>
            <w:vAlign w:val="center"/>
          </w:tcPr>
          <w:p>
            <w:pPr>
              <w:widowControl/>
              <w:jc w:val="both"/>
              <w:rPr>
                <w:rFonts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rPr>
              <w:t>505881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085" w:type="pct"/>
            <w:gridSpan w:val="2"/>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b/>
                <w:bCs/>
                <w:color w:val="auto"/>
                <w:kern w:val="0"/>
                <w:sz w:val="22"/>
                <w:szCs w:val="22"/>
              </w:rPr>
              <w:t>对个人和家庭的补助</w:t>
            </w:r>
          </w:p>
        </w:tc>
        <w:tc>
          <w:tcPr>
            <w:tcW w:w="1914" w:type="pct"/>
            <w:shd w:val="clear" w:color="auto" w:fill="auto"/>
            <w:noWrap/>
            <w:vAlign w:val="center"/>
          </w:tcPr>
          <w:p>
            <w:pPr>
              <w:widowControl/>
              <w:jc w:val="both"/>
              <w:rPr>
                <w:rFonts w:ascii="Times New Roman" w:hAnsi="Times New Roman" w:eastAsia="仿宋_GB2312" w:cs="Times New Roman"/>
                <w:color w:val="auto"/>
                <w:kern w:val="0"/>
                <w:sz w:val="22"/>
                <w:szCs w:val="22"/>
              </w:rPr>
            </w:pPr>
            <w:r>
              <w:rPr>
                <w:rFonts w:hint="eastAsia" w:ascii="Times New Roman" w:hAnsi="Times New Roman" w:eastAsia="仿宋_GB2312" w:cs="Times New Roman"/>
                <w:b/>
                <w:bCs/>
                <w:color w:val="auto"/>
                <w:kern w:val="0"/>
                <w:sz w:val="22"/>
                <w:szCs w:val="22"/>
              </w:rPr>
              <w:t>900770.8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24"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b/>
                <w:bCs/>
                <w:color w:val="auto"/>
                <w:kern w:val="0"/>
                <w:sz w:val="22"/>
                <w:szCs w:val="22"/>
              </w:rPr>
              <w:t>　</w:t>
            </w:r>
          </w:p>
        </w:tc>
        <w:tc>
          <w:tcPr>
            <w:tcW w:w="2261"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退休费</w:t>
            </w:r>
          </w:p>
        </w:tc>
        <w:tc>
          <w:tcPr>
            <w:tcW w:w="1914" w:type="pct"/>
            <w:shd w:val="clear" w:color="auto" w:fill="auto"/>
            <w:noWrap/>
            <w:vAlign w:val="center"/>
          </w:tcPr>
          <w:p>
            <w:pPr>
              <w:widowControl/>
              <w:jc w:val="both"/>
              <w:rPr>
                <w:rFonts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rPr>
              <w:t>298922.8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24"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　</w:t>
            </w:r>
          </w:p>
        </w:tc>
        <w:tc>
          <w:tcPr>
            <w:tcW w:w="2261"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抚恤金</w:t>
            </w:r>
          </w:p>
        </w:tc>
        <w:tc>
          <w:tcPr>
            <w:tcW w:w="1914" w:type="pct"/>
            <w:shd w:val="clear" w:color="auto" w:fill="auto"/>
            <w:noWrap/>
            <w:vAlign w:val="center"/>
          </w:tcPr>
          <w:p>
            <w:pPr>
              <w:widowControl/>
              <w:jc w:val="both"/>
              <w:rPr>
                <w:rFonts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rPr>
              <w:t>515928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24"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　</w:t>
            </w:r>
          </w:p>
        </w:tc>
        <w:tc>
          <w:tcPr>
            <w:tcW w:w="2261"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lang w:val="en-US" w:eastAsia="zh-CN"/>
              </w:rPr>
              <w:t>生活</w:t>
            </w:r>
            <w:r>
              <w:rPr>
                <w:rFonts w:ascii="Times New Roman" w:hAnsi="Times New Roman" w:eastAsia="仿宋_GB2312" w:cs="Times New Roman"/>
                <w:color w:val="auto"/>
                <w:kern w:val="0"/>
                <w:sz w:val="22"/>
                <w:szCs w:val="22"/>
              </w:rPr>
              <w:t>补助</w:t>
            </w:r>
          </w:p>
        </w:tc>
        <w:tc>
          <w:tcPr>
            <w:tcW w:w="1914" w:type="pct"/>
            <w:shd w:val="clear" w:color="auto" w:fill="auto"/>
            <w:noWrap/>
            <w:vAlign w:val="center"/>
          </w:tcPr>
          <w:p>
            <w:pPr>
              <w:widowControl/>
              <w:jc w:val="both"/>
              <w:rPr>
                <w:rFonts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rPr>
              <w:t>85920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085" w:type="pct"/>
            <w:gridSpan w:val="2"/>
            <w:shd w:val="clear" w:color="auto" w:fill="auto"/>
            <w:vAlign w:val="center"/>
          </w:tcPr>
          <w:p>
            <w:pPr>
              <w:widowControl/>
              <w:jc w:val="both"/>
              <w:rPr>
                <w:rFonts w:ascii="Times New Roman" w:hAnsi="Times New Roman" w:eastAsia="仿宋_GB2312" w:cs="Times New Roman"/>
                <w:b/>
                <w:bCs/>
                <w:color w:val="auto"/>
                <w:kern w:val="0"/>
                <w:sz w:val="22"/>
                <w:szCs w:val="22"/>
              </w:rPr>
            </w:pPr>
            <w:r>
              <w:rPr>
                <w:rFonts w:ascii="Times New Roman" w:hAnsi="Times New Roman" w:eastAsia="仿宋_GB2312" w:cs="Times New Roman"/>
                <w:b/>
                <w:bCs/>
                <w:color w:val="auto"/>
                <w:kern w:val="0"/>
                <w:sz w:val="22"/>
                <w:szCs w:val="22"/>
              </w:rPr>
              <w:t>2.日常公用经费</w:t>
            </w:r>
          </w:p>
        </w:tc>
        <w:tc>
          <w:tcPr>
            <w:tcW w:w="1914" w:type="pct"/>
            <w:shd w:val="clear" w:color="auto" w:fill="auto"/>
            <w:vAlign w:val="center"/>
          </w:tcPr>
          <w:p>
            <w:pPr>
              <w:widowControl/>
              <w:jc w:val="both"/>
              <w:rPr>
                <w:rFonts w:ascii="Times New Roman" w:hAnsi="Times New Roman" w:eastAsia="仿宋_GB2312" w:cs="Times New Roman"/>
                <w:b/>
                <w:bCs/>
                <w:color w:val="auto"/>
                <w:kern w:val="0"/>
                <w:sz w:val="22"/>
                <w:szCs w:val="22"/>
              </w:rPr>
            </w:pPr>
            <w:r>
              <w:rPr>
                <w:rFonts w:hint="eastAsia" w:ascii="Times New Roman" w:hAnsi="Times New Roman" w:eastAsia="仿宋_GB2312" w:cs="Times New Roman"/>
                <w:b/>
                <w:bCs/>
                <w:color w:val="auto"/>
                <w:kern w:val="0"/>
                <w:sz w:val="22"/>
                <w:szCs w:val="22"/>
                <w:highlight w:val="none"/>
              </w:rPr>
              <w:t>289261.6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085" w:type="pct"/>
            <w:gridSpan w:val="2"/>
            <w:shd w:val="clear" w:color="auto" w:fill="auto"/>
            <w:vAlign w:val="center"/>
          </w:tcPr>
          <w:p>
            <w:pPr>
              <w:widowControl/>
              <w:jc w:val="both"/>
              <w:rPr>
                <w:rFonts w:ascii="Times New Roman" w:hAnsi="Times New Roman" w:eastAsia="仿宋_GB2312" w:cs="Times New Roman"/>
                <w:b/>
                <w:bCs/>
                <w:color w:val="auto"/>
                <w:kern w:val="0"/>
                <w:sz w:val="22"/>
                <w:szCs w:val="22"/>
              </w:rPr>
            </w:pPr>
            <w:r>
              <w:rPr>
                <w:rFonts w:ascii="Times New Roman" w:hAnsi="Times New Roman" w:eastAsia="仿宋_GB2312" w:cs="Times New Roman"/>
                <w:b/>
                <w:bCs/>
                <w:color w:val="auto"/>
                <w:kern w:val="0"/>
                <w:sz w:val="22"/>
                <w:szCs w:val="22"/>
              </w:rPr>
              <w:t>商品和服务支出</w:t>
            </w:r>
          </w:p>
        </w:tc>
        <w:tc>
          <w:tcPr>
            <w:tcW w:w="1914" w:type="pct"/>
            <w:shd w:val="clear" w:color="auto" w:fill="auto"/>
            <w:vAlign w:val="center"/>
          </w:tcPr>
          <w:p>
            <w:pPr>
              <w:widowControl/>
              <w:jc w:val="both"/>
              <w:rPr>
                <w:rFonts w:ascii="Times New Roman" w:hAnsi="Times New Roman" w:eastAsia="仿宋_GB2312" w:cs="Times New Roman"/>
                <w:b/>
                <w:bCs/>
                <w:color w:val="auto"/>
                <w:kern w:val="0"/>
                <w:sz w:val="22"/>
                <w:szCs w:val="22"/>
              </w:rPr>
            </w:pPr>
            <w:r>
              <w:rPr>
                <w:rFonts w:hint="eastAsia" w:ascii="Times New Roman" w:hAnsi="Times New Roman" w:eastAsia="仿宋_GB2312" w:cs="Times New Roman"/>
                <w:b/>
                <w:bCs/>
                <w:color w:val="auto"/>
                <w:kern w:val="0"/>
                <w:sz w:val="22"/>
                <w:szCs w:val="22"/>
              </w:rPr>
              <w:t>289261.6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24"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　</w:t>
            </w:r>
          </w:p>
        </w:tc>
        <w:tc>
          <w:tcPr>
            <w:tcW w:w="2261"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办公费</w:t>
            </w:r>
          </w:p>
        </w:tc>
        <w:tc>
          <w:tcPr>
            <w:tcW w:w="1914" w:type="pct"/>
            <w:shd w:val="clear" w:color="auto" w:fill="auto"/>
            <w:noWrap/>
            <w:vAlign w:val="center"/>
          </w:tcPr>
          <w:p>
            <w:pPr>
              <w:widowControl/>
              <w:jc w:val="both"/>
              <w:rPr>
                <w:rFonts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rPr>
              <w:t>7432.6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24"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　</w:t>
            </w:r>
          </w:p>
        </w:tc>
        <w:tc>
          <w:tcPr>
            <w:tcW w:w="2261"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印刷费</w:t>
            </w:r>
          </w:p>
        </w:tc>
        <w:tc>
          <w:tcPr>
            <w:tcW w:w="1914" w:type="pct"/>
            <w:shd w:val="clear" w:color="auto" w:fill="auto"/>
            <w:noWrap/>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 xml:space="preserve">9560.00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24"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　</w:t>
            </w:r>
          </w:p>
        </w:tc>
        <w:tc>
          <w:tcPr>
            <w:tcW w:w="2261"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lang w:val="en-US" w:eastAsia="zh-CN"/>
              </w:rPr>
              <w:t>水电</w:t>
            </w:r>
            <w:r>
              <w:rPr>
                <w:rFonts w:ascii="Times New Roman" w:hAnsi="Times New Roman" w:eastAsia="仿宋_GB2312" w:cs="Times New Roman"/>
                <w:color w:val="auto"/>
                <w:kern w:val="0"/>
                <w:sz w:val="22"/>
                <w:szCs w:val="22"/>
              </w:rPr>
              <w:t>费</w:t>
            </w:r>
          </w:p>
        </w:tc>
        <w:tc>
          <w:tcPr>
            <w:tcW w:w="1914" w:type="pct"/>
            <w:shd w:val="clear" w:color="auto" w:fill="auto"/>
            <w:noWrap/>
            <w:vAlign w:val="center"/>
          </w:tcPr>
          <w:p>
            <w:pPr>
              <w:widowControl/>
              <w:jc w:val="both"/>
              <w:rPr>
                <w:rFonts w:hint="default" w:ascii="Times New Roman" w:hAnsi="Times New Roman" w:eastAsia="仿宋_GB2312" w:cs="Times New Roman"/>
                <w:color w:val="auto"/>
                <w:kern w:val="0"/>
                <w:sz w:val="22"/>
                <w:szCs w:val="22"/>
                <w:lang w:val="en-US" w:eastAsia="zh-CN"/>
              </w:rPr>
            </w:pPr>
            <w:r>
              <w:rPr>
                <w:rFonts w:hint="eastAsia" w:ascii="Times New Roman" w:hAnsi="Times New Roman" w:eastAsia="仿宋_GB2312" w:cs="Times New Roman"/>
                <w:color w:val="auto"/>
                <w:kern w:val="0"/>
                <w:sz w:val="22"/>
                <w:szCs w:val="22"/>
                <w:lang w:val="en-US" w:eastAsia="zh-CN"/>
              </w:rPr>
              <w:t>28803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24"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　</w:t>
            </w:r>
          </w:p>
        </w:tc>
        <w:tc>
          <w:tcPr>
            <w:tcW w:w="2261"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邮电费</w:t>
            </w:r>
          </w:p>
        </w:tc>
        <w:tc>
          <w:tcPr>
            <w:tcW w:w="1914" w:type="pct"/>
            <w:shd w:val="clear" w:color="auto" w:fill="auto"/>
            <w:noWrap/>
            <w:vAlign w:val="center"/>
          </w:tcPr>
          <w:p>
            <w:pPr>
              <w:widowControl/>
              <w:jc w:val="both"/>
              <w:rPr>
                <w:rFonts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rPr>
              <w:t>11800</w:t>
            </w:r>
            <w:r>
              <w:rPr>
                <w:rFonts w:ascii="Times New Roman" w:hAnsi="Times New Roman" w:eastAsia="仿宋_GB2312" w:cs="Times New Roman"/>
                <w:color w:val="auto"/>
                <w:kern w:val="0"/>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24"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　</w:t>
            </w:r>
          </w:p>
        </w:tc>
        <w:tc>
          <w:tcPr>
            <w:tcW w:w="2261"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公务接待费</w:t>
            </w:r>
          </w:p>
        </w:tc>
        <w:tc>
          <w:tcPr>
            <w:tcW w:w="1914" w:type="pct"/>
            <w:shd w:val="clear" w:color="auto" w:fill="auto"/>
            <w:noWrap/>
            <w:vAlign w:val="center"/>
          </w:tcPr>
          <w:p>
            <w:pPr>
              <w:widowControl/>
              <w:jc w:val="both"/>
              <w:rPr>
                <w:rFonts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rPr>
              <w:t>8950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24"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　</w:t>
            </w:r>
          </w:p>
        </w:tc>
        <w:tc>
          <w:tcPr>
            <w:tcW w:w="2261"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公务用车运行维护费</w:t>
            </w:r>
          </w:p>
        </w:tc>
        <w:tc>
          <w:tcPr>
            <w:tcW w:w="1914" w:type="pct"/>
            <w:shd w:val="clear" w:color="auto" w:fill="auto"/>
            <w:noWrap/>
            <w:vAlign w:val="center"/>
          </w:tcPr>
          <w:p>
            <w:pPr>
              <w:widowControl/>
              <w:jc w:val="both"/>
              <w:rPr>
                <w:rFonts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rPr>
              <w:t>156750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24"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　</w:t>
            </w:r>
          </w:p>
        </w:tc>
        <w:tc>
          <w:tcPr>
            <w:tcW w:w="2261" w:type="pct"/>
            <w:shd w:val="clear" w:color="auto" w:fill="auto"/>
            <w:vAlign w:val="center"/>
          </w:tcPr>
          <w:p>
            <w:pPr>
              <w:widowControl/>
              <w:jc w:val="both"/>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其他商品和服务支出</w:t>
            </w:r>
          </w:p>
        </w:tc>
        <w:tc>
          <w:tcPr>
            <w:tcW w:w="1914" w:type="pct"/>
            <w:shd w:val="clear" w:color="auto" w:fill="auto"/>
            <w:noWrap/>
            <w:vAlign w:val="center"/>
          </w:tcPr>
          <w:p>
            <w:pPr>
              <w:widowControl/>
              <w:jc w:val="both"/>
              <w:rPr>
                <w:rFonts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rPr>
              <w:t>75526</w:t>
            </w:r>
          </w:p>
        </w:tc>
      </w:tr>
    </w:tbl>
    <w:p>
      <w:pPr>
        <w:pStyle w:val="16"/>
        <w:numPr>
          <w:ilvl w:val="0"/>
          <w:numId w:val="2"/>
        </w:numPr>
        <w:ind w:firstLine="562"/>
        <w:jc w:val="both"/>
        <w:rPr>
          <w:rFonts w:hint="eastAsia" w:ascii="方正仿宋_GBK" w:hAnsi="方正仿宋_GBK" w:eastAsia="方正仿宋_GBK" w:cs="方正仿宋_GBK"/>
          <w:b/>
          <w:color w:val="auto"/>
          <w:sz w:val="32"/>
          <w:szCs w:val="32"/>
          <w:lang w:val="en-US" w:eastAsia="zh-CN"/>
        </w:rPr>
      </w:pPr>
      <w:r>
        <w:rPr>
          <w:rFonts w:hint="eastAsia" w:ascii="方正仿宋_GBK" w:hAnsi="方正仿宋_GBK" w:eastAsia="方正仿宋_GBK" w:cs="方正仿宋_GBK"/>
          <w:b/>
          <w:color w:val="auto"/>
          <w:sz w:val="32"/>
          <w:szCs w:val="32"/>
          <w:lang w:val="en-US" w:eastAsia="zh-CN"/>
        </w:rPr>
        <w:t>项目支出情况</w:t>
      </w:r>
    </w:p>
    <w:p>
      <w:pPr>
        <w:pStyle w:val="17"/>
        <w:keepNext w:val="0"/>
        <w:keepLines w:val="0"/>
        <w:pageBreakBefore w:val="0"/>
        <w:widowControl w:val="0"/>
        <w:kinsoku/>
        <w:wordWrap/>
        <w:overflowPunct/>
        <w:topLinePunct w:val="0"/>
        <w:autoSpaceDE/>
        <w:autoSpaceDN/>
        <w:bidi w:val="0"/>
        <w:adjustRightInd/>
        <w:snapToGrid w:val="0"/>
        <w:spacing w:line="570" w:lineRule="atLeast"/>
        <w:jc w:val="both"/>
        <w:textAlignment w:val="auto"/>
        <w:rPr>
          <w:rStyle w:val="13"/>
          <w:rFonts w:hint="eastAsia" w:ascii="方正仿宋_GBK" w:hAnsi="方正仿宋_GBK" w:eastAsia="方正仿宋_GBK" w:cs="方正仿宋_GBK"/>
          <w:b w:val="0"/>
          <w:color w:val="333333"/>
          <w:spacing w:val="6"/>
          <w:sz w:val="32"/>
          <w:szCs w:val="32"/>
          <w:lang w:val="en-US" w:eastAsia="zh-CN" w:bidi="ar"/>
        </w:rPr>
      </w:pPr>
      <w:r>
        <w:rPr>
          <w:rStyle w:val="13"/>
          <w:rFonts w:hint="eastAsia" w:ascii="方正仿宋_GBK" w:hAnsi="方正仿宋_GBK" w:eastAsia="方正仿宋_GBK" w:cs="方正仿宋_GBK"/>
          <w:b w:val="0"/>
          <w:color w:val="333333"/>
          <w:spacing w:val="6"/>
          <w:sz w:val="32"/>
          <w:szCs w:val="32"/>
          <w:lang w:val="en-US" w:eastAsia="zh-CN" w:bidi="ar"/>
        </w:rPr>
        <w:t>2022年项目支出总额119.1万元，</w:t>
      </w:r>
      <w:r>
        <w:rPr>
          <w:rStyle w:val="13"/>
          <w:rFonts w:hint="eastAsia" w:ascii="方正仿宋_GBK" w:hAnsi="方正仿宋_GBK" w:eastAsia="方正仿宋_GBK" w:cs="方正仿宋_GBK"/>
          <w:b w:val="0"/>
          <w:color w:val="000000" w:themeColor="text1"/>
          <w:kern w:val="2"/>
          <w:sz w:val="32"/>
          <w:szCs w:val="32"/>
          <w:lang w:val="en-US" w:eastAsia="zh-CN" w:bidi="ar"/>
          <w14:textFill>
            <w14:solidFill>
              <w14:schemeClr w14:val="tx1"/>
            </w14:solidFill>
          </w14:textFill>
        </w:rPr>
        <w:t>主要为：</w:t>
      </w:r>
      <w:r>
        <w:rPr>
          <w:rStyle w:val="13"/>
          <w:rFonts w:hint="eastAsia" w:ascii="方正仿宋_GBK" w:hAnsi="方正仿宋_GBK" w:eastAsia="方正仿宋_GBK" w:cs="方正仿宋_GBK"/>
          <w:b w:val="0"/>
          <w:color w:val="333333"/>
          <w:spacing w:val="6"/>
          <w:sz w:val="32"/>
          <w:szCs w:val="32"/>
          <w:lang w:val="en-US" w:eastAsia="zh-CN" w:bidi="ar"/>
        </w:rPr>
        <w:t>伽师县市监局2022年药品监管抽检项目4万元、伽师县市监局食品安全抽检监测经费项目58万元、伽师县疫情防控物资购置项目57.1万元。</w:t>
      </w:r>
    </w:p>
    <w:p>
      <w:pPr>
        <w:pStyle w:val="17"/>
        <w:keepNext w:val="0"/>
        <w:keepLines w:val="0"/>
        <w:pageBreakBefore w:val="0"/>
        <w:widowControl w:val="0"/>
        <w:numPr>
          <w:ilvl w:val="0"/>
          <w:numId w:val="2"/>
        </w:numPr>
        <w:kinsoku/>
        <w:wordWrap/>
        <w:overflowPunct/>
        <w:topLinePunct w:val="0"/>
        <w:autoSpaceDE/>
        <w:autoSpaceDN/>
        <w:bidi w:val="0"/>
        <w:adjustRightInd/>
        <w:snapToGrid w:val="0"/>
        <w:spacing w:line="570" w:lineRule="atLeast"/>
        <w:ind w:left="0" w:leftChars="0" w:firstLine="667" w:firstLineChars="200"/>
        <w:jc w:val="both"/>
        <w:textAlignment w:val="auto"/>
        <w:rPr>
          <w:rStyle w:val="13"/>
          <w:rFonts w:hint="eastAsia" w:ascii="方正仿宋_GBK" w:hAnsi="方正仿宋_GBK" w:eastAsia="方正仿宋_GBK" w:cs="方正仿宋_GBK"/>
          <w:b/>
          <w:bCs w:val="0"/>
          <w:color w:val="333333"/>
          <w:spacing w:val="6"/>
          <w:sz w:val="32"/>
          <w:szCs w:val="32"/>
          <w:lang w:val="en-US" w:eastAsia="zh-CN" w:bidi="ar"/>
        </w:rPr>
      </w:pPr>
      <w:r>
        <w:rPr>
          <w:rStyle w:val="13"/>
          <w:rFonts w:hint="eastAsia" w:ascii="方正仿宋_GBK" w:hAnsi="方正仿宋_GBK" w:eastAsia="方正仿宋_GBK" w:cs="方正仿宋_GBK"/>
          <w:b/>
          <w:bCs w:val="0"/>
          <w:color w:val="333333"/>
          <w:spacing w:val="6"/>
          <w:sz w:val="32"/>
          <w:szCs w:val="32"/>
          <w:lang w:val="en-US" w:eastAsia="zh-CN" w:bidi="ar"/>
        </w:rPr>
        <w:t>“三公”经费控制情况</w:t>
      </w:r>
    </w:p>
    <w:p>
      <w:pPr>
        <w:pStyle w:val="17"/>
        <w:keepNext w:val="0"/>
        <w:keepLines w:val="0"/>
        <w:pageBreakBefore w:val="0"/>
        <w:widowControl w:val="0"/>
        <w:numPr>
          <w:ilvl w:val="0"/>
          <w:numId w:val="0"/>
        </w:numPr>
        <w:kinsoku/>
        <w:wordWrap/>
        <w:overflowPunct/>
        <w:topLinePunct w:val="0"/>
        <w:autoSpaceDE/>
        <w:autoSpaceDN/>
        <w:bidi w:val="0"/>
        <w:adjustRightInd/>
        <w:snapToGrid w:val="0"/>
        <w:spacing w:line="570" w:lineRule="atLeast"/>
        <w:ind w:firstLine="664" w:firstLineChars="200"/>
        <w:jc w:val="both"/>
        <w:textAlignment w:val="auto"/>
        <w:rPr>
          <w:rStyle w:val="13"/>
          <w:rFonts w:hint="eastAsia" w:ascii="方正仿宋_GBK" w:hAnsi="方正仿宋_GBK" w:eastAsia="方正仿宋_GBK" w:cs="方正仿宋_GBK"/>
          <w:b w:val="0"/>
          <w:color w:val="333333"/>
          <w:spacing w:val="6"/>
          <w:sz w:val="32"/>
          <w:szCs w:val="32"/>
          <w:lang w:val="en-US" w:eastAsia="zh-CN" w:bidi="ar"/>
        </w:rPr>
      </w:pPr>
      <w:r>
        <w:rPr>
          <w:rStyle w:val="13"/>
          <w:rFonts w:hint="eastAsia" w:ascii="方正仿宋_GBK" w:hAnsi="方正仿宋_GBK" w:eastAsia="方正仿宋_GBK" w:cs="方正仿宋_GBK"/>
          <w:b w:val="0"/>
          <w:color w:val="333333"/>
          <w:spacing w:val="6"/>
          <w:sz w:val="32"/>
          <w:szCs w:val="32"/>
          <w:lang w:val="en-US" w:eastAsia="zh-CN" w:bidi="ar"/>
        </w:rPr>
        <w:t>2022年“三公”经费预算为16.57万元，实际支出16.57万元，“三公”经费控制率为100%，其中：因公出国（境）费预算为0万元，实际支出0万元，因公出国（境）费预算控制率0%；公务接待费预算为0.90万元，实际支出0.90万元，公务接待费预算控制率100%；公务用车购置费预算为0万元，实际支出0万元，公务用车购置费预算控制率0%；公务用车运行维护费预算为15.68万元，实际支出15.68万元，公务用车运行维护费控制率100%，符合财政部门预算要求和相关管理制度要求。</w:t>
      </w:r>
    </w:p>
    <w:p>
      <w:pPr>
        <w:pStyle w:val="16"/>
        <w:ind w:firstLine="562"/>
        <w:jc w:val="both"/>
        <w:rPr>
          <w:rFonts w:hint="eastAsia" w:ascii="方正仿宋_GBK" w:hAnsi="方正仿宋_GBK" w:eastAsia="方正仿宋_GBK" w:cs="方正仿宋_GBK"/>
          <w:b/>
          <w:color w:val="auto"/>
          <w:sz w:val="32"/>
          <w:szCs w:val="32"/>
          <w:lang w:eastAsia="zh-CN"/>
        </w:rPr>
      </w:pPr>
      <w:r>
        <w:rPr>
          <w:rFonts w:hint="eastAsia" w:ascii="方正仿宋_GBK" w:hAnsi="方正仿宋_GBK" w:eastAsia="方正仿宋_GBK" w:cs="方正仿宋_GBK"/>
          <w:b/>
          <w:color w:val="auto"/>
          <w:sz w:val="32"/>
          <w:szCs w:val="32"/>
          <w:lang w:val="en-US" w:eastAsia="zh-CN"/>
        </w:rPr>
        <w:t>6</w:t>
      </w:r>
      <w:r>
        <w:rPr>
          <w:rFonts w:hint="eastAsia" w:ascii="方正仿宋_GBK" w:hAnsi="方正仿宋_GBK" w:eastAsia="方正仿宋_GBK" w:cs="方正仿宋_GBK"/>
          <w:b/>
          <w:color w:val="auto"/>
          <w:sz w:val="32"/>
          <w:szCs w:val="32"/>
        </w:rPr>
        <w:t>.部门管理</w:t>
      </w:r>
      <w:r>
        <w:rPr>
          <w:rFonts w:hint="eastAsia" w:ascii="方正仿宋_GBK" w:hAnsi="方正仿宋_GBK" w:eastAsia="方正仿宋_GBK" w:cs="方正仿宋_GBK"/>
          <w:b/>
          <w:color w:val="auto"/>
          <w:sz w:val="32"/>
          <w:szCs w:val="32"/>
          <w:lang w:eastAsia="zh-CN"/>
        </w:rPr>
        <w:t>情况</w:t>
      </w:r>
    </w:p>
    <w:p>
      <w:pPr>
        <w:ind w:firstLine="643" w:firstLineChars="200"/>
        <w:jc w:val="both"/>
        <w:rPr>
          <w:rFonts w:hint="eastAsia" w:ascii="方正仿宋_GBK" w:hAnsi="方正仿宋_GBK" w:eastAsia="方正仿宋_GBK" w:cs="方正仿宋_GBK"/>
          <w:b/>
          <w:bCs/>
          <w:color w:val="auto"/>
          <w:sz w:val="32"/>
          <w:szCs w:val="32"/>
          <w:lang w:val="en-US" w:eastAsia="zh-CN"/>
        </w:rPr>
      </w:pPr>
      <w:r>
        <w:rPr>
          <w:rFonts w:hint="eastAsia" w:ascii="方正仿宋_GBK" w:hAnsi="方正仿宋_GBK" w:eastAsia="方正仿宋_GBK" w:cs="方正仿宋_GBK"/>
          <w:b/>
          <w:bCs/>
          <w:color w:val="auto"/>
          <w:sz w:val="32"/>
          <w:szCs w:val="32"/>
          <w:lang w:eastAsia="zh-CN"/>
        </w:rPr>
        <w:t>（</w:t>
      </w:r>
      <w:r>
        <w:rPr>
          <w:rFonts w:hint="eastAsia" w:ascii="方正仿宋_GBK" w:hAnsi="方正仿宋_GBK" w:eastAsia="方正仿宋_GBK" w:cs="方正仿宋_GBK"/>
          <w:b/>
          <w:bCs/>
          <w:color w:val="auto"/>
          <w:sz w:val="32"/>
          <w:szCs w:val="32"/>
          <w:lang w:val="en-US" w:eastAsia="zh-CN"/>
        </w:rPr>
        <w:t>1）人员管理</w:t>
      </w:r>
    </w:p>
    <w:p>
      <w:pPr>
        <w:pStyle w:val="17"/>
        <w:keepNext w:val="0"/>
        <w:keepLines w:val="0"/>
        <w:pageBreakBefore w:val="0"/>
        <w:widowControl w:val="0"/>
        <w:kinsoku/>
        <w:wordWrap/>
        <w:overflowPunct/>
        <w:topLinePunct w:val="0"/>
        <w:autoSpaceDE/>
        <w:autoSpaceDN/>
        <w:bidi w:val="0"/>
        <w:adjustRightInd/>
        <w:snapToGrid w:val="0"/>
        <w:spacing w:line="570" w:lineRule="atLeast"/>
        <w:jc w:val="both"/>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val="0"/>
          <w:color w:val="auto"/>
          <w:spacing w:val="6"/>
          <w:sz w:val="32"/>
          <w:szCs w:val="32"/>
          <w:highlight w:val="none"/>
          <w:lang w:val="en-US" w:eastAsia="zh-CN"/>
        </w:rPr>
        <w:t>伽师县市场监督管理局参照《公务员法》进行管理，通过强化内部管理，改进工作作风，从而提高办事效率，并根据《伽师县市场监督管理局单位管理制度——考勤制度》《事业单位岗位聘用管理办法》等健全完整的各项管理制度，行政工作人员严格按照预算管理制度进行工作，有效保障了伽师县市场监督管理局高效的履行工作职能，防范预算管理活动风险，规范预算业务内部控制，为事业发展打好基础。</w:t>
      </w:r>
    </w:p>
    <w:p>
      <w:pPr>
        <w:pStyle w:val="20"/>
        <w:ind w:firstLine="562"/>
        <w:jc w:val="both"/>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（2）财务管理</w:t>
      </w:r>
    </w:p>
    <w:p>
      <w:pPr>
        <w:pStyle w:val="17"/>
        <w:keepNext w:val="0"/>
        <w:keepLines w:val="0"/>
        <w:pageBreakBefore w:val="0"/>
        <w:widowControl w:val="0"/>
        <w:numPr>
          <w:ilvl w:val="0"/>
          <w:numId w:val="0"/>
        </w:numPr>
        <w:kinsoku/>
        <w:wordWrap/>
        <w:overflowPunct/>
        <w:topLinePunct w:val="0"/>
        <w:autoSpaceDE/>
        <w:autoSpaceDN/>
        <w:bidi w:val="0"/>
        <w:adjustRightInd/>
        <w:snapToGrid w:val="0"/>
        <w:spacing w:line="570" w:lineRule="atLeast"/>
        <w:ind w:firstLine="664" w:firstLineChars="200"/>
        <w:jc w:val="both"/>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val="0"/>
          <w:color w:val="auto"/>
          <w:spacing w:val="6"/>
          <w:sz w:val="32"/>
          <w:szCs w:val="32"/>
          <w:highlight w:val="none"/>
          <w:lang w:val="en-US" w:eastAsia="zh-CN"/>
        </w:rPr>
        <w:t>市监局为加强预算管理，规范财务行为，</w:t>
      </w:r>
      <w:r>
        <w:rPr>
          <w:rStyle w:val="13"/>
          <w:rFonts w:hint="eastAsia" w:ascii="方正仿宋_GBK" w:hAnsi="方正仿宋_GBK" w:eastAsia="方正仿宋_GBK" w:cs="方正仿宋_GBK"/>
          <w:b w:val="0"/>
          <w:color w:val="auto"/>
          <w:spacing w:val="6"/>
          <w:sz w:val="32"/>
          <w:szCs w:val="32"/>
          <w:lang w:val="en-US" w:eastAsia="zh-CN"/>
        </w:rPr>
        <w:t>制定了《伽师县市场监督管理局单位财务管理制度》，</w:t>
      </w:r>
      <w:r>
        <w:rPr>
          <w:rStyle w:val="13"/>
          <w:rFonts w:hint="eastAsia" w:ascii="方正仿宋_GBK" w:hAnsi="方正仿宋_GBK" w:eastAsia="方正仿宋_GBK" w:cs="方正仿宋_GBK"/>
          <w:b w:val="0"/>
          <w:color w:val="auto"/>
          <w:spacing w:val="6"/>
          <w:sz w:val="32"/>
          <w:szCs w:val="32"/>
          <w:highlight w:val="none"/>
          <w:lang w:val="en-US" w:eastAsia="zh-CN"/>
        </w:rPr>
        <w:t>严格按《政府会计准则－基本准则》《中华人民共和国会计法》〈中华人民共和国预算法〉等法律、行政法规，执行党和国家的财经政策，遵守财经纪律。有效防范预算管理活动风险，规范预算业务内部控制，保障单位高效的履行工作职能，确保资金安全、合理、有效地使用。</w:t>
      </w:r>
    </w:p>
    <w:p>
      <w:pPr>
        <w:pStyle w:val="16"/>
        <w:ind w:firstLine="562"/>
        <w:jc w:val="both"/>
        <w:rPr>
          <w:rStyle w:val="13"/>
          <w:rFonts w:hint="eastAsia" w:ascii="方正仿宋_GBK" w:hAnsi="方正仿宋_GBK" w:eastAsia="方正仿宋_GBK" w:cs="方正仿宋_GBK"/>
          <w:b w:val="0"/>
          <w:color w:val="auto"/>
          <w:spacing w:val="6"/>
          <w:sz w:val="32"/>
          <w:szCs w:val="32"/>
          <w:highlight w:val="none"/>
          <w:lang w:val="en-US" w:eastAsia="zh-CN"/>
        </w:rPr>
      </w:pPr>
      <w:r>
        <w:rPr>
          <w:rFonts w:hint="eastAsia" w:ascii="方正仿宋_GBK" w:hAnsi="方正仿宋_GBK" w:eastAsia="方正仿宋_GBK" w:cs="方正仿宋_GBK"/>
          <w:b/>
          <w:bCs/>
          <w:color w:val="auto"/>
          <w:sz w:val="32"/>
          <w:szCs w:val="32"/>
        </w:rPr>
        <w:t>（3）资产管理</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4" w:firstLineChars="200"/>
        <w:jc w:val="both"/>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val="0"/>
          <w:color w:val="auto"/>
          <w:spacing w:val="6"/>
          <w:sz w:val="32"/>
          <w:szCs w:val="32"/>
          <w:highlight w:val="none"/>
          <w:lang w:val="en-US" w:eastAsia="zh-CN"/>
        </w:rPr>
        <w:t>严格按照财政部《关于加强行政事业单位固定资产管理的通知》（财资〔2020〕97号）工作要求，加强资产管理。一是严格落实政府会计准则制度等要求，按规定设置固定资产账簿，对固定资产增减变动及时进行会计处理，并定期与固定资产卡片进行核对，确保账卡相符。二是加强固定资产卡片管理，做到有物必登、登记到人、一物一卡、不重不漏。三是定期对固定资产进行清查盘点，全面掌握并真实反映固定资产的数量、价值和使用状况，确保账账相符、账实相符。四是在摸清固定资产存量基础上，严格审核各股室资产配置需求，资产配置能通过调剂、收回出租出借等方式解决的，原则上不重新购置、建设、租用。</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4" w:firstLineChars="200"/>
        <w:jc w:val="both"/>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val="0"/>
          <w:bCs w:val="0"/>
          <w:color w:val="auto"/>
          <w:spacing w:val="6"/>
          <w:sz w:val="32"/>
          <w:szCs w:val="32"/>
          <w:lang w:eastAsia="zh-CN"/>
        </w:rPr>
        <w:t>根据《行政事业单位资产管理制度》，对货币资金加强管理，统一设立银行存款账户，未经财政主管部</w:t>
      </w:r>
      <w:r>
        <w:rPr>
          <w:rStyle w:val="13"/>
          <w:rFonts w:hint="eastAsia" w:ascii="方正仿宋_GBK" w:hAnsi="方正仿宋_GBK" w:eastAsia="方正仿宋_GBK" w:cs="方正仿宋_GBK"/>
          <w:b w:val="0"/>
          <w:color w:val="auto"/>
          <w:spacing w:val="6"/>
          <w:sz w:val="32"/>
          <w:szCs w:val="32"/>
          <w:highlight w:val="none"/>
          <w:lang w:val="en-US" w:eastAsia="zh-CN"/>
        </w:rPr>
        <w:t>门同意不允许单独设立财政监管以外的银行存款账户；现金开支按照规定开支范围支付，对出纳工作具有很强的原则性。因此，出纳人员在经管现金时，严格遵守国家的现金管理规定，正确及时核算和监督现金收支及结存情况，保证现金的安全；预借款管理，按照规定填写《借款单》，经单位负责人审签，由财务负责人签字后报主管财务领导审批，非公务活动一律不得借款，并要求在规定得时间内及时结账。</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7" w:firstLineChars="200"/>
        <w:jc w:val="both"/>
        <w:textAlignment w:val="auto"/>
        <w:rPr>
          <w:rStyle w:val="13"/>
          <w:rFonts w:hint="eastAsia" w:ascii="方正仿宋_GBK" w:hAnsi="方正仿宋_GBK" w:eastAsia="方正仿宋_GBK" w:cs="方正仿宋_GBK"/>
          <w:b/>
          <w:bCs w:val="0"/>
          <w:color w:val="auto"/>
          <w:spacing w:val="6"/>
          <w:sz w:val="32"/>
          <w:szCs w:val="32"/>
          <w:highlight w:val="none"/>
          <w:lang w:val="en-US" w:eastAsia="zh-CN"/>
        </w:rPr>
      </w:pPr>
      <w:r>
        <w:rPr>
          <w:rStyle w:val="13"/>
          <w:rFonts w:hint="eastAsia" w:ascii="方正仿宋_GBK" w:hAnsi="方正仿宋_GBK" w:eastAsia="方正仿宋_GBK" w:cs="方正仿宋_GBK"/>
          <w:b/>
          <w:bCs w:val="0"/>
          <w:color w:val="auto"/>
          <w:spacing w:val="6"/>
          <w:sz w:val="32"/>
          <w:szCs w:val="32"/>
          <w:highlight w:val="none"/>
          <w:lang w:val="en-US" w:eastAsia="zh-CN"/>
        </w:rPr>
        <w:t>（4）资金管理</w:t>
      </w:r>
    </w:p>
    <w:p>
      <w:pPr>
        <w:spacing w:line="500" w:lineRule="exact"/>
        <w:ind w:firstLine="664" w:firstLineChars="200"/>
        <w:jc w:val="both"/>
        <w:outlineLvl w:val="1"/>
        <w:rPr>
          <w:rStyle w:val="13"/>
          <w:rFonts w:hint="eastAsia" w:ascii="方正仿宋_GBK" w:hAnsi="方正仿宋_GBK" w:eastAsia="方正仿宋_GBK" w:cs="方正仿宋_GBK"/>
          <w:b w:val="0"/>
          <w:color w:val="auto"/>
          <w:spacing w:val="6"/>
          <w:kern w:val="2"/>
          <w:sz w:val="32"/>
          <w:szCs w:val="32"/>
          <w:highlight w:val="none"/>
          <w:lang w:val="en-US" w:eastAsia="zh-CN" w:bidi="ar-SA"/>
        </w:rPr>
      </w:pPr>
      <w:bookmarkStart w:id="43" w:name="_Toc8013"/>
      <w:r>
        <w:rPr>
          <w:rStyle w:val="13"/>
          <w:rFonts w:hint="eastAsia" w:ascii="方正仿宋_GBK" w:hAnsi="方正仿宋_GBK" w:eastAsia="方正仿宋_GBK" w:cs="方正仿宋_GBK"/>
          <w:b w:val="0"/>
          <w:color w:val="auto"/>
          <w:spacing w:val="6"/>
          <w:kern w:val="2"/>
          <w:sz w:val="32"/>
          <w:szCs w:val="32"/>
          <w:highlight w:val="none"/>
          <w:lang w:val="en-US" w:eastAsia="zh-CN" w:bidi="ar-SA"/>
        </w:rPr>
        <w:t>①伽师县市场监督管理局能按规定用途合理使用资金，做到专款专用。</w:t>
      </w:r>
    </w:p>
    <w:p>
      <w:pPr>
        <w:spacing w:line="500" w:lineRule="exact"/>
        <w:ind w:firstLine="664" w:firstLineChars="200"/>
        <w:jc w:val="both"/>
        <w:outlineLvl w:val="1"/>
        <w:rPr>
          <w:rStyle w:val="13"/>
          <w:rFonts w:hint="eastAsia" w:ascii="方正仿宋_GBK" w:hAnsi="方正仿宋_GBK" w:eastAsia="方正仿宋_GBK" w:cs="方正仿宋_GBK"/>
          <w:b w:val="0"/>
          <w:color w:val="auto"/>
          <w:spacing w:val="6"/>
          <w:kern w:val="2"/>
          <w:sz w:val="32"/>
          <w:szCs w:val="32"/>
          <w:highlight w:val="none"/>
          <w:lang w:val="en-US" w:eastAsia="zh-CN" w:bidi="ar-SA"/>
        </w:rPr>
      </w:pPr>
      <w:r>
        <w:rPr>
          <w:rStyle w:val="13"/>
          <w:rFonts w:hint="eastAsia" w:ascii="方正仿宋_GBK" w:hAnsi="方正仿宋_GBK" w:eastAsia="方正仿宋_GBK" w:cs="方正仿宋_GBK"/>
          <w:b w:val="0"/>
          <w:color w:val="auto"/>
          <w:spacing w:val="6"/>
          <w:kern w:val="2"/>
          <w:sz w:val="32"/>
          <w:szCs w:val="32"/>
          <w:highlight w:val="none"/>
          <w:lang w:val="en-US" w:eastAsia="zh-CN" w:bidi="ar-SA"/>
        </w:rPr>
        <w:t>②健全了机关财务审核制度等各项规章制度，对资金使用情况都有月报分析，资金使用情况通过了县财政、县审计等有关部门的财务检查。</w:t>
      </w:r>
    </w:p>
    <w:p>
      <w:pPr>
        <w:spacing w:line="500" w:lineRule="exact"/>
        <w:ind w:firstLine="640" w:firstLineChars="200"/>
        <w:jc w:val="both"/>
        <w:outlineLvl w:val="1"/>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③</w:t>
      </w:r>
      <w:r>
        <w:rPr>
          <w:rStyle w:val="13"/>
          <w:rFonts w:hint="eastAsia" w:ascii="方正仿宋_GBK" w:hAnsi="方正仿宋_GBK" w:eastAsia="方正仿宋_GBK" w:cs="方正仿宋_GBK"/>
          <w:b w:val="0"/>
          <w:color w:val="auto"/>
          <w:spacing w:val="6"/>
          <w:kern w:val="2"/>
          <w:sz w:val="32"/>
          <w:szCs w:val="32"/>
          <w:highlight w:val="none"/>
          <w:lang w:val="en-US" w:eastAsia="zh-CN" w:bidi="ar-SA"/>
        </w:rPr>
        <w:t>资金管理都能做到严格审批手续，公开透明，并要求依法对资金使用情况进行监督管理。</w:t>
      </w:r>
    </w:p>
    <w:p>
      <w:pPr>
        <w:spacing w:line="500" w:lineRule="exact"/>
        <w:ind w:firstLine="640" w:firstLineChars="200"/>
        <w:jc w:val="both"/>
        <w:outlineLvl w:val="1"/>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color w:val="auto"/>
          <w:sz w:val="32"/>
          <w:szCs w:val="32"/>
        </w:rPr>
        <w:fldChar w:fldCharType="begin"/>
      </w:r>
      <w:r>
        <w:rPr>
          <w:rFonts w:hint="eastAsia" w:ascii="方正楷体_GBK" w:hAnsi="方正楷体_GBK" w:eastAsia="方正楷体_GBK" w:cs="方正楷体_GBK"/>
          <w:color w:val="auto"/>
          <w:sz w:val="32"/>
          <w:szCs w:val="32"/>
        </w:rPr>
        <w:instrText xml:space="preserve"> HYPERLINK \l "_Toc8046" </w:instrText>
      </w:r>
      <w:r>
        <w:rPr>
          <w:rFonts w:hint="eastAsia" w:ascii="方正楷体_GBK" w:hAnsi="方正楷体_GBK" w:eastAsia="方正楷体_GBK" w:cs="方正楷体_GBK"/>
          <w:color w:val="auto"/>
          <w:sz w:val="32"/>
          <w:szCs w:val="32"/>
        </w:rPr>
        <w:fldChar w:fldCharType="separate"/>
      </w:r>
      <w:bookmarkStart w:id="44" w:name="_Toc22227_WPSOffice_Level2"/>
      <w:bookmarkStart w:id="45" w:name="_Toc40791540"/>
      <w:r>
        <w:rPr>
          <w:rFonts w:hint="eastAsia" w:ascii="方正楷体_GBK" w:hAnsi="方正楷体_GBK" w:eastAsia="方正楷体_GBK" w:cs="方正楷体_GBK"/>
          <w:b/>
          <w:color w:val="auto"/>
          <w:sz w:val="32"/>
          <w:szCs w:val="32"/>
        </w:rPr>
        <w:t>（</w:t>
      </w:r>
      <w:r>
        <w:rPr>
          <w:rFonts w:hint="eastAsia" w:ascii="方正楷体_GBK" w:hAnsi="方正楷体_GBK" w:eastAsia="方正楷体_GBK" w:cs="方正楷体_GBK"/>
          <w:b/>
          <w:color w:val="auto"/>
          <w:sz w:val="32"/>
          <w:szCs w:val="32"/>
          <w:lang w:val="en-US" w:eastAsia="zh-CN"/>
        </w:rPr>
        <w:t>二</w:t>
      </w:r>
      <w:r>
        <w:rPr>
          <w:rFonts w:hint="eastAsia" w:ascii="方正楷体_GBK" w:hAnsi="方正楷体_GBK" w:eastAsia="方正楷体_GBK" w:cs="方正楷体_GBK"/>
          <w:b/>
          <w:color w:val="auto"/>
          <w:sz w:val="32"/>
          <w:szCs w:val="32"/>
        </w:rPr>
        <w:t>）部</w:t>
      </w:r>
      <w:r>
        <w:rPr>
          <w:rFonts w:hint="eastAsia" w:ascii="方正楷体_GBK" w:hAnsi="方正楷体_GBK" w:eastAsia="方正楷体_GBK" w:cs="方正楷体_GBK"/>
          <w:b/>
          <w:color w:val="auto"/>
          <w:sz w:val="32"/>
          <w:szCs w:val="32"/>
        </w:rPr>
        <w:fldChar w:fldCharType="end"/>
      </w:r>
      <w:r>
        <w:rPr>
          <w:rFonts w:hint="eastAsia" w:ascii="方正楷体_GBK" w:hAnsi="方正楷体_GBK" w:eastAsia="方正楷体_GBK" w:cs="方正楷体_GBK"/>
          <w:b/>
          <w:color w:val="auto"/>
          <w:sz w:val="32"/>
          <w:szCs w:val="32"/>
        </w:rPr>
        <w:t>门绩效目</w:t>
      </w:r>
      <w:bookmarkEnd w:id="44"/>
      <w:r>
        <w:rPr>
          <w:rFonts w:hint="eastAsia" w:ascii="方正楷体_GBK" w:hAnsi="方正楷体_GBK" w:eastAsia="方正楷体_GBK" w:cs="方正楷体_GBK"/>
          <w:b/>
          <w:color w:val="auto"/>
          <w:sz w:val="32"/>
          <w:szCs w:val="32"/>
        </w:rPr>
        <w:t>标</w:t>
      </w:r>
      <w:bookmarkEnd w:id="43"/>
      <w:bookmarkEnd w:id="45"/>
    </w:p>
    <w:p>
      <w:pPr>
        <w:pStyle w:val="16"/>
        <w:ind w:firstLine="562"/>
        <w:jc w:val="both"/>
        <w:rPr>
          <w:rFonts w:hint="eastAsia" w:ascii="方正仿宋_GBK" w:hAnsi="方正仿宋_GBK" w:eastAsia="方正仿宋_GBK" w:cs="方正仿宋_GBK"/>
          <w:b/>
          <w:color w:val="auto"/>
          <w:sz w:val="32"/>
          <w:szCs w:val="32"/>
        </w:rPr>
      </w:pPr>
      <w:r>
        <w:rPr>
          <w:rFonts w:hint="eastAsia" w:ascii="方正仿宋_GBK" w:hAnsi="方正仿宋_GBK" w:eastAsia="方正仿宋_GBK" w:cs="方正仿宋_GBK"/>
          <w:b/>
          <w:color w:val="auto"/>
          <w:sz w:val="32"/>
          <w:szCs w:val="32"/>
        </w:rPr>
        <w:t>1. 总体目标</w:t>
      </w:r>
    </w:p>
    <w:p>
      <w:pPr>
        <w:keepNext w:val="0"/>
        <w:keepLines w:val="0"/>
        <w:pageBreakBefore w:val="0"/>
        <w:widowControl/>
        <w:kinsoku/>
        <w:wordWrap/>
        <w:overflowPunct/>
        <w:topLinePunct w:val="0"/>
        <w:autoSpaceDE/>
        <w:autoSpaceDN/>
        <w:bidi w:val="0"/>
        <w:adjustRightInd w:val="0"/>
        <w:snapToGrid w:val="0"/>
        <w:spacing w:line="570" w:lineRule="atLeast"/>
        <w:ind w:firstLine="664" w:firstLineChars="200"/>
        <w:jc w:val="both"/>
        <w:textAlignment w:val="auto"/>
        <w:rPr>
          <w:rFonts w:hint="eastAsia" w:ascii="方正仿宋_GBK" w:hAnsi="方正仿宋_GBK" w:eastAsia="方正仿宋_GBK" w:cs="方正仿宋_GBK"/>
          <w:color w:val="auto"/>
          <w:spacing w:val="6"/>
          <w:sz w:val="32"/>
          <w:szCs w:val="32"/>
          <w:lang w:val="en-US" w:eastAsia="zh-CN"/>
        </w:rPr>
      </w:pPr>
      <w:r>
        <w:rPr>
          <w:rFonts w:hint="eastAsia" w:ascii="方正仿宋_GBK" w:hAnsi="方正仿宋_GBK" w:eastAsia="方正仿宋_GBK" w:cs="方正仿宋_GBK"/>
          <w:color w:val="auto"/>
          <w:spacing w:val="6"/>
          <w:sz w:val="32"/>
          <w:szCs w:val="32"/>
          <w:lang w:val="en-US" w:eastAsia="zh-CN"/>
        </w:rPr>
        <w:t>贯彻落实中共中央办公厅、国务院办公厅《地方党政领导干部食品安全责任制规定》、落实自治区《关于深化改革加强食品安全工作的若干措施及分工方案》和《实施地方党政领导干部食品安全责任制规定细则》要求和喀什地委、行署关于加强食品安全工作的安排部署，筑牢全县食品、药品、特种设备和产品质量“四大安全”底线。推进优化营商环境建设，持续推进信用体系建设，深化市场监管专项整治，优化服务供给，推进“放管服”改革，助推经济转型发展，持续优化营商环境。主动作为，深入开展市场监管行动，全力以赴保障人民群众息息相关的生活物品的供应充足、价格稳定、质量安全。严格规范行政执法行为，提高办案能力。</w:t>
      </w:r>
    </w:p>
    <w:p>
      <w:pPr>
        <w:pStyle w:val="16"/>
        <w:ind w:firstLine="562"/>
        <w:jc w:val="both"/>
        <w:rPr>
          <w:rFonts w:hint="eastAsia" w:ascii="方正仿宋_GBK" w:hAnsi="方正仿宋_GBK" w:eastAsia="方正仿宋_GBK" w:cs="方正仿宋_GBK"/>
          <w:b/>
          <w:color w:val="auto"/>
          <w:sz w:val="32"/>
          <w:szCs w:val="32"/>
        </w:rPr>
      </w:pPr>
      <w:r>
        <w:rPr>
          <w:rFonts w:hint="eastAsia" w:ascii="方正仿宋_GBK" w:hAnsi="方正仿宋_GBK" w:eastAsia="方正仿宋_GBK" w:cs="方正仿宋_GBK"/>
          <w:b/>
          <w:color w:val="auto"/>
          <w:sz w:val="32"/>
          <w:szCs w:val="32"/>
        </w:rPr>
        <w:t xml:space="preserve">2. </w:t>
      </w:r>
      <w:r>
        <w:rPr>
          <w:rFonts w:hint="eastAsia" w:ascii="方正仿宋_GBK" w:hAnsi="方正仿宋_GBK" w:eastAsia="方正仿宋_GBK" w:cs="方正仿宋_GBK"/>
          <w:b/>
          <w:color w:val="auto"/>
          <w:sz w:val="32"/>
          <w:szCs w:val="32"/>
          <w:lang w:eastAsia="zh-CN"/>
        </w:rPr>
        <w:t>阶段性</w:t>
      </w:r>
      <w:r>
        <w:rPr>
          <w:rFonts w:hint="eastAsia" w:ascii="方正仿宋_GBK" w:hAnsi="方正仿宋_GBK" w:eastAsia="方正仿宋_GBK" w:cs="方正仿宋_GBK"/>
          <w:b/>
          <w:color w:val="auto"/>
          <w:sz w:val="32"/>
          <w:szCs w:val="32"/>
        </w:rPr>
        <w:t>目标</w:t>
      </w:r>
    </w:p>
    <w:p>
      <w:pPr>
        <w:keepNext w:val="0"/>
        <w:keepLines w:val="0"/>
        <w:pageBreakBefore w:val="0"/>
        <w:widowControl/>
        <w:kinsoku/>
        <w:wordWrap/>
        <w:overflowPunct/>
        <w:topLinePunct w:val="0"/>
        <w:autoSpaceDE/>
        <w:autoSpaceDN/>
        <w:bidi w:val="0"/>
        <w:adjustRightInd w:val="0"/>
        <w:snapToGrid w:val="0"/>
        <w:spacing w:line="570" w:lineRule="atLeast"/>
        <w:ind w:firstLine="664" w:firstLineChars="200"/>
        <w:jc w:val="both"/>
        <w:textAlignment w:val="auto"/>
        <w:rPr>
          <w:rFonts w:hint="eastAsia" w:ascii="方正仿宋_GBK" w:hAnsi="方正仿宋_GBK" w:eastAsia="方正仿宋_GBK" w:cs="方正仿宋_GBK"/>
          <w:color w:val="auto"/>
          <w:spacing w:val="6"/>
          <w:sz w:val="32"/>
          <w:szCs w:val="32"/>
          <w:lang w:val="en-US" w:eastAsia="zh-CN"/>
        </w:rPr>
      </w:pPr>
      <w:r>
        <w:rPr>
          <w:rFonts w:hint="eastAsia" w:ascii="方正仿宋_GBK" w:hAnsi="方正仿宋_GBK" w:eastAsia="方正仿宋_GBK" w:cs="方正仿宋_GBK"/>
          <w:color w:val="auto"/>
          <w:spacing w:val="6"/>
          <w:sz w:val="32"/>
          <w:szCs w:val="32"/>
          <w:lang w:val="en-US" w:eastAsia="zh-CN"/>
        </w:rPr>
        <w:t>市监局2022年主要抓好四大安全监管工作、加强放管服改革，进一步优化营商环境、加快推进双随机、一公开监管工作，有效防范食品、药品产品质量及特种设备安全的风险，不断促进食品行业健康有序发展，经营行为规范化。</w:t>
      </w:r>
    </w:p>
    <w:p>
      <w:pPr>
        <w:keepNext w:val="0"/>
        <w:keepLines w:val="0"/>
        <w:pageBreakBefore w:val="0"/>
        <w:widowControl/>
        <w:kinsoku/>
        <w:wordWrap/>
        <w:overflowPunct/>
        <w:topLinePunct w:val="0"/>
        <w:autoSpaceDE/>
        <w:autoSpaceDN/>
        <w:bidi w:val="0"/>
        <w:adjustRightInd w:val="0"/>
        <w:snapToGrid w:val="0"/>
        <w:spacing w:line="570" w:lineRule="atLeast"/>
        <w:ind w:firstLine="664" w:firstLineChars="200"/>
        <w:jc w:val="both"/>
        <w:textAlignment w:val="auto"/>
        <w:rPr>
          <w:rFonts w:hint="eastAsia" w:ascii="方正仿宋_GBK" w:hAnsi="方正仿宋_GBK" w:eastAsia="方正仿宋_GBK" w:cs="方正仿宋_GBK"/>
          <w:color w:val="auto"/>
          <w:spacing w:val="6"/>
          <w:sz w:val="32"/>
          <w:szCs w:val="32"/>
          <w:lang w:val="en-US" w:eastAsia="zh-CN"/>
        </w:rPr>
      </w:pPr>
      <w:r>
        <w:rPr>
          <w:rFonts w:hint="eastAsia" w:ascii="方正仿宋_GBK" w:hAnsi="方正仿宋_GBK" w:eastAsia="方正仿宋_GBK" w:cs="方正仿宋_GBK"/>
          <w:color w:val="auto"/>
          <w:spacing w:val="6"/>
          <w:sz w:val="32"/>
          <w:szCs w:val="32"/>
          <w:lang w:val="en-US" w:eastAsia="zh-CN"/>
        </w:rPr>
        <w:t>根据部门各科室2022年工作计划，评价组对伽师县市场监督管理局在2022年的主要工作及工作目标进行了梳理归纳，详见表1-2。</w:t>
      </w:r>
    </w:p>
    <w:p>
      <w:pPr>
        <w:pStyle w:val="10"/>
        <w:spacing w:beforeAutospacing="0" w:afterAutospacing="0" w:line="500" w:lineRule="exact"/>
        <w:ind w:firstLine="2650" w:firstLineChars="1100"/>
        <w:jc w:val="both"/>
        <w:rPr>
          <w:rFonts w:ascii="Times New Roman" w:hAnsi="Times New Roman" w:cs="Times New Roman"/>
          <w:color w:val="auto"/>
          <w:szCs w:val="24"/>
        </w:rPr>
      </w:pPr>
      <w:r>
        <w:rPr>
          <w:rFonts w:ascii="Times New Roman" w:hAnsi="Times New Roman" w:eastAsia="仿宋_GB2312" w:cs="Times New Roman"/>
          <w:b/>
          <w:color w:val="auto"/>
          <w:szCs w:val="24"/>
        </w:rPr>
        <w:t>表1-</w:t>
      </w:r>
      <w:r>
        <w:rPr>
          <w:rFonts w:hint="eastAsia" w:ascii="Times New Roman" w:hAnsi="Times New Roman" w:eastAsia="仿宋_GB2312" w:cs="Times New Roman"/>
          <w:b/>
          <w:color w:val="auto"/>
          <w:szCs w:val="24"/>
          <w:lang w:val="en-US" w:eastAsia="zh-CN"/>
        </w:rPr>
        <w:t>2</w:t>
      </w:r>
      <w:r>
        <w:rPr>
          <w:rFonts w:ascii="Times New Roman" w:hAnsi="Times New Roman" w:eastAsia="仿宋_GB2312" w:cs="Times New Roman"/>
          <w:b/>
          <w:color w:val="auto"/>
          <w:szCs w:val="24"/>
        </w:rPr>
        <w:t>绩效目标表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045"/>
        <w:gridCol w:w="3969"/>
        <w:gridCol w:w="2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 w:hRule="atLeast"/>
          <w:tblHeader/>
        </w:trPr>
        <w:tc>
          <w:tcPr>
            <w:tcW w:w="2045" w:type="dxa"/>
            <w:shd w:val="clear" w:color="auto" w:fill="auto"/>
            <w:tcMar>
              <w:top w:w="60" w:type="dxa"/>
              <w:left w:w="60" w:type="dxa"/>
              <w:bottom w:w="45" w:type="dxa"/>
              <w:right w:w="60" w:type="dxa"/>
            </w:tcMar>
            <w:vAlign w:val="center"/>
          </w:tcPr>
          <w:p>
            <w:pPr>
              <w:widowControl/>
              <w:jc w:val="both"/>
              <w:textAlignment w:val="center"/>
              <w:rPr>
                <w:rFonts w:ascii="Times New Roman" w:hAnsi="Times New Roman" w:eastAsia="仿宋_GB2312" w:cs="Times New Roman"/>
                <w:b/>
                <w:bCs/>
                <w:color w:val="auto"/>
                <w:kern w:val="0"/>
                <w:sz w:val="22"/>
                <w:szCs w:val="22"/>
              </w:rPr>
            </w:pPr>
            <w:r>
              <w:rPr>
                <w:rFonts w:ascii="Times New Roman" w:hAnsi="Times New Roman" w:eastAsia="仿宋_GB2312" w:cs="Times New Roman"/>
                <w:b/>
                <w:bCs/>
                <w:color w:val="auto"/>
                <w:kern w:val="0"/>
                <w:sz w:val="22"/>
                <w:szCs w:val="22"/>
              </w:rPr>
              <w:t>分解目标内容</w:t>
            </w:r>
          </w:p>
        </w:tc>
        <w:tc>
          <w:tcPr>
            <w:tcW w:w="3969" w:type="dxa"/>
            <w:shd w:val="clear" w:color="auto" w:fill="auto"/>
            <w:tcMar>
              <w:top w:w="60" w:type="dxa"/>
              <w:left w:w="60" w:type="dxa"/>
              <w:bottom w:w="45" w:type="dxa"/>
              <w:right w:w="60" w:type="dxa"/>
            </w:tcMar>
            <w:vAlign w:val="center"/>
          </w:tcPr>
          <w:p>
            <w:pPr>
              <w:widowControl/>
              <w:jc w:val="both"/>
              <w:textAlignment w:val="center"/>
              <w:rPr>
                <w:rFonts w:ascii="Times New Roman" w:hAnsi="Times New Roman" w:eastAsia="仿宋_GB2312" w:cs="Times New Roman"/>
                <w:b/>
                <w:bCs/>
                <w:color w:val="auto"/>
                <w:kern w:val="0"/>
                <w:sz w:val="22"/>
                <w:szCs w:val="22"/>
              </w:rPr>
            </w:pPr>
            <w:r>
              <w:rPr>
                <w:rFonts w:ascii="Times New Roman" w:hAnsi="Times New Roman" w:eastAsia="仿宋_GB2312" w:cs="Times New Roman"/>
                <w:b/>
                <w:bCs/>
                <w:color w:val="auto"/>
                <w:kern w:val="0"/>
                <w:sz w:val="22"/>
                <w:szCs w:val="22"/>
              </w:rPr>
              <w:t>绩效指标</w:t>
            </w:r>
          </w:p>
        </w:tc>
        <w:tc>
          <w:tcPr>
            <w:tcW w:w="2401" w:type="dxa"/>
            <w:shd w:val="clear" w:color="auto" w:fill="auto"/>
            <w:tcMar>
              <w:top w:w="60" w:type="dxa"/>
              <w:left w:w="60" w:type="dxa"/>
              <w:bottom w:w="45" w:type="dxa"/>
              <w:right w:w="60" w:type="dxa"/>
            </w:tcMar>
            <w:vAlign w:val="center"/>
          </w:tcPr>
          <w:p>
            <w:pPr>
              <w:widowControl/>
              <w:jc w:val="both"/>
              <w:textAlignment w:val="center"/>
              <w:rPr>
                <w:rFonts w:ascii="Times New Roman" w:hAnsi="Times New Roman" w:eastAsia="仿宋_GB2312" w:cs="Times New Roman"/>
                <w:b/>
                <w:bCs/>
                <w:color w:val="auto"/>
                <w:kern w:val="0"/>
                <w:sz w:val="22"/>
                <w:szCs w:val="22"/>
              </w:rPr>
            </w:pPr>
            <w:r>
              <w:rPr>
                <w:rFonts w:ascii="Times New Roman" w:hAnsi="Times New Roman" w:eastAsia="仿宋_GB2312" w:cs="Times New Roman"/>
                <w:b/>
                <w:bCs/>
                <w:color w:val="auto"/>
                <w:kern w:val="0"/>
                <w:sz w:val="22"/>
                <w:szCs w:val="22"/>
              </w:rPr>
              <w:t>指标目标值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trPr>
        <w:tc>
          <w:tcPr>
            <w:tcW w:w="2045" w:type="dxa"/>
            <w:vMerge w:val="restart"/>
            <w:tcMar>
              <w:top w:w="60" w:type="dxa"/>
              <w:left w:w="60" w:type="dxa"/>
              <w:bottom w:w="45" w:type="dxa"/>
              <w:right w:w="60" w:type="dxa"/>
            </w:tcMar>
            <w:vAlign w:val="center"/>
          </w:tcPr>
          <w:p>
            <w:pPr>
              <w:widowControl/>
              <w:jc w:val="both"/>
              <w:textAlignment w:val="center"/>
              <w:rPr>
                <w:rFonts w:ascii="Times New Roman" w:hAnsi="Times New Roman" w:eastAsia="仿宋_GB2312" w:cs="Times New Roman"/>
                <w:color w:val="auto"/>
                <w:kern w:val="0"/>
                <w:sz w:val="22"/>
                <w:szCs w:val="22"/>
              </w:rPr>
            </w:pPr>
            <w:r>
              <w:rPr>
                <w:rFonts w:ascii="Times New Roman" w:hAnsi="Times New Roman" w:eastAsia="仿宋_GB2312" w:cs="Times New Roman"/>
                <w:color w:val="auto"/>
                <w:kern w:val="0"/>
                <w:sz w:val="22"/>
                <w:szCs w:val="22"/>
              </w:rPr>
              <w:t>数量指标</w:t>
            </w:r>
          </w:p>
        </w:tc>
        <w:tc>
          <w:tcPr>
            <w:tcW w:w="3969" w:type="dxa"/>
            <w:tcMar>
              <w:top w:w="60" w:type="dxa"/>
              <w:left w:w="60" w:type="dxa"/>
              <w:bottom w:w="45" w:type="dxa"/>
              <w:right w:w="60" w:type="dxa"/>
            </w:tcMar>
            <w:vAlign w:val="center"/>
          </w:tcPr>
          <w:p>
            <w:pPr>
              <w:widowControl/>
              <w:jc w:val="both"/>
              <w:textAlignment w:val="center"/>
              <w:rPr>
                <w:rFonts w:hint="default" w:ascii="Times New Roman" w:hAnsi="Times New Roman" w:eastAsia="仿宋_GB2312" w:cs="Times New Roman"/>
                <w:color w:val="auto"/>
                <w:kern w:val="0"/>
                <w:sz w:val="22"/>
                <w:szCs w:val="22"/>
                <w:lang w:val="en-US" w:eastAsia="zh-CN"/>
              </w:rPr>
            </w:pPr>
            <w:r>
              <w:rPr>
                <w:rFonts w:hint="eastAsia" w:ascii="Times New Roman" w:hAnsi="Times New Roman" w:eastAsia="仿宋_GB2312" w:cs="Times New Roman"/>
                <w:color w:val="auto"/>
                <w:kern w:val="0"/>
                <w:sz w:val="22"/>
                <w:szCs w:val="22"/>
                <w:lang w:val="en-US" w:eastAsia="zh-CN"/>
              </w:rPr>
              <w:t>保障在职人员人数（人)</w:t>
            </w:r>
          </w:p>
        </w:tc>
        <w:tc>
          <w:tcPr>
            <w:tcW w:w="2401" w:type="dxa"/>
            <w:tcMar>
              <w:top w:w="60" w:type="dxa"/>
              <w:left w:w="60" w:type="dxa"/>
              <w:bottom w:w="45" w:type="dxa"/>
              <w:right w:w="60" w:type="dxa"/>
            </w:tcMar>
            <w:vAlign w:val="center"/>
          </w:tcPr>
          <w:p>
            <w:pPr>
              <w:jc w:val="both"/>
              <w:rPr>
                <w:rFonts w:hint="eastAsia" w:ascii="Times New Roman" w:hAnsi="Times New Roman" w:eastAsia="仿宋_GB2312" w:cs="Times New Roman"/>
                <w:color w:val="auto"/>
                <w:sz w:val="22"/>
                <w:szCs w:val="22"/>
                <w:lang w:val="en-US" w:eastAsia="zh-CN"/>
              </w:rPr>
            </w:pPr>
            <w:r>
              <w:rPr>
                <w:rFonts w:hint="eastAsia" w:ascii="Times New Roman" w:hAnsi="Times New Roman" w:eastAsia="仿宋_GB2312" w:cs="Times New Roman"/>
                <w:color w:val="auto"/>
                <w:sz w:val="22"/>
                <w:szCs w:val="22"/>
              </w:rPr>
              <w:t>=4</w:t>
            </w:r>
            <w:r>
              <w:rPr>
                <w:rFonts w:hint="eastAsia" w:ascii="Times New Roman" w:hAnsi="Times New Roman" w:eastAsia="仿宋_GB2312" w:cs="Times New Roman"/>
                <w:color w:val="auto"/>
                <w:sz w:val="22"/>
                <w:szCs w:val="22"/>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trPr>
        <w:tc>
          <w:tcPr>
            <w:tcW w:w="2045" w:type="dxa"/>
            <w:vMerge w:val="continue"/>
            <w:tcMar>
              <w:top w:w="60" w:type="dxa"/>
              <w:left w:w="60" w:type="dxa"/>
              <w:bottom w:w="45" w:type="dxa"/>
              <w:right w:w="60" w:type="dxa"/>
            </w:tcMar>
            <w:vAlign w:val="center"/>
          </w:tcPr>
          <w:p>
            <w:pPr>
              <w:widowControl/>
              <w:jc w:val="both"/>
              <w:textAlignment w:val="center"/>
              <w:rPr>
                <w:rFonts w:ascii="Times New Roman" w:hAnsi="Times New Roman" w:eastAsia="仿宋_GB2312" w:cs="Times New Roman"/>
                <w:color w:val="auto"/>
                <w:kern w:val="0"/>
                <w:sz w:val="22"/>
                <w:szCs w:val="22"/>
              </w:rPr>
            </w:pPr>
          </w:p>
        </w:tc>
        <w:tc>
          <w:tcPr>
            <w:tcW w:w="3969" w:type="dxa"/>
            <w:tcMar>
              <w:top w:w="60" w:type="dxa"/>
              <w:left w:w="60" w:type="dxa"/>
              <w:bottom w:w="45" w:type="dxa"/>
              <w:right w:w="60" w:type="dxa"/>
            </w:tcMar>
            <w:vAlign w:val="center"/>
          </w:tcPr>
          <w:p>
            <w:pPr>
              <w:widowControl/>
              <w:jc w:val="both"/>
              <w:textAlignment w:val="center"/>
              <w:rPr>
                <w:rFonts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rPr>
              <w:t>保障退休及遗属人数（人）</w:t>
            </w:r>
          </w:p>
        </w:tc>
        <w:tc>
          <w:tcPr>
            <w:tcW w:w="2401" w:type="dxa"/>
            <w:tcMar>
              <w:top w:w="60" w:type="dxa"/>
              <w:left w:w="60" w:type="dxa"/>
              <w:bottom w:w="45" w:type="dxa"/>
              <w:right w:w="60" w:type="dxa"/>
            </w:tcMar>
            <w:vAlign w:val="center"/>
          </w:tcPr>
          <w:p>
            <w:pPr>
              <w:jc w:val="both"/>
              <w:rPr>
                <w:rFonts w:ascii="Times New Roman" w:hAnsi="Times New Roman" w:eastAsia="仿宋_GB2312" w:cs="Times New Roman"/>
                <w:color w:val="auto"/>
                <w:sz w:val="22"/>
                <w:szCs w:val="22"/>
              </w:rPr>
            </w:pPr>
            <w:r>
              <w:rPr>
                <w:rFonts w:hint="eastAsia" w:ascii="Times New Roman" w:hAnsi="Times New Roman" w:eastAsia="仿宋_GB2312" w:cs="Times New Roman"/>
                <w:color w:val="auto"/>
                <w:sz w:val="22"/>
                <w:szCs w:val="22"/>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trPr>
        <w:tc>
          <w:tcPr>
            <w:tcW w:w="2045" w:type="dxa"/>
            <w:vMerge w:val="continue"/>
            <w:tcMar>
              <w:top w:w="60" w:type="dxa"/>
              <w:left w:w="60" w:type="dxa"/>
              <w:bottom w:w="45" w:type="dxa"/>
              <w:right w:w="60" w:type="dxa"/>
            </w:tcMar>
            <w:vAlign w:val="center"/>
          </w:tcPr>
          <w:p>
            <w:pPr>
              <w:widowControl/>
              <w:jc w:val="both"/>
              <w:textAlignment w:val="center"/>
              <w:rPr>
                <w:rFonts w:ascii="Times New Roman" w:hAnsi="Times New Roman" w:eastAsia="仿宋_GB2312" w:cs="Times New Roman"/>
                <w:color w:val="auto"/>
                <w:sz w:val="22"/>
                <w:szCs w:val="22"/>
              </w:rPr>
            </w:pPr>
          </w:p>
        </w:tc>
        <w:tc>
          <w:tcPr>
            <w:tcW w:w="3969" w:type="dxa"/>
            <w:tcMar>
              <w:top w:w="60" w:type="dxa"/>
              <w:left w:w="60" w:type="dxa"/>
              <w:bottom w:w="45" w:type="dxa"/>
              <w:right w:w="60" w:type="dxa"/>
            </w:tcMar>
            <w:vAlign w:val="center"/>
          </w:tcPr>
          <w:p>
            <w:pPr>
              <w:widowControl/>
              <w:jc w:val="both"/>
              <w:textAlignment w:val="center"/>
              <w:rPr>
                <w:rFonts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rPr>
              <w:t>公务保障用车数量（辆）</w:t>
            </w:r>
          </w:p>
        </w:tc>
        <w:tc>
          <w:tcPr>
            <w:tcW w:w="2401" w:type="dxa"/>
            <w:tcMar>
              <w:top w:w="60" w:type="dxa"/>
              <w:left w:w="60" w:type="dxa"/>
              <w:bottom w:w="45" w:type="dxa"/>
              <w:right w:w="60" w:type="dxa"/>
            </w:tcMar>
            <w:vAlign w:val="center"/>
          </w:tcPr>
          <w:p>
            <w:pPr>
              <w:jc w:val="both"/>
              <w:rPr>
                <w:rFonts w:ascii="Times New Roman" w:hAnsi="Times New Roman" w:eastAsia="仿宋_GB2312" w:cs="Times New Roman"/>
                <w:color w:val="auto"/>
                <w:sz w:val="22"/>
                <w:szCs w:val="22"/>
              </w:rPr>
            </w:pPr>
            <w:r>
              <w:rPr>
                <w:rFonts w:hint="eastAsia" w:ascii="Times New Roman" w:hAnsi="Times New Roman" w:eastAsia="仿宋_GB2312" w:cs="Times New Roman"/>
                <w:color w:val="auto"/>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trPr>
        <w:tc>
          <w:tcPr>
            <w:tcW w:w="2045" w:type="dxa"/>
            <w:vMerge w:val="continue"/>
            <w:tcMar>
              <w:top w:w="60" w:type="dxa"/>
              <w:left w:w="60" w:type="dxa"/>
              <w:bottom w:w="45" w:type="dxa"/>
              <w:right w:w="60" w:type="dxa"/>
            </w:tcMar>
            <w:vAlign w:val="center"/>
          </w:tcPr>
          <w:p>
            <w:pPr>
              <w:widowControl/>
              <w:jc w:val="both"/>
              <w:textAlignment w:val="center"/>
              <w:rPr>
                <w:rFonts w:ascii="Times New Roman" w:hAnsi="Times New Roman" w:eastAsia="仿宋_GB2312" w:cs="Times New Roman"/>
                <w:color w:val="auto"/>
                <w:sz w:val="22"/>
                <w:szCs w:val="22"/>
              </w:rPr>
            </w:pPr>
          </w:p>
        </w:tc>
        <w:tc>
          <w:tcPr>
            <w:tcW w:w="3969" w:type="dxa"/>
            <w:tcMar>
              <w:top w:w="60" w:type="dxa"/>
              <w:left w:w="60" w:type="dxa"/>
              <w:bottom w:w="45" w:type="dxa"/>
              <w:right w:w="60" w:type="dxa"/>
            </w:tcMar>
            <w:vAlign w:val="center"/>
          </w:tcPr>
          <w:p>
            <w:pPr>
              <w:widowControl/>
              <w:jc w:val="both"/>
              <w:textAlignment w:val="center"/>
              <w:rPr>
                <w:rFonts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rPr>
              <w:t>房屋建筑物供暖面积（平方米）</w:t>
            </w:r>
          </w:p>
        </w:tc>
        <w:tc>
          <w:tcPr>
            <w:tcW w:w="2401" w:type="dxa"/>
            <w:tcMar>
              <w:top w:w="60" w:type="dxa"/>
              <w:left w:w="60" w:type="dxa"/>
              <w:bottom w:w="45" w:type="dxa"/>
              <w:right w:w="60" w:type="dxa"/>
            </w:tcMar>
            <w:vAlign w:val="center"/>
          </w:tcPr>
          <w:p>
            <w:pPr>
              <w:jc w:val="both"/>
              <w:rPr>
                <w:rFonts w:ascii="Times New Roman" w:hAnsi="Times New Roman" w:eastAsia="仿宋_GB2312" w:cs="Times New Roman"/>
                <w:color w:val="auto"/>
                <w:sz w:val="22"/>
                <w:szCs w:val="22"/>
              </w:rPr>
            </w:pPr>
            <w:r>
              <w:rPr>
                <w:rFonts w:hint="eastAsia" w:ascii="Times New Roman" w:hAnsi="Times New Roman" w:eastAsia="仿宋_GB2312" w:cs="Times New Roman"/>
                <w:color w:val="auto"/>
                <w:sz w:val="22"/>
                <w:szCs w:val="22"/>
              </w:rPr>
              <w:t>=3433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5" w:hRule="atLeast"/>
        </w:trPr>
        <w:tc>
          <w:tcPr>
            <w:tcW w:w="2045" w:type="dxa"/>
            <w:vMerge w:val="restart"/>
            <w:tcMar>
              <w:top w:w="60" w:type="dxa"/>
              <w:left w:w="60" w:type="dxa"/>
              <w:bottom w:w="45" w:type="dxa"/>
              <w:right w:w="60" w:type="dxa"/>
            </w:tcMar>
            <w:vAlign w:val="center"/>
          </w:tcPr>
          <w:p>
            <w:pPr>
              <w:widowControl/>
              <w:jc w:val="both"/>
              <w:textAlignment w:val="center"/>
              <w:rPr>
                <w:rFonts w:ascii="Times New Roman" w:hAnsi="Times New Roman" w:eastAsia="仿宋_GB2312" w:cs="Times New Roman"/>
                <w:color w:val="auto"/>
                <w:sz w:val="22"/>
                <w:szCs w:val="22"/>
              </w:rPr>
            </w:pPr>
            <w:r>
              <w:rPr>
                <w:rFonts w:ascii="Times New Roman" w:hAnsi="Times New Roman" w:eastAsia="仿宋_GB2312" w:cs="Times New Roman"/>
                <w:color w:val="auto"/>
                <w:kern w:val="0"/>
                <w:sz w:val="22"/>
                <w:szCs w:val="22"/>
              </w:rPr>
              <w:t>质量指标</w:t>
            </w:r>
          </w:p>
        </w:tc>
        <w:tc>
          <w:tcPr>
            <w:tcW w:w="3969" w:type="dxa"/>
            <w:tcMar>
              <w:top w:w="60" w:type="dxa"/>
              <w:left w:w="60" w:type="dxa"/>
              <w:bottom w:w="45" w:type="dxa"/>
              <w:right w:w="60" w:type="dxa"/>
            </w:tcMar>
            <w:vAlign w:val="center"/>
          </w:tcPr>
          <w:p>
            <w:pPr>
              <w:widowControl/>
              <w:jc w:val="both"/>
              <w:textAlignment w:val="center"/>
              <w:rPr>
                <w:rFonts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rPr>
              <w:t>工资及补助发放率（%）</w:t>
            </w:r>
          </w:p>
        </w:tc>
        <w:tc>
          <w:tcPr>
            <w:tcW w:w="2401" w:type="dxa"/>
            <w:tcMar>
              <w:top w:w="60" w:type="dxa"/>
              <w:left w:w="60" w:type="dxa"/>
              <w:bottom w:w="45" w:type="dxa"/>
              <w:right w:w="60" w:type="dxa"/>
            </w:tcMar>
            <w:vAlign w:val="center"/>
          </w:tcPr>
          <w:p>
            <w:pPr>
              <w:jc w:val="both"/>
              <w:rPr>
                <w:rFonts w:ascii="Times New Roman" w:hAnsi="Times New Roman" w:eastAsia="仿宋_GB2312" w:cs="Times New Roman"/>
                <w:color w:val="auto"/>
                <w:sz w:val="22"/>
                <w:szCs w:val="22"/>
              </w:rPr>
            </w:pPr>
            <w:r>
              <w:rPr>
                <w:rFonts w:ascii="Times New Roman" w:hAnsi="Times New Roman" w:eastAsia="仿宋_GB2312" w:cs="Times New Roman"/>
                <w:color w:val="auto"/>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trPr>
        <w:tc>
          <w:tcPr>
            <w:tcW w:w="2045" w:type="dxa"/>
            <w:vMerge w:val="continue"/>
            <w:tcMar>
              <w:top w:w="60" w:type="dxa"/>
              <w:left w:w="60" w:type="dxa"/>
              <w:bottom w:w="45" w:type="dxa"/>
              <w:right w:w="60" w:type="dxa"/>
            </w:tcMar>
            <w:vAlign w:val="center"/>
          </w:tcPr>
          <w:p>
            <w:pPr>
              <w:widowControl/>
              <w:jc w:val="both"/>
              <w:textAlignment w:val="center"/>
              <w:rPr>
                <w:rFonts w:ascii="Times New Roman" w:hAnsi="Times New Roman" w:eastAsia="仿宋_GB2312" w:cs="Times New Roman"/>
                <w:color w:val="auto"/>
                <w:sz w:val="22"/>
                <w:szCs w:val="22"/>
              </w:rPr>
            </w:pPr>
          </w:p>
        </w:tc>
        <w:tc>
          <w:tcPr>
            <w:tcW w:w="3969" w:type="dxa"/>
            <w:tcMar>
              <w:top w:w="60" w:type="dxa"/>
              <w:left w:w="60" w:type="dxa"/>
              <w:bottom w:w="45" w:type="dxa"/>
              <w:right w:w="60" w:type="dxa"/>
            </w:tcMar>
            <w:vAlign w:val="center"/>
          </w:tcPr>
          <w:p>
            <w:pPr>
              <w:widowControl/>
              <w:jc w:val="both"/>
              <w:textAlignment w:val="center"/>
              <w:rPr>
                <w:rFonts w:ascii="Times New Roman" w:hAnsi="Times New Roman" w:eastAsia="仿宋_GB2312" w:cs="Times New Roman"/>
                <w:color w:val="auto"/>
                <w:kern w:val="0"/>
                <w:sz w:val="22"/>
                <w:szCs w:val="22"/>
              </w:rPr>
            </w:pPr>
            <w:r>
              <w:rPr>
                <w:rFonts w:hint="eastAsia" w:ascii="Times New Roman" w:hAnsi="Times New Roman" w:eastAsia="仿宋_GB2312" w:cs="Times New Roman"/>
                <w:bCs/>
                <w:color w:val="auto"/>
                <w:kern w:val="0"/>
                <w:sz w:val="22"/>
                <w:szCs w:val="22"/>
                <w:lang w:val="zh-CN"/>
              </w:rPr>
              <w:t>保障车辆及办公设备正常运转率（%）</w:t>
            </w:r>
          </w:p>
        </w:tc>
        <w:tc>
          <w:tcPr>
            <w:tcW w:w="2401" w:type="dxa"/>
            <w:tcMar>
              <w:top w:w="60" w:type="dxa"/>
              <w:left w:w="60" w:type="dxa"/>
              <w:bottom w:w="45" w:type="dxa"/>
              <w:right w:w="60" w:type="dxa"/>
            </w:tcMar>
            <w:vAlign w:val="center"/>
          </w:tcPr>
          <w:p>
            <w:pPr>
              <w:jc w:val="both"/>
              <w:rPr>
                <w:rFonts w:ascii="Times New Roman" w:hAnsi="Times New Roman" w:eastAsia="仿宋_GB2312" w:cs="Times New Roman"/>
                <w:color w:val="auto"/>
                <w:sz w:val="22"/>
                <w:szCs w:val="22"/>
              </w:rPr>
            </w:pPr>
            <w:r>
              <w:rPr>
                <w:rFonts w:ascii="Times New Roman" w:hAnsi="Times New Roman" w:eastAsia="仿宋_GB2312" w:cs="Times New Roman"/>
                <w:color w:val="auto"/>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trPr>
        <w:tc>
          <w:tcPr>
            <w:tcW w:w="2045" w:type="dxa"/>
            <w:vMerge w:val="continue"/>
            <w:tcMar>
              <w:top w:w="60" w:type="dxa"/>
              <w:left w:w="60" w:type="dxa"/>
              <w:bottom w:w="45" w:type="dxa"/>
              <w:right w:w="60" w:type="dxa"/>
            </w:tcMar>
            <w:vAlign w:val="center"/>
          </w:tcPr>
          <w:p>
            <w:pPr>
              <w:widowControl/>
              <w:jc w:val="both"/>
              <w:textAlignment w:val="center"/>
              <w:rPr>
                <w:rFonts w:ascii="Times New Roman" w:hAnsi="Times New Roman" w:eastAsia="仿宋_GB2312" w:cs="Times New Roman"/>
                <w:color w:val="auto"/>
                <w:sz w:val="22"/>
                <w:szCs w:val="22"/>
              </w:rPr>
            </w:pPr>
          </w:p>
        </w:tc>
        <w:tc>
          <w:tcPr>
            <w:tcW w:w="3969" w:type="dxa"/>
            <w:tcMar>
              <w:top w:w="60" w:type="dxa"/>
              <w:left w:w="60" w:type="dxa"/>
              <w:bottom w:w="45" w:type="dxa"/>
              <w:right w:w="60" w:type="dxa"/>
            </w:tcMar>
            <w:vAlign w:val="center"/>
          </w:tcPr>
          <w:p>
            <w:pPr>
              <w:widowControl/>
              <w:jc w:val="both"/>
              <w:textAlignment w:val="center"/>
              <w:rPr>
                <w:rFonts w:hint="default" w:ascii="Times New Roman" w:hAnsi="Times New Roman" w:eastAsia="仿宋_GB2312" w:cs="Times New Roman"/>
                <w:bCs/>
                <w:color w:val="auto"/>
                <w:kern w:val="0"/>
                <w:sz w:val="22"/>
                <w:szCs w:val="22"/>
                <w:lang w:val="en-US" w:eastAsia="zh-CN"/>
              </w:rPr>
            </w:pPr>
            <w:r>
              <w:rPr>
                <w:rFonts w:hint="eastAsia" w:ascii="Times New Roman" w:hAnsi="Times New Roman" w:eastAsia="仿宋_GB2312" w:cs="Times New Roman"/>
                <w:bCs/>
                <w:color w:val="auto"/>
                <w:kern w:val="0"/>
                <w:sz w:val="22"/>
                <w:szCs w:val="22"/>
                <w:lang w:val="en-US" w:eastAsia="zh-CN"/>
              </w:rPr>
              <w:t>部门预算资金到位率（%）</w:t>
            </w:r>
          </w:p>
        </w:tc>
        <w:tc>
          <w:tcPr>
            <w:tcW w:w="2401" w:type="dxa"/>
            <w:tcMar>
              <w:top w:w="60" w:type="dxa"/>
              <w:left w:w="60" w:type="dxa"/>
              <w:bottom w:w="45" w:type="dxa"/>
              <w:right w:w="60" w:type="dxa"/>
            </w:tcMar>
            <w:vAlign w:val="center"/>
          </w:tcPr>
          <w:p>
            <w:pPr>
              <w:jc w:val="both"/>
              <w:rPr>
                <w:rFonts w:ascii="Times New Roman" w:hAnsi="Times New Roman" w:eastAsia="仿宋_GB2312" w:cs="Times New Roman"/>
                <w:color w:val="auto"/>
                <w:sz w:val="22"/>
                <w:szCs w:val="22"/>
              </w:rPr>
            </w:pPr>
            <w:r>
              <w:rPr>
                <w:rFonts w:ascii="Times New Roman" w:hAnsi="Times New Roman" w:eastAsia="仿宋_GB2312" w:cs="Times New Roman"/>
                <w:color w:val="auto"/>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 w:hRule="atLeast"/>
        </w:trPr>
        <w:tc>
          <w:tcPr>
            <w:tcW w:w="2045" w:type="dxa"/>
            <w:vMerge w:val="restart"/>
            <w:tcMar>
              <w:top w:w="60" w:type="dxa"/>
              <w:left w:w="60" w:type="dxa"/>
              <w:bottom w:w="45" w:type="dxa"/>
              <w:right w:w="60" w:type="dxa"/>
            </w:tcMar>
            <w:vAlign w:val="center"/>
          </w:tcPr>
          <w:p>
            <w:pPr>
              <w:widowControl/>
              <w:jc w:val="both"/>
              <w:textAlignment w:val="center"/>
              <w:rPr>
                <w:rFonts w:ascii="Times New Roman" w:hAnsi="Times New Roman" w:eastAsia="仿宋_GB2312" w:cs="Times New Roman"/>
                <w:color w:val="auto"/>
                <w:sz w:val="22"/>
                <w:szCs w:val="22"/>
              </w:rPr>
            </w:pPr>
            <w:r>
              <w:rPr>
                <w:rFonts w:ascii="Times New Roman" w:hAnsi="Times New Roman" w:eastAsia="仿宋_GB2312" w:cs="Times New Roman"/>
                <w:color w:val="auto"/>
                <w:kern w:val="0"/>
                <w:sz w:val="22"/>
                <w:szCs w:val="22"/>
              </w:rPr>
              <w:t>时效指标</w:t>
            </w:r>
          </w:p>
        </w:tc>
        <w:tc>
          <w:tcPr>
            <w:tcW w:w="3969" w:type="dxa"/>
            <w:tcMar>
              <w:top w:w="60" w:type="dxa"/>
              <w:left w:w="60" w:type="dxa"/>
              <w:bottom w:w="45" w:type="dxa"/>
              <w:right w:w="60" w:type="dxa"/>
            </w:tcMar>
            <w:vAlign w:val="center"/>
          </w:tcPr>
          <w:p>
            <w:pPr>
              <w:widowControl/>
              <w:jc w:val="both"/>
              <w:textAlignment w:val="center"/>
              <w:rPr>
                <w:rFonts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rPr>
              <w:t>工资及补助发放及时率（%）</w:t>
            </w:r>
          </w:p>
        </w:tc>
        <w:tc>
          <w:tcPr>
            <w:tcW w:w="2401" w:type="dxa"/>
            <w:tcMar>
              <w:top w:w="60" w:type="dxa"/>
              <w:left w:w="60" w:type="dxa"/>
              <w:bottom w:w="45" w:type="dxa"/>
              <w:right w:w="60" w:type="dxa"/>
            </w:tcMar>
            <w:vAlign w:val="center"/>
          </w:tcPr>
          <w:p>
            <w:pPr>
              <w:jc w:val="both"/>
              <w:rPr>
                <w:rFonts w:ascii="Times New Roman" w:hAnsi="Times New Roman" w:eastAsia="仿宋_GB2312" w:cs="Times New Roman"/>
                <w:color w:val="auto"/>
                <w:sz w:val="22"/>
                <w:szCs w:val="22"/>
              </w:rPr>
            </w:pPr>
            <w:r>
              <w:rPr>
                <w:rFonts w:ascii="Times New Roman" w:hAnsi="Times New Roman" w:eastAsia="仿宋_GB2312" w:cs="Times New Roman"/>
                <w:color w:val="auto"/>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 w:hRule="atLeast"/>
        </w:trPr>
        <w:tc>
          <w:tcPr>
            <w:tcW w:w="2045" w:type="dxa"/>
            <w:vMerge w:val="continue"/>
            <w:tcMar>
              <w:top w:w="60" w:type="dxa"/>
              <w:left w:w="60" w:type="dxa"/>
              <w:bottom w:w="45" w:type="dxa"/>
              <w:right w:w="60" w:type="dxa"/>
            </w:tcMar>
            <w:vAlign w:val="center"/>
          </w:tcPr>
          <w:p>
            <w:pPr>
              <w:widowControl/>
              <w:jc w:val="both"/>
              <w:textAlignment w:val="center"/>
              <w:rPr>
                <w:rFonts w:ascii="Times New Roman" w:hAnsi="Times New Roman" w:eastAsia="仿宋_GB2312" w:cs="Times New Roman"/>
                <w:color w:val="auto"/>
                <w:kern w:val="0"/>
                <w:sz w:val="22"/>
                <w:szCs w:val="22"/>
              </w:rPr>
            </w:pPr>
          </w:p>
        </w:tc>
        <w:tc>
          <w:tcPr>
            <w:tcW w:w="3969" w:type="dxa"/>
            <w:tcMar>
              <w:top w:w="60" w:type="dxa"/>
              <w:left w:w="60" w:type="dxa"/>
              <w:bottom w:w="45" w:type="dxa"/>
              <w:right w:w="60" w:type="dxa"/>
            </w:tcMar>
            <w:vAlign w:val="center"/>
          </w:tcPr>
          <w:p>
            <w:pPr>
              <w:widowControl/>
              <w:jc w:val="both"/>
              <w:textAlignment w:val="center"/>
              <w:rPr>
                <w:rFonts w:hint="eastAsia"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rPr>
              <w:t>项目截止期限</w:t>
            </w:r>
          </w:p>
        </w:tc>
        <w:tc>
          <w:tcPr>
            <w:tcW w:w="2401" w:type="dxa"/>
            <w:tcMar>
              <w:top w:w="60" w:type="dxa"/>
              <w:left w:w="60" w:type="dxa"/>
              <w:bottom w:w="45" w:type="dxa"/>
              <w:right w:w="60" w:type="dxa"/>
            </w:tcMar>
            <w:vAlign w:val="center"/>
          </w:tcPr>
          <w:p>
            <w:pPr>
              <w:jc w:val="both"/>
              <w:rPr>
                <w:rFonts w:hint="eastAsia" w:ascii="Times New Roman" w:hAnsi="Times New Roman" w:eastAsia="仿宋_GB2312" w:cs="Times New Roman"/>
                <w:color w:val="auto"/>
                <w:sz w:val="22"/>
                <w:szCs w:val="22"/>
              </w:rPr>
            </w:pPr>
            <w:r>
              <w:rPr>
                <w:rFonts w:hint="eastAsia" w:ascii="Times New Roman" w:hAnsi="Times New Roman" w:eastAsia="仿宋_GB2312" w:cs="Times New Roman"/>
                <w:color w:val="auto"/>
                <w:sz w:val="22"/>
                <w:szCs w:val="22"/>
              </w:rPr>
              <w:t>2022年12月20日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 w:hRule="atLeast"/>
        </w:trPr>
        <w:tc>
          <w:tcPr>
            <w:tcW w:w="2045" w:type="dxa"/>
            <w:vMerge w:val="continue"/>
            <w:tcMar>
              <w:top w:w="60" w:type="dxa"/>
              <w:left w:w="60" w:type="dxa"/>
              <w:bottom w:w="45" w:type="dxa"/>
              <w:right w:w="60" w:type="dxa"/>
            </w:tcMar>
            <w:vAlign w:val="center"/>
          </w:tcPr>
          <w:p>
            <w:pPr>
              <w:widowControl/>
              <w:jc w:val="both"/>
              <w:textAlignment w:val="center"/>
              <w:rPr>
                <w:rFonts w:ascii="Times New Roman" w:hAnsi="Times New Roman" w:eastAsia="仿宋_GB2312" w:cs="Times New Roman"/>
                <w:color w:val="auto"/>
                <w:kern w:val="0"/>
                <w:sz w:val="22"/>
                <w:szCs w:val="22"/>
              </w:rPr>
            </w:pPr>
          </w:p>
        </w:tc>
        <w:tc>
          <w:tcPr>
            <w:tcW w:w="3969" w:type="dxa"/>
            <w:tcMar>
              <w:top w:w="60" w:type="dxa"/>
              <w:left w:w="60" w:type="dxa"/>
              <w:bottom w:w="45" w:type="dxa"/>
              <w:right w:w="60" w:type="dxa"/>
            </w:tcMar>
            <w:vAlign w:val="center"/>
          </w:tcPr>
          <w:p>
            <w:pPr>
              <w:widowControl/>
              <w:jc w:val="both"/>
              <w:textAlignment w:val="center"/>
              <w:rPr>
                <w:rFonts w:hint="eastAsia"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rPr>
              <w:t>公用经费支付及时率（%）</w:t>
            </w:r>
          </w:p>
        </w:tc>
        <w:tc>
          <w:tcPr>
            <w:tcW w:w="2401" w:type="dxa"/>
            <w:tcMar>
              <w:top w:w="60" w:type="dxa"/>
              <w:left w:w="60" w:type="dxa"/>
              <w:bottom w:w="45" w:type="dxa"/>
              <w:right w:w="60" w:type="dxa"/>
            </w:tcMar>
            <w:vAlign w:val="center"/>
          </w:tcPr>
          <w:p>
            <w:pPr>
              <w:jc w:val="both"/>
              <w:rPr>
                <w:rFonts w:ascii="Times New Roman" w:hAnsi="Times New Roman" w:eastAsia="仿宋_GB2312" w:cs="Times New Roman"/>
                <w:color w:val="auto"/>
                <w:sz w:val="22"/>
                <w:szCs w:val="22"/>
              </w:rPr>
            </w:pPr>
            <w:r>
              <w:rPr>
                <w:rFonts w:hint="eastAsia"/>
                <w:color w:val="auto"/>
              </w:rPr>
              <w:t>&gt;=95%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 w:hRule="atLeast"/>
        </w:trPr>
        <w:tc>
          <w:tcPr>
            <w:tcW w:w="2045" w:type="dxa"/>
            <w:vMerge w:val="restart"/>
            <w:tcMar>
              <w:top w:w="60" w:type="dxa"/>
              <w:left w:w="60" w:type="dxa"/>
              <w:bottom w:w="45" w:type="dxa"/>
              <w:right w:w="60" w:type="dxa"/>
            </w:tcMar>
            <w:vAlign w:val="center"/>
          </w:tcPr>
          <w:p>
            <w:pPr>
              <w:widowControl/>
              <w:jc w:val="both"/>
              <w:textAlignment w:val="center"/>
              <w:rPr>
                <w:rFonts w:ascii="Times New Roman" w:hAnsi="Times New Roman" w:eastAsia="仿宋_GB2312" w:cs="Times New Roman"/>
                <w:color w:val="auto"/>
                <w:sz w:val="22"/>
                <w:szCs w:val="22"/>
              </w:rPr>
            </w:pPr>
            <w:r>
              <w:rPr>
                <w:rFonts w:ascii="Times New Roman" w:hAnsi="Times New Roman" w:eastAsia="仿宋_GB2312" w:cs="Times New Roman"/>
                <w:color w:val="auto"/>
                <w:kern w:val="0"/>
                <w:sz w:val="22"/>
                <w:szCs w:val="22"/>
              </w:rPr>
              <w:t>成本指标</w:t>
            </w:r>
          </w:p>
        </w:tc>
        <w:tc>
          <w:tcPr>
            <w:tcW w:w="3969" w:type="dxa"/>
            <w:tcMar>
              <w:top w:w="60" w:type="dxa"/>
              <w:left w:w="60" w:type="dxa"/>
              <w:bottom w:w="45" w:type="dxa"/>
              <w:right w:w="60" w:type="dxa"/>
            </w:tcMar>
            <w:vAlign w:val="center"/>
          </w:tcPr>
          <w:p>
            <w:pPr>
              <w:widowControl/>
              <w:jc w:val="both"/>
              <w:textAlignment w:val="center"/>
              <w:rPr>
                <w:rFonts w:hint="default" w:ascii="Times New Roman" w:hAnsi="Times New Roman" w:eastAsia="仿宋_GB2312" w:cs="Times New Roman"/>
                <w:color w:val="auto"/>
                <w:kern w:val="0"/>
                <w:sz w:val="22"/>
                <w:szCs w:val="22"/>
                <w:lang w:val="en-US" w:eastAsia="zh-CN"/>
              </w:rPr>
            </w:pPr>
            <w:r>
              <w:rPr>
                <w:rFonts w:hint="eastAsia" w:ascii="Times New Roman" w:hAnsi="Times New Roman" w:eastAsia="仿宋_GB2312" w:cs="Times New Roman"/>
                <w:color w:val="auto"/>
                <w:kern w:val="0"/>
                <w:sz w:val="22"/>
                <w:szCs w:val="22"/>
                <w:lang w:val="en-US" w:eastAsia="zh-CN"/>
              </w:rPr>
              <w:t>人员经费支出总额（万元）</w:t>
            </w:r>
          </w:p>
        </w:tc>
        <w:tc>
          <w:tcPr>
            <w:tcW w:w="2401" w:type="dxa"/>
            <w:tcMar>
              <w:top w:w="60" w:type="dxa"/>
              <w:left w:w="60" w:type="dxa"/>
              <w:bottom w:w="45" w:type="dxa"/>
              <w:right w:w="60" w:type="dxa"/>
            </w:tcMar>
            <w:vAlign w:val="center"/>
          </w:tcPr>
          <w:p>
            <w:pPr>
              <w:jc w:val="both"/>
              <w:rPr>
                <w:rFonts w:hint="default" w:ascii="Times New Roman" w:hAnsi="Times New Roman" w:eastAsia="仿宋_GB2312" w:cs="Times New Roman"/>
                <w:color w:val="auto"/>
                <w:sz w:val="22"/>
                <w:szCs w:val="22"/>
                <w:lang w:val="en-US" w:eastAsia="zh-CN"/>
              </w:rPr>
            </w:pPr>
            <w:r>
              <w:rPr>
                <w:rFonts w:hint="eastAsia" w:ascii="Times New Roman" w:hAnsi="Times New Roman" w:eastAsia="仿宋_GB2312" w:cs="Times New Roman"/>
                <w:color w:val="auto"/>
                <w:sz w:val="22"/>
                <w:szCs w:val="22"/>
              </w:rPr>
              <w:t>&lt;=</w:t>
            </w:r>
            <w:r>
              <w:rPr>
                <w:rFonts w:hint="eastAsia" w:ascii="Times New Roman" w:hAnsi="Times New Roman" w:eastAsia="仿宋_GB2312" w:cs="Times New Roman"/>
                <w:color w:val="auto"/>
                <w:sz w:val="22"/>
                <w:szCs w:val="22"/>
                <w:lang w:val="en-US" w:eastAsia="zh-CN"/>
              </w:rPr>
              <w:t>700.51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 w:hRule="atLeast"/>
        </w:trPr>
        <w:tc>
          <w:tcPr>
            <w:tcW w:w="2045" w:type="dxa"/>
            <w:vMerge w:val="continue"/>
            <w:tcMar>
              <w:top w:w="60" w:type="dxa"/>
              <w:left w:w="60" w:type="dxa"/>
              <w:bottom w:w="45" w:type="dxa"/>
              <w:right w:w="60" w:type="dxa"/>
            </w:tcMar>
            <w:vAlign w:val="center"/>
          </w:tcPr>
          <w:p>
            <w:pPr>
              <w:widowControl/>
              <w:jc w:val="both"/>
              <w:textAlignment w:val="center"/>
              <w:rPr>
                <w:rFonts w:ascii="Times New Roman" w:hAnsi="Times New Roman" w:eastAsia="仿宋_GB2312" w:cs="Times New Roman"/>
                <w:color w:val="auto"/>
                <w:kern w:val="0"/>
                <w:sz w:val="22"/>
                <w:szCs w:val="22"/>
              </w:rPr>
            </w:pPr>
          </w:p>
        </w:tc>
        <w:tc>
          <w:tcPr>
            <w:tcW w:w="3969" w:type="dxa"/>
            <w:tcMar>
              <w:top w:w="60" w:type="dxa"/>
              <w:left w:w="60" w:type="dxa"/>
              <w:bottom w:w="45" w:type="dxa"/>
              <w:right w:w="60" w:type="dxa"/>
            </w:tcMar>
            <w:vAlign w:val="center"/>
          </w:tcPr>
          <w:p>
            <w:pPr>
              <w:widowControl/>
              <w:jc w:val="both"/>
              <w:textAlignment w:val="center"/>
              <w:rPr>
                <w:rFonts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rPr>
              <w:t>全年保运转经费总额（万元）</w:t>
            </w:r>
          </w:p>
        </w:tc>
        <w:tc>
          <w:tcPr>
            <w:tcW w:w="2401" w:type="dxa"/>
            <w:tcMar>
              <w:top w:w="60" w:type="dxa"/>
              <w:left w:w="60" w:type="dxa"/>
              <w:bottom w:w="45" w:type="dxa"/>
              <w:right w:w="60" w:type="dxa"/>
            </w:tcMar>
            <w:vAlign w:val="center"/>
          </w:tcPr>
          <w:p>
            <w:pPr>
              <w:jc w:val="both"/>
              <w:rPr>
                <w:rFonts w:hint="default" w:ascii="Times New Roman" w:hAnsi="Times New Roman" w:eastAsia="仿宋_GB2312" w:cs="Times New Roman"/>
                <w:color w:val="auto"/>
                <w:sz w:val="22"/>
                <w:szCs w:val="22"/>
                <w:lang w:val="en-US" w:eastAsia="zh-CN"/>
              </w:rPr>
            </w:pPr>
            <w:r>
              <w:rPr>
                <w:rFonts w:hint="eastAsia" w:ascii="Times New Roman" w:hAnsi="Times New Roman" w:eastAsia="仿宋_GB2312" w:cs="Times New Roman"/>
                <w:color w:val="auto"/>
                <w:sz w:val="22"/>
                <w:szCs w:val="22"/>
              </w:rPr>
              <w:t>&lt;=</w:t>
            </w:r>
            <w:r>
              <w:rPr>
                <w:rFonts w:hint="eastAsia" w:ascii="Times New Roman" w:hAnsi="Times New Roman" w:eastAsia="仿宋_GB2312" w:cs="Times New Roman"/>
                <w:color w:val="auto"/>
                <w:sz w:val="22"/>
                <w:szCs w:val="22"/>
                <w:lang w:val="en-US" w:eastAsia="zh-CN"/>
              </w:rPr>
              <w:t>28.93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trPr>
        <w:tc>
          <w:tcPr>
            <w:tcW w:w="2045" w:type="dxa"/>
            <w:tcMar>
              <w:top w:w="60" w:type="dxa"/>
              <w:left w:w="60" w:type="dxa"/>
              <w:bottom w:w="45" w:type="dxa"/>
              <w:right w:w="60" w:type="dxa"/>
            </w:tcMar>
            <w:vAlign w:val="center"/>
          </w:tcPr>
          <w:p>
            <w:pPr>
              <w:widowControl/>
              <w:jc w:val="both"/>
              <w:textAlignment w:val="center"/>
              <w:rPr>
                <w:rFonts w:ascii="Times New Roman" w:hAnsi="Times New Roman" w:eastAsia="仿宋_GB2312" w:cs="Times New Roman"/>
                <w:color w:val="auto"/>
                <w:sz w:val="22"/>
                <w:szCs w:val="22"/>
              </w:rPr>
            </w:pPr>
            <w:r>
              <w:rPr>
                <w:rFonts w:ascii="Times New Roman" w:hAnsi="Times New Roman" w:eastAsia="仿宋_GB2312" w:cs="Times New Roman"/>
                <w:color w:val="auto"/>
                <w:kern w:val="0"/>
                <w:sz w:val="22"/>
                <w:szCs w:val="22"/>
              </w:rPr>
              <w:t>社会效益指标</w:t>
            </w:r>
          </w:p>
        </w:tc>
        <w:tc>
          <w:tcPr>
            <w:tcW w:w="3969" w:type="dxa"/>
            <w:tcMar>
              <w:top w:w="60" w:type="dxa"/>
              <w:left w:w="60" w:type="dxa"/>
              <w:bottom w:w="45" w:type="dxa"/>
              <w:right w:w="60" w:type="dxa"/>
            </w:tcMar>
            <w:vAlign w:val="center"/>
          </w:tcPr>
          <w:p>
            <w:pPr>
              <w:widowControl/>
              <w:jc w:val="both"/>
              <w:textAlignment w:val="center"/>
              <w:rPr>
                <w:rFonts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rPr>
              <w:t>降低四大安全风险</w:t>
            </w:r>
          </w:p>
        </w:tc>
        <w:tc>
          <w:tcPr>
            <w:tcW w:w="2401" w:type="dxa"/>
            <w:tcMar>
              <w:top w:w="60" w:type="dxa"/>
              <w:left w:w="60" w:type="dxa"/>
              <w:bottom w:w="45" w:type="dxa"/>
              <w:right w:w="60" w:type="dxa"/>
            </w:tcMar>
            <w:vAlign w:val="center"/>
          </w:tcPr>
          <w:p>
            <w:pPr>
              <w:jc w:val="both"/>
              <w:rPr>
                <w:rFonts w:ascii="Times New Roman" w:hAnsi="Times New Roman" w:eastAsia="仿宋_GB2312" w:cs="Times New Roman"/>
                <w:color w:val="auto"/>
                <w:sz w:val="22"/>
                <w:szCs w:val="22"/>
              </w:rPr>
            </w:pPr>
            <w:r>
              <w:rPr>
                <w:rFonts w:hint="eastAsia" w:ascii="Times New Roman" w:hAnsi="Times New Roman" w:eastAsia="仿宋_GB2312" w:cs="Times New Roman"/>
                <w:color w:val="auto"/>
                <w:sz w:val="22"/>
                <w:szCs w:val="22"/>
              </w:rPr>
              <w:t>有效降低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trPr>
        <w:tc>
          <w:tcPr>
            <w:tcW w:w="2045" w:type="dxa"/>
            <w:tcMar>
              <w:top w:w="60" w:type="dxa"/>
              <w:left w:w="60" w:type="dxa"/>
              <w:bottom w:w="45" w:type="dxa"/>
              <w:right w:w="60" w:type="dxa"/>
            </w:tcMar>
            <w:vAlign w:val="center"/>
          </w:tcPr>
          <w:p>
            <w:pPr>
              <w:widowControl/>
              <w:jc w:val="both"/>
              <w:textAlignment w:val="center"/>
              <w:rPr>
                <w:rFonts w:ascii="Times New Roman" w:hAnsi="Times New Roman" w:eastAsia="仿宋_GB2312" w:cs="Times New Roman"/>
                <w:color w:val="auto"/>
                <w:sz w:val="22"/>
                <w:szCs w:val="22"/>
              </w:rPr>
            </w:pPr>
            <w:r>
              <w:rPr>
                <w:rFonts w:ascii="Times New Roman" w:hAnsi="Times New Roman" w:eastAsia="仿宋_GB2312" w:cs="Times New Roman"/>
                <w:color w:val="auto"/>
                <w:kern w:val="0"/>
                <w:sz w:val="22"/>
                <w:szCs w:val="22"/>
              </w:rPr>
              <w:t>可持续性指标</w:t>
            </w:r>
          </w:p>
        </w:tc>
        <w:tc>
          <w:tcPr>
            <w:tcW w:w="3969" w:type="dxa"/>
            <w:tcMar>
              <w:top w:w="60" w:type="dxa"/>
              <w:left w:w="60" w:type="dxa"/>
              <w:bottom w:w="45" w:type="dxa"/>
              <w:right w:w="60" w:type="dxa"/>
            </w:tcMar>
            <w:vAlign w:val="center"/>
          </w:tcPr>
          <w:p>
            <w:pPr>
              <w:widowControl/>
              <w:jc w:val="both"/>
              <w:textAlignment w:val="center"/>
              <w:rPr>
                <w:rFonts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rPr>
              <w:t>促进四大行业健康有序发展，经营行为规范化</w:t>
            </w:r>
          </w:p>
        </w:tc>
        <w:tc>
          <w:tcPr>
            <w:tcW w:w="2401" w:type="dxa"/>
            <w:tcMar>
              <w:top w:w="60" w:type="dxa"/>
              <w:left w:w="60" w:type="dxa"/>
              <w:bottom w:w="45" w:type="dxa"/>
              <w:right w:w="60" w:type="dxa"/>
            </w:tcMar>
            <w:vAlign w:val="center"/>
          </w:tcPr>
          <w:p>
            <w:pPr>
              <w:jc w:val="both"/>
              <w:rPr>
                <w:rFonts w:ascii="Times New Roman" w:hAnsi="Times New Roman" w:eastAsia="仿宋_GB2312" w:cs="Times New Roman"/>
                <w:color w:val="auto"/>
                <w:sz w:val="22"/>
                <w:szCs w:val="22"/>
              </w:rPr>
            </w:pPr>
            <w:r>
              <w:rPr>
                <w:rFonts w:hint="eastAsia" w:ascii="Times New Roman" w:hAnsi="Times New Roman" w:eastAsia="仿宋_GB2312" w:cs="Times New Roman"/>
                <w:color w:val="auto"/>
                <w:sz w:val="22"/>
                <w:szCs w:val="22"/>
              </w:rPr>
              <w:t>不断促进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9" w:hRule="atLeast"/>
        </w:trPr>
        <w:tc>
          <w:tcPr>
            <w:tcW w:w="2045" w:type="dxa"/>
            <w:vMerge w:val="restart"/>
            <w:tcMar>
              <w:top w:w="60" w:type="dxa"/>
              <w:left w:w="60" w:type="dxa"/>
              <w:bottom w:w="45" w:type="dxa"/>
              <w:right w:w="60" w:type="dxa"/>
            </w:tcMar>
            <w:vAlign w:val="center"/>
          </w:tcPr>
          <w:p>
            <w:pPr>
              <w:widowControl/>
              <w:jc w:val="both"/>
              <w:textAlignment w:val="center"/>
              <w:rPr>
                <w:rFonts w:ascii="Times New Roman" w:hAnsi="Times New Roman" w:eastAsia="仿宋_GB2312" w:cs="Times New Roman"/>
                <w:color w:val="auto"/>
                <w:sz w:val="22"/>
                <w:szCs w:val="22"/>
              </w:rPr>
            </w:pPr>
            <w:r>
              <w:rPr>
                <w:rFonts w:ascii="Times New Roman" w:hAnsi="Times New Roman" w:eastAsia="仿宋_GB2312" w:cs="Times New Roman"/>
                <w:color w:val="auto"/>
                <w:kern w:val="0"/>
                <w:sz w:val="22"/>
                <w:szCs w:val="22"/>
              </w:rPr>
              <w:t>满意度指标</w:t>
            </w:r>
          </w:p>
        </w:tc>
        <w:tc>
          <w:tcPr>
            <w:tcW w:w="3969" w:type="dxa"/>
            <w:tcMar>
              <w:top w:w="60" w:type="dxa"/>
              <w:left w:w="60" w:type="dxa"/>
              <w:bottom w:w="45" w:type="dxa"/>
              <w:right w:w="60" w:type="dxa"/>
            </w:tcMar>
            <w:vAlign w:val="center"/>
          </w:tcPr>
          <w:p>
            <w:pPr>
              <w:widowControl/>
              <w:jc w:val="both"/>
              <w:textAlignment w:val="center"/>
              <w:rPr>
                <w:rFonts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rPr>
              <w:t>在职干部满意度（%）</w:t>
            </w:r>
          </w:p>
        </w:tc>
        <w:tc>
          <w:tcPr>
            <w:tcW w:w="2401" w:type="dxa"/>
            <w:tcMar>
              <w:top w:w="60" w:type="dxa"/>
              <w:left w:w="60" w:type="dxa"/>
              <w:bottom w:w="45" w:type="dxa"/>
              <w:right w:w="60" w:type="dxa"/>
            </w:tcMar>
            <w:vAlign w:val="center"/>
          </w:tcPr>
          <w:p>
            <w:pPr>
              <w:jc w:val="both"/>
              <w:rPr>
                <w:rFonts w:ascii="Times New Roman" w:hAnsi="Times New Roman" w:eastAsia="仿宋_GB2312" w:cs="Times New Roman"/>
                <w:color w:val="auto"/>
                <w:sz w:val="22"/>
                <w:szCs w:val="22"/>
              </w:rPr>
            </w:pPr>
            <w:r>
              <w:rPr>
                <w:rFonts w:ascii="Times New Roman" w:hAnsi="Times New Roman" w:eastAsia="仿宋_GB2312" w:cs="Times New Roman"/>
                <w:color w:val="auto"/>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9" w:hRule="atLeast"/>
        </w:trPr>
        <w:tc>
          <w:tcPr>
            <w:tcW w:w="2045" w:type="dxa"/>
            <w:vMerge w:val="continue"/>
            <w:tcMar>
              <w:top w:w="60" w:type="dxa"/>
              <w:left w:w="60" w:type="dxa"/>
              <w:bottom w:w="45" w:type="dxa"/>
              <w:right w:w="60" w:type="dxa"/>
            </w:tcMar>
            <w:vAlign w:val="center"/>
          </w:tcPr>
          <w:p>
            <w:pPr>
              <w:widowControl/>
              <w:jc w:val="both"/>
              <w:textAlignment w:val="center"/>
              <w:rPr>
                <w:rFonts w:ascii="Times New Roman" w:hAnsi="Times New Roman" w:eastAsia="仿宋_GB2312" w:cs="Times New Roman"/>
                <w:color w:val="auto"/>
                <w:kern w:val="0"/>
                <w:sz w:val="22"/>
                <w:szCs w:val="22"/>
              </w:rPr>
            </w:pPr>
          </w:p>
        </w:tc>
        <w:tc>
          <w:tcPr>
            <w:tcW w:w="3969" w:type="dxa"/>
            <w:tcMar>
              <w:top w:w="60" w:type="dxa"/>
              <w:left w:w="60" w:type="dxa"/>
              <w:bottom w:w="45" w:type="dxa"/>
              <w:right w:w="60" w:type="dxa"/>
            </w:tcMar>
            <w:vAlign w:val="center"/>
          </w:tcPr>
          <w:p>
            <w:pPr>
              <w:widowControl/>
              <w:jc w:val="both"/>
              <w:textAlignment w:val="center"/>
              <w:rPr>
                <w:rFonts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rPr>
              <w:t>离退休干部满意度（%）</w:t>
            </w:r>
          </w:p>
        </w:tc>
        <w:tc>
          <w:tcPr>
            <w:tcW w:w="2401" w:type="dxa"/>
            <w:tcMar>
              <w:top w:w="60" w:type="dxa"/>
              <w:left w:w="60" w:type="dxa"/>
              <w:bottom w:w="45" w:type="dxa"/>
              <w:right w:w="60" w:type="dxa"/>
            </w:tcMar>
            <w:vAlign w:val="center"/>
          </w:tcPr>
          <w:p>
            <w:pPr>
              <w:jc w:val="both"/>
              <w:rPr>
                <w:rFonts w:ascii="Times New Roman" w:hAnsi="Times New Roman" w:eastAsia="仿宋_GB2312" w:cs="Times New Roman"/>
                <w:color w:val="auto"/>
                <w:sz w:val="22"/>
                <w:szCs w:val="22"/>
              </w:rPr>
            </w:pPr>
            <w:r>
              <w:rPr>
                <w:rFonts w:ascii="Times New Roman" w:hAnsi="Times New Roman" w:eastAsia="仿宋_GB2312" w:cs="Times New Roman"/>
                <w:color w:val="auto"/>
                <w:sz w:val="22"/>
                <w:szCs w:val="22"/>
              </w:rPr>
              <w:t>100%</w:t>
            </w:r>
          </w:p>
        </w:tc>
      </w:tr>
    </w:tbl>
    <w:p>
      <w:pPr>
        <w:pStyle w:val="15"/>
        <w:ind w:firstLine="640"/>
        <w:jc w:val="both"/>
        <w:rPr>
          <w:rFonts w:hint="eastAsia" w:ascii="方正黑体_GBK" w:hAnsi="方正黑体_GBK" w:eastAsia="方正黑体_GBK" w:cs="方正黑体_GBK"/>
          <w:color w:val="auto"/>
          <w:lang w:val="zh-CN"/>
        </w:rPr>
      </w:pPr>
      <w:bookmarkStart w:id="46" w:name="_Toc24335"/>
      <w:bookmarkStart w:id="47" w:name="_Toc22227_WPSOffice_Level1"/>
      <w:bookmarkStart w:id="48" w:name="_Toc45010308"/>
      <w:r>
        <w:rPr>
          <w:rFonts w:hint="eastAsia" w:ascii="方正黑体_GBK" w:hAnsi="方正黑体_GBK" w:eastAsia="方正黑体_GBK" w:cs="方正黑体_GBK"/>
          <w:color w:val="auto"/>
          <w:lang w:val="en-US" w:eastAsia="zh-CN"/>
        </w:rPr>
        <w:t>二</w:t>
      </w:r>
      <w:r>
        <w:rPr>
          <w:rFonts w:hint="eastAsia" w:ascii="方正黑体_GBK" w:hAnsi="方正黑体_GBK" w:eastAsia="方正黑体_GBK" w:cs="方正黑体_GBK"/>
          <w:color w:val="auto"/>
          <w:lang w:val="zh-CN"/>
        </w:rPr>
        <w:t>、绩效评价工作</w:t>
      </w:r>
      <w:r>
        <w:rPr>
          <w:rFonts w:hint="eastAsia" w:ascii="方正黑体_GBK" w:hAnsi="方正黑体_GBK" w:eastAsia="方正黑体_GBK" w:cs="方正黑体_GBK"/>
          <w:color w:val="auto"/>
          <w:lang w:val="en-US" w:eastAsia="zh-CN"/>
        </w:rPr>
        <w:t>开展</w:t>
      </w:r>
      <w:r>
        <w:rPr>
          <w:rFonts w:hint="eastAsia" w:ascii="方正黑体_GBK" w:hAnsi="方正黑体_GBK" w:eastAsia="方正黑体_GBK" w:cs="方正黑体_GBK"/>
          <w:color w:val="auto"/>
          <w:lang w:val="zh-CN"/>
        </w:rPr>
        <w:t>情况</w:t>
      </w:r>
      <w:bookmarkEnd w:id="46"/>
      <w:bookmarkEnd w:id="47"/>
      <w:bookmarkEnd w:id="48"/>
    </w:p>
    <w:p>
      <w:pPr>
        <w:spacing w:line="500" w:lineRule="exact"/>
        <w:ind w:firstLine="643" w:firstLineChars="200"/>
        <w:jc w:val="both"/>
        <w:outlineLvl w:val="1"/>
        <w:rPr>
          <w:rFonts w:hint="eastAsia" w:ascii="方正楷体_GBK" w:hAnsi="方正楷体_GBK" w:eastAsia="方正楷体_GBK" w:cs="方正楷体_GBK"/>
          <w:b/>
          <w:color w:val="auto"/>
          <w:sz w:val="32"/>
          <w:szCs w:val="32"/>
          <w:highlight w:val="none"/>
          <w:lang w:eastAsia="zh-CN"/>
        </w:rPr>
      </w:pPr>
      <w:bookmarkStart w:id="49" w:name="_Toc16691_WPSOffice_Level2"/>
      <w:bookmarkStart w:id="50" w:name="_Toc45010309"/>
      <w:bookmarkStart w:id="51" w:name="_Toc18217"/>
      <w:r>
        <w:rPr>
          <w:rFonts w:hint="eastAsia" w:ascii="方正楷体_GBK" w:hAnsi="方正楷体_GBK" w:eastAsia="方正楷体_GBK" w:cs="方正楷体_GBK"/>
          <w:b/>
          <w:color w:val="auto"/>
          <w:sz w:val="32"/>
          <w:szCs w:val="32"/>
          <w:highlight w:val="none"/>
        </w:rPr>
        <w:t>（一）</w:t>
      </w:r>
      <w:r>
        <w:rPr>
          <w:rFonts w:hint="eastAsia" w:ascii="方正楷体_GBK" w:hAnsi="方正楷体_GBK" w:eastAsia="方正楷体_GBK" w:cs="方正楷体_GBK"/>
          <w:b/>
          <w:color w:val="auto"/>
          <w:sz w:val="32"/>
          <w:szCs w:val="32"/>
          <w:highlight w:val="none"/>
          <w:lang w:eastAsia="zh-CN"/>
        </w:rPr>
        <w:t>绩效评价目的、对象和范围</w:t>
      </w:r>
      <w:bookmarkEnd w:id="49"/>
    </w:p>
    <w:p>
      <w:pPr>
        <w:pStyle w:val="17"/>
        <w:keepNext w:val="0"/>
        <w:keepLines w:val="0"/>
        <w:pageBreakBefore w:val="0"/>
        <w:widowControl w:val="0"/>
        <w:numPr>
          <w:ilvl w:val="0"/>
          <w:numId w:val="0"/>
        </w:numPr>
        <w:kinsoku/>
        <w:wordWrap/>
        <w:overflowPunct/>
        <w:topLinePunct w:val="0"/>
        <w:autoSpaceDE/>
        <w:autoSpaceDN/>
        <w:bidi w:val="0"/>
        <w:adjustRightInd/>
        <w:snapToGrid w:val="0"/>
        <w:spacing w:line="570" w:lineRule="atLeast"/>
        <w:ind w:left="630" w:leftChars="0"/>
        <w:jc w:val="both"/>
        <w:textAlignment w:val="auto"/>
        <w:outlineLvl w:val="1"/>
        <w:rPr>
          <w:rFonts w:hint="eastAsia" w:ascii="方正楷体_GBK" w:hAnsi="方正楷体_GBK" w:eastAsia="方正楷体_GBK" w:cs="方正楷体_GBK"/>
          <w:b/>
          <w:color w:val="auto"/>
          <w:sz w:val="32"/>
          <w:szCs w:val="32"/>
          <w:highlight w:val="none"/>
          <w:lang w:val="en-US" w:eastAsia="zh-CN"/>
        </w:rPr>
      </w:pPr>
      <w:bookmarkStart w:id="52" w:name="_Toc21035"/>
      <w:r>
        <w:rPr>
          <w:rFonts w:hint="eastAsia" w:ascii="方正楷体_GBK" w:hAnsi="方正楷体_GBK" w:eastAsia="方正楷体_GBK" w:cs="方正楷体_GBK"/>
          <w:b/>
          <w:color w:val="auto"/>
          <w:sz w:val="32"/>
          <w:szCs w:val="32"/>
          <w:highlight w:val="none"/>
          <w:lang w:val="en-US" w:eastAsia="zh-CN"/>
        </w:rPr>
        <w:t>1.绩效评价目的</w:t>
      </w:r>
    </w:p>
    <w:p>
      <w:pPr>
        <w:pStyle w:val="29"/>
        <w:pageBreakBefore w:val="0"/>
        <w:kinsoku/>
        <w:wordWrap/>
        <w:topLinePunct w:val="0"/>
        <w:autoSpaceDE/>
        <w:bidi w:val="0"/>
        <w:spacing w:line="570" w:lineRule="exact"/>
        <w:ind w:firstLine="640" w:firstLineChars="200"/>
        <w:jc w:val="both"/>
        <w:outlineLvl w:val="2"/>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本次绩效评价遵循财政部《项目支出绩效评价管理办法》（财预〔2020〕10 号）和自治区财政厅《自治区财政支出绩效评价管理暂行办法》（新财预〔2018〕189 号）等相关政策文件与规定，旨在评价财政项目实施前期、过程及效果，对财政项目支出的经济性、效率性、效益性和公平性进行客观、公正的测量、分析和评判。</w:t>
      </w:r>
    </w:p>
    <w:p>
      <w:pPr>
        <w:pStyle w:val="29"/>
        <w:pageBreakBefore w:val="0"/>
        <w:kinsoku/>
        <w:wordWrap/>
        <w:topLinePunct w:val="0"/>
        <w:autoSpaceDE/>
        <w:bidi w:val="0"/>
        <w:spacing w:line="560" w:lineRule="exact"/>
        <w:ind w:firstLine="640" w:firstLineChars="200"/>
        <w:outlineLvl w:val="2"/>
        <w:rPr>
          <w:rFonts w:hint="eastAsia" w:ascii="方正楷体_GBK" w:hAnsi="方正楷体_GBK" w:eastAsia="方正楷体_GBK" w:cs="方正楷体_GBK"/>
          <w:b/>
          <w:color w:val="auto"/>
          <w:sz w:val="32"/>
          <w:szCs w:val="32"/>
          <w:highlight w:val="yellow"/>
          <w:lang w:val="en-US" w:eastAsia="zh-CN"/>
        </w:rPr>
      </w:pPr>
      <w:r>
        <w:rPr>
          <w:rFonts w:hint="eastAsia" w:ascii="方正仿宋_GBK" w:hAnsi="方正仿宋_GBK" w:eastAsia="方正仿宋_GBK" w:cs="方正仿宋_GBK"/>
          <w:b w:val="0"/>
          <w:bCs w:val="0"/>
          <w:color w:val="auto"/>
          <w:sz w:val="32"/>
          <w:szCs w:val="32"/>
        </w:rPr>
        <w:t>绩效评价的目的是为全面了解该项目预算编制合理性、资金使用合规性、项目管理的规范性、项目目标的实现情况、服务对象的满意度等，通过本次项目绩效评价来总结经验和教训，促进项目成果转化和应用，为今后类似项目的长效管理，提供可行性参考建议。</w:t>
      </w:r>
    </w:p>
    <w:p>
      <w:pPr>
        <w:pStyle w:val="17"/>
        <w:keepNext w:val="0"/>
        <w:keepLines w:val="0"/>
        <w:pageBreakBefore w:val="0"/>
        <w:widowControl w:val="0"/>
        <w:numPr>
          <w:ilvl w:val="0"/>
          <w:numId w:val="0"/>
        </w:numPr>
        <w:kinsoku/>
        <w:wordWrap/>
        <w:overflowPunct/>
        <w:topLinePunct w:val="0"/>
        <w:autoSpaceDE/>
        <w:autoSpaceDN/>
        <w:bidi w:val="0"/>
        <w:adjustRightInd/>
        <w:snapToGrid w:val="0"/>
        <w:spacing w:line="570" w:lineRule="atLeast"/>
        <w:ind w:left="630" w:leftChars="0"/>
        <w:jc w:val="both"/>
        <w:textAlignment w:val="auto"/>
        <w:outlineLvl w:val="1"/>
        <w:rPr>
          <w:rFonts w:hint="default" w:ascii="方正楷体_GBK" w:hAnsi="方正楷体_GBK" w:eastAsia="方正楷体_GBK" w:cs="方正楷体_GBK"/>
          <w:b/>
          <w:color w:val="auto"/>
          <w:sz w:val="32"/>
          <w:szCs w:val="32"/>
          <w:highlight w:val="none"/>
          <w:lang w:val="en-US" w:eastAsia="zh-CN"/>
        </w:rPr>
      </w:pPr>
      <w:r>
        <w:rPr>
          <w:rFonts w:hint="eastAsia" w:ascii="方正楷体_GBK" w:hAnsi="方正楷体_GBK" w:eastAsia="方正楷体_GBK" w:cs="方正楷体_GBK"/>
          <w:b/>
          <w:color w:val="auto"/>
          <w:sz w:val="32"/>
          <w:szCs w:val="32"/>
          <w:highlight w:val="none"/>
          <w:lang w:val="en-US" w:eastAsia="zh-CN"/>
        </w:rPr>
        <w:t>2.绩效评价对象</w:t>
      </w:r>
    </w:p>
    <w:p>
      <w:pPr>
        <w:pStyle w:val="29"/>
        <w:pageBreakBefore w:val="0"/>
        <w:numPr>
          <w:ilvl w:val="0"/>
          <w:numId w:val="0"/>
        </w:numPr>
        <w:kinsoku/>
        <w:wordWrap/>
        <w:topLinePunct w:val="0"/>
        <w:autoSpaceDE/>
        <w:bidi w:val="0"/>
        <w:spacing w:line="560" w:lineRule="exact"/>
        <w:ind w:firstLine="640" w:firstLineChars="200"/>
        <w:outlineLvl w:val="2"/>
        <w:rPr>
          <w:rFonts w:hint="eastAsia" w:ascii="方正楷体_GBK" w:hAnsi="方正楷体_GBK" w:eastAsia="方正楷体_GBK" w:cs="方正楷体_GBK"/>
          <w:b/>
          <w:color w:val="auto"/>
          <w:sz w:val="32"/>
          <w:szCs w:val="32"/>
          <w:lang w:val="en-US" w:eastAsia="zh-CN"/>
        </w:rPr>
      </w:pPr>
      <w:r>
        <w:rPr>
          <w:rFonts w:hint="eastAsia" w:ascii="方正仿宋_GBK" w:hAnsi="方正仿宋_GBK" w:eastAsia="方正仿宋_GBK" w:cs="方正仿宋_GBK"/>
          <w:color w:val="auto"/>
          <w:sz w:val="32"/>
          <w:szCs w:val="32"/>
        </w:rPr>
        <w:t>本次绩效评价遵循财政部《项目支出绩效评价管理办法》（财预〔2020〕10号）和自治区财政厅《自治区财政支出绩效评价管理暂行办法》（新财预〔2018〕189号）等相关政策文件与规定，本次评价对象为</w:t>
      </w:r>
      <w:r>
        <w:rPr>
          <w:rFonts w:hint="eastAsia" w:ascii="方正仿宋_GBK" w:hAnsi="方正仿宋_GBK" w:eastAsia="方正仿宋_GBK" w:cs="方正仿宋_GBK"/>
          <w:color w:val="auto"/>
          <w:sz w:val="32"/>
          <w:szCs w:val="32"/>
          <w:lang w:eastAsia="zh-CN"/>
        </w:rPr>
        <w:t>伽师县市场监督管理局部门整体</w:t>
      </w:r>
      <w:r>
        <w:rPr>
          <w:rFonts w:hint="eastAsia" w:ascii="方正仿宋_GBK" w:hAnsi="方正仿宋_GBK" w:eastAsia="方正仿宋_GBK" w:cs="方正仿宋_GBK"/>
          <w:color w:val="auto"/>
          <w:sz w:val="32"/>
          <w:szCs w:val="32"/>
        </w:rPr>
        <w:t>，以</w:t>
      </w:r>
      <w:r>
        <w:rPr>
          <w:rFonts w:hint="eastAsia" w:ascii="方正仿宋_GBK" w:hAnsi="方正仿宋_GBK" w:eastAsia="方正仿宋_GBK" w:cs="方正仿宋_GBK"/>
          <w:color w:val="auto"/>
          <w:sz w:val="32"/>
          <w:szCs w:val="32"/>
          <w:lang w:eastAsia="zh-CN"/>
        </w:rPr>
        <w:t>基本支出及项目</w:t>
      </w:r>
      <w:r>
        <w:rPr>
          <w:rFonts w:hint="eastAsia" w:ascii="方正仿宋_GBK" w:hAnsi="方正仿宋_GBK" w:eastAsia="方正仿宋_GBK" w:cs="方正仿宋_GBK"/>
          <w:color w:val="auto"/>
          <w:sz w:val="32"/>
          <w:szCs w:val="32"/>
        </w:rPr>
        <w:t>支出为对象所对应的预算资金，实施所带来的产出和效果为主要内容，以促进预算单位完成特定工作任务目标所组织开展的绩效评价。</w:t>
      </w:r>
    </w:p>
    <w:p>
      <w:pPr>
        <w:pStyle w:val="17"/>
        <w:keepNext w:val="0"/>
        <w:keepLines w:val="0"/>
        <w:pageBreakBefore w:val="0"/>
        <w:widowControl w:val="0"/>
        <w:numPr>
          <w:ilvl w:val="0"/>
          <w:numId w:val="0"/>
        </w:numPr>
        <w:kinsoku/>
        <w:wordWrap/>
        <w:overflowPunct/>
        <w:topLinePunct w:val="0"/>
        <w:autoSpaceDE/>
        <w:autoSpaceDN/>
        <w:bidi w:val="0"/>
        <w:adjustRightInd/>
        <w:snapToGrid w:val="0"/>
        <w:spacing w:line="570" w:lineRule="atLeast"/>
        <w:ind w:left="630" w:leftChars="0"/>
        <w:jc w:val="both"/>
        <w:textAlignment w:val="auto"/>
        <w:outlineLvl w:val="1"/>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lang w:val="en-US" w:eastAsia="zh-CN"/>
        </w:rPr>
        <w:t>3.</w:t>
      </w:r>
      <w:r>
        <w:rPr>
          <w:rFonts w:hint="eastAsia" w:ascii="方正楷体_GBK" w:hAnsi="方正楷体_GBK" w:eastAsia="方正楷体_GBK" w:cs="方正楷体_GBK"/>
          <w:b/>
          <w:color w:val="auto"/>
          <w:sz w:val="32"/>
          <w:szCs w:val="32"/>
        </w:rPr>
        <w:t>绩效评价范围</w:t>
      </w:r>
      <w:bookmarkEnd w:id="52"/>
    </w:p>
    <w:p>
      <w:pPr>
        <w:spacing w:line="500" w:lineRule="exact"/>
        <w:ind w:firstLine="640" w:firstLineChars="200"/>
        <w:jc w:val="both"/>
        <w:outlineLvl w:val="1"/>
        <w:rPr>
          <w:rFonts w:hint="eastAsia" w:ascii="方正楷体_GBK" w:hAnsi="方正楷体_GBK" w:eastAsia="方正楷体_GBK" w:cs="方正楷体_GBK"/>
          <w:b/>
          <w:color w:val="auto"/>
          <w:sz w:val="32"/>
          <w:szCs w:val="32"/>
          <w:lang w:eastAsia="zh-CN"/>
        </w:rPr>
      </w:pPr>
      <w:r>
        <w:rPr>
          <w:rFonts w:hint="eastAsia" w:ascii="方正仿宋_GBK" w:hAnsi="方正仿宋_GBK" w:eastAsia="方正仿宋_GBK" w:cs="方正仿宋_GBK"/>
          <w:color w:val="auto"/>
          <w:kern w:val="0"/>
          <w:sz w:val="32"/>
          <w:szCs w:val="32"/>
        </w:rPr>
        <w:t>本次绩效评价范围为</w:t>
      </w:r>
      <w:r>
        <w:rPr>
          <w:rFonts w:hint="eastAsia" w:ascii="方正仿宋_GBK" w:hAnsi="方正仿宋_GBK" w:eastAsia="方正仿宋_GBK" w:cs="方正仿宋_GBK"/>
          <w:color w:val="auto"/>
          <w:kern w:val="0"/>
          <w:sz w:val="32"/>
          <w:szCs w:val="32"/>
          <w:lang w:val="en-US" w:eastAsia="zh-CN"/>
        </w:rPr>
        <w:t>2022</w:t>
      </w:r>
      <w:r>
        <w:rPr>
          <w:rFonts w:hint="eastAsia" w:ascii="方正仿宋_GBK" w:hAnsi="方正仿宋_GBK" w:eastAsia="方正仿宋_GBK" w:cs="方正仿宋_GBK"/>
          <w:color w:val="auto"/>
          <w:kern w:val="0"/>
          <w:sz w:val="32"/>
          <w:szCs w:val="32"/>
        </w:rPr>
        <w:t>年度</w:t>
      </w:r>
      <w:r>
        <w:rPr>
          <w:rFonts w:hint="eastAsia" w:ascii="方正仿宋_GBK" w:hAnsi="方正仿宋_GBK" w:eastAsia="方正仿宋_GBK" w:cs="方正仿宋_GBK"/>
          <w:color w:val="auto"/>
          <w:kern w:val="0"/>
          <w:sz w:val="32"/>
          <w:szCs w:val="32"/>
          <w:lang w:val="en-US" w:eastAsia="zh-CN"/>
        </w:rPr>
        <w:t>伽师县市场监督管理局</w:t>
      </w:r>
      <w:r>
        <w:rPr>
          <w:rFonts w:hint="eastAsia" w:ascii="方正仿宋_GBK" w:hAnsi="方正仿宋_GBK" w:eastAsia="方正仿宋_GBK" w:cs="方正仿宋_GBK"/>
          <w:color w:val="auto"/>
          <w:kern w:val="0"/>
          <w:sz w:val="32"/>
          <w:szCs w:val="32"/>
        </w:rPr>
        <w:t>部门整体</w:t>
      </w:r>
      <w:r>
        <w:rPr>
          <w:rFonts w:hint="eastAsia" w:ascii="方正仿宋_GBK" w:hAnsi="方正仿宋_GBK" w:eastAsia="方正仿宋_GBK" w:cs="方正仿宋_GBK"/>
          <w:color w:val="auto"/>
          <w:kern w:val="0"/>
          <w:sz w:val="32"/>
          <w:szCs w:val="32"/>
          <w:lang w:eastAsia="zh-CN"/>
        </w:rPr>
        <w:t>绩效</w:t>
      </w:r>
      <w:r>
        <w:rPr>
          <w:rFonts w:hint="eastAsia" w:ascii="方正仿宋_GBK" w:hAnsi="方正仿宋_GBK" w:eastAsia="方正仿宋_GBK" w:cs="方正仿宋_GBK"/>
          <w:color w:val="auto"/>
          <w:kern w:val="0"/>
          <w:sz w:val="32"/>
          <w:szCs w:val="32"/>
        </w:rPr>
        <w:t>。</w:t>
      </w:r>
    </w:p>
    <w:p>
      <w:pPr>
        <w:spacing w:line="500" w:lineRule="exact"/>
        <w:ind w:firstLine="643" w:firstLineChars="200"/>
        <w:jc w:val="both"/>
        <w:outlineLvl w:val="1"/>
        <w:rPr>
          <w:rFonts w:hint="eastAsia" w:ascii="方正楷体_GBK" w:hAnsi="方正楷体_GBK" w:eastAsia="方正楷体_GBK" w:cs="方正楷体_GBK"/>
          <w:b/>
          <w:color w:val="auto"/>
          <w:sz w:val="32"/>
          <w:szCs w:val="32"/>
          <w:lang w:eastAsia="zh-CN"/>
        </w:rPr>
      </w:pPr>
      <w:bookmarkStart w:id="53" w:name="_Toc22230_WPSOffice_Level2"/>
      <w:r>
        <w:rPr>
          <w:rFonts w:hint="eastAsia" w:ascii="方正楷体_GBK" w:hAnsi="方正楷体_GBK" w:eastAsia="方正楷体_GBK" w:cs="方正楷体_GBK"/>
          <w:b/>
          <w:color w:val="auto"/>
          <w:sz w:val="32"/>
          <w:szCs w:val="32"/>
          <w:lang w:eastAsia="zh-CN"/>
        </w:rPr>
        <w:t>（二）</w:t>
      </w:r>
      <w:r>
        <w:rPr>
          <w:rFonts w:hint="eastAsia" w:ascii="方正楷体_GBK" w:hAnsi="方正楷体_GBK" w:eastAsia="方正楷体_GBK" w:cs="方正楷体_GBK"/>
          <w:b/>
          <w:color w:val="auto"/>
          <w:sz w:val="32"/>
          <w:szCs w:val="32"/>
        </w:rPr>
        <w:t>绩效评价原则</w:t>
      </w:r>
      <w:bookmarkEnd w:id="50"/>
      <w:bookmarkEnd w:id="51"/>
      <w:r>
        <w:rPr>
          <w:rFonts w:hint="eastAsia" w:ascii="方正楷体_GBK" w:hAnsi="方正楷体_GBK" w:eastAsia="方正楷体_GBK" w:cs="方正楷体_GBK"/>
          <w:b/>
          <w:color w:val="auto"/>
          <w:sz w:val="32"/>
          <w:szCs w:val="32"/>
          <w:lang w:eastAsia="zh-CN"/>
        </w:rPr>
        <w:t>、评价指标体系、评价方法、评价标准</w:t>
      </w:r>
      <w:bookmarkEnd w:id="53"/>
    </w:p>
    <w:p>
      <w:pPr>
        <w:pStyle w:val="16"/>
        <w:ind w:firstLine="560"/>
        <w:jc w:val="both"/>
        <w:rPr>
          <w:rFonts w:hint="eastAsia" w:ascii="方正仿宋_GBK" w:hAnsi="方正仿宋_GBK" w:eastAsia="方正仿宋_GBK" w:cs="方正仿宋_GBK"/>
          <w:b/>
          <w:bCs w:val="0"/>
          <w:color w:val="auto"/>
          <w:sz w:val="32"/>
          <w:szCs w:val="32"/>
          <w:lang w:val="en-US" w:eastAsia="zh-CN"/>
        </w:rPr>
      </w:pPr>
      <w:r>
        <w:rPr>
          <w:rFonts w:hint="eastAsia" w:ascii="方正仿宋_GBK" w:hAnsi="方正仿宋_GBK" w:eastAsia="方正仿宋_GBK" w:cs="方正仿宋_GBK"/>
          <w:b/>
          <w:bCs w:val="0"/>
          <w:color w:val="auto"/>
          <w:sz w:val="32"/>
          <w:szCs w:val="32"/>
          <w:lang w:val="en-US" w:eastAsia="zh-CN"/>
        </w:rPr>
        <w:t>1.绩效评价原则</w:t>
      </w:r>
    </w:p>
    <w:p>
      <w:pPr>
        <w:pStyle w:val="16"/>
        <w:ind w:firstLine="560"/>
        <w:jc w:val="both"/>
        <w:rPr>
          <w:rFonts w:hint="eastAsia" w:ascii="方正仿宋_GBK" w:hAnsi="方正仿宋_GBK" w:eastAsia="方正仿宋_GBK" w:cs="方正仿宋_GBK"/>
          <w:b/>
          <w:bCs w:val="0"/>
          <w:color w:val="auto"/>
          <w:sz w:val="32"/>
          <w:szCs w:val="32"/>
        </w:rPr>
      </w:pPr>
      <w:r>
        <w:rPr>
          <w:rFonts w:hint="eastAsia" w:ascii="方正仿宋_GBK" w:hAnsi="方正仿宋_GBK" w:eastAsia="方正仿宋_GBK" w:cs="方正仿宋_GBK"/>
          <w:b/>
          <w:bCs w:val="0"/>
          <w:color w:val="auto"/>
          <w:sz w:val="32"/>
          <w:szCs w:val="32"/>
          <w:lang w:eastAsia="zh-CN"/>
        </w:rPr>
        <w:t>（</w:t>
      </w:r>
      <w:r>
        <w:rPr>
          <w:rFonts w:hint="eastAsia" w:ascii="方正仿宋_GBK" w:hAnsi="方正仿宋_GBK" w:eastAsia="方正仿宋_GBK" w:cs="方正仿宋_GBK"/>
          <w:b/>
          <w:bCs w:val="0"/>
          <w:color w:val="auto"/>
          <w:sz w:val="32"/>
          <w:szCs w:val="32"/>
          <w:lang w:val="en-US" w:eastAsia="zh-CN"/>
        </w:rPr>
        <w:t>1</w:t>
      </w:r>
      <w:r>
        <w:rPr>
          <w:rFonts w:hint="eastAsia" w:ascii="方正仿宋_GBK" w:hAnsi="方正仿宋_GBK" w:eastAsia="方正仿宋_GBK" w:cs="方正仿宋_GBK"/>
          <w:b/>
          <w:bCs w:val="0"/>
          <w:color w:val="auto"/>
          <w:sz w:val="32"/>
          <w:szCs w:val="32"/>
          <w:lang w:eastAsia="zh-CN"/>
        </w:rPr>
        <w:t>）</w:t>
      </w:r>
      <w:r>
        <w:rPr>
          <w:rFonts w:hint="eastAsia" w:ascii="方正仿宋_GBK" w:hAnsi="方正仿宋_GBK" w:eastAsia="方正仿宋_GBK" w:cs="方正仿宋_GBK"/>
          <w:b/>
          <w:bCs w:val="0"/>
          <w:color w:val="auto"/>
          <w:sz w:val="32"/>
          <w:szCs w:val="32"/>
        </w:rPr>
        <w:t>依法合规</w:t>
      </w:r>
    </w:p>
    <w:p>
      <w:pPr>
        <w:spacing w:line="500" w:lineRule="exact"/>
        <w:ind w:firstLine="640" w:firstLineChars="200"/>
        <w:jc w:val="both"/>
        <w:rPr>
          <w:rFonts w:hint="eastAsia" w:ascii="方正仿宋_GBK" w:hAnsi="方正仿宋_GBK" w:eastAsia="方正仿宋_GBK" w:cs="方正仿宋_GBK"/>
          <w:color w:val="auto"/>
          <w:kern w:val="0"/>
          <w:sz w:val="32"/>
          <w:szCs w:val="32"/>
        </w:rPr>
      </w:pPr>
      <w:r>
        <w:rPr>
          <w:rFonts w:hint="eastAsia" w:ascii="方正仿宋_GBK" w:hAnsi="方正仿宋_GBK" w:eastAsia="方正仿宋_GBK" w:cs="方正仿宋_GBK"/>
          <w:color w:val="auto"/>
          <w:kern w:val="0"/>
          <w:sz w:val="32"/>
          <w:szCs w:val="32"/>
        </w:rPr>
        <w:t>以相关法律、法规、规章以及国家、省、市有关文件政策等为依据，结合“部门职责—工作活动”以及部门事业发展规划，依法合规进行。</w:t>
      </w:r>
    </w:p>
    <w:p>
      <w:pPr>
        <w:spacing w:line="500" w:lineRule="exact"/>
        <w:ind w:firstLine="643" w:firstLineChars="200"/>
        <w:jc w:val="both"/>
        <w:rPr>
          <w:rFonts w:hint="eastAsia" w:ascii="方正仿宋_GBK" w:hAnsi="方正仿宋_GBK" w:eastAsia="方正仿宋_GBK" w:cs="方正仿宋_GBK"/>
          <w:b/>
          <w:bCs w:val="0"/>
          <w:color w:val="auto"/>
          <w:kern w:val="0"/>
          <w:sz w:val="32"/>
          <w:szCs w:val="32"/>
        </w:rPr>
      </w:pPr>
      <w:r>
        <w:rPr>
          <w:rFonts w:hint="eastAsia" w:ascii="方正仿宋_GBK" w:hAnsi="方正仿宋_GBK" w:eastAsia="方正仿宋_GBK" w:cs="方正仿宋_GBK"/>
          <w:b/>
          <w:bCs w:val="0"/>
          <w:color w:val="auto"/>
          <w:kern w:val="0"/>
          <w:sz w:val="32"/>
          <w:szCs w:val="32"/>
          <w:lang w:val="en-US" w:eastAsia="zh-CN"/>
        </w:rPr>
        <w:t>（2）</w:t>
      </w:r>
      <w:r>
        <w:rPr>
          <w:rFonts w:hint="eastAsia" w:ascii="方正仿宋_GBK" w:hAnsi="方正仿宋_GBK" w:eastAsia="方正仿宋_GBK" w:cs="方正仿宋_GBK"/>
          <w:b/>
          <w:bCs w:val="0"/>
          <w:color w:val="auto"/>
          <w:kern w:val="0"/>
          <w:sz w:val="32"/>
          <w:szCs w:val="32"/>
        </w:rPr>
        <w:t>真实全面</w:t>
      </w:r>
    </w:p>
    <w:p>
      <w:pPr>
        <w:spacing w:line="500" w:lineRule="exact"/>
        <w:ind w:firstLine="640" w:firstLineChars="200"/>
        <w:jc w:val="both"/>
        <w:rPr>
          <w:rFonts w:hint="eastAsia" w:ascii="方正仿宋_GBK" w:hAnsi="方正仿宋_GBK" w:eastAsia="方正仿宋_GBK" w:cs="方正仿宋_GBK"/>
          <w:color w:val="auto"/>
          <w:kern w:val="0"/>
          <w:sz w:val="32"/>
          <w:szCs w:val="32"/>
        </w:rPr>
      </w:pPr>
      <w:r>
        <w:rPr>
          <w:rFonts w:hint="eastAsia" w:ascii="方正仿宋_GBK" w:hAnsi="方正仿宋_GBK" w:eastAsia="方正仿宋_GBK" w:cs="方正仿宋_GBK"/>
          <w:color w:val="auto"/>
          <w:kern w:val="0"/>
          <w:sz w:val="32"/>
          <w:szCs w:val="32"/>
        </w:rPr>
        <w:t>围绕项目绩效目标明确性、项目立项必要性、资金分配合理性、财务管理及项目管理有效性、项目绩效达成情况等方面，真实全面的开展绩效评价。</w:t>
      </w:r>
    </w:p>
    <w:p>
      <w:pPr>
        <w:spacing w:line="500" w:lineRule="exact"/>
        <w:ind w:firstLine="643" w:firstLineChars="200"/>
        <w:jc w:val="both"/>
        <w:rPr>
          <w:rFonts w:hint="eastAsia" w:ascii="方正仿宋_GBK" w:hAnsi="方正仿宋_GBK" w:eastAsia="方正仿宋_GBK" w:cs="方正仿宋_GBK"/>
          <w:b/>
          <w:bCs w:val="0"/>
          <w:color w:val="auto"/>
          <w:kern w:val="0"/>
          <w:sz w:val="32"/>
          <w:szCs w:val="32"/>
        </w:rPr>
      </w:pPr>
      <w:r>
        <w:rPr>
          <w:rFonts w:hint="eastAsia" w:ascii="方正仿宋_GBK" w:hAnsi="方正仿宋_GBK" w:eastAsia="方正仿宋_GBK" w:cs="方正仿宋_GBK"/>
          <w:b/>
          <w:bCs w:val="0"/>
          <w:color w:val="auto"/>
          <w:kern w:val="0"/>
          <w:sz w:val="32"/>
          <w:szCs w:val="32"/>
          <w:lang w:val="en-US" w:eastAsia="zh-CN"/>
        </w:rPr>
        <w:t>（3）</w:t>
      </w:r>
      <w:r>
        <w:rPr>
          <w:rFonts w:hint="eastAsia" w:ascii="方正仿宋_GBK" w:hAnsi="方正仿宋_GBK" w:eastAsia="方正仿宋_GBK" w:cs="方正仿宋_GBK"/>
          <w:b/>
          <w:bCs w:val="0"/>
          <w:color w:val="auto"/>
          <w:kern w:val="0"/>
          <w:sz w:val="32"/>
          <w:szCs w:val="32"/>
        </w:rPr>
        <w:t>客观公正</w:t>
      </w:r>
    </w:p>
    <w:p>
      <w:pPr>
        <w:spacing w:line="500" w:lineRule="exact"/>
        <w:ind w:firstLine="640" w:firstLineChars="200"/>
        <w:jc w:val="both"/>
        <w:rPr>
          <w:rFonts w:hint="eastAsia" w:ascii="方正仿宋_GBK" w:hAnsi="方正仿宋_GBK" w:eastAsia="方正仿宋_GBK" w:cs="方正仿宋_GBK"/>
          <w:color w:val="auto"/>
          <w:kern w:val="0"/>
          <w:sz w:val="32"/>
          <w:szCs w:val="32"/>
        </w:rPr>
      </w:pPr>
      <w:r>
        <w:rPr>
          <w:rFonts w:hint="eastAsia" w:ascii="方正仿宋_GBK" w:hAnsi="方正仿宋_GBK" w:eastAsia="方正仿宋_GBK" w:cs="方正仿宋_GBK"/>
          <w:color w:val="auto"/>
          <w:kern w:val="0"/>
          <w:sz w:val="32"/>
          <w:szCs w:val="32"/>
        </w:rPr>
        <w:t>在评价过程中，收集相关文件及资料，并通过现场调研，查阅资料、专家咨询、问卷调查等为评价结论提供充分的依据支持，确保评价结果的客观公正。</w:t>
      </w:r>
    </w:p>
    <w:p>
      <w:pPr>
        <w:spacing w:line="500" w:lineRule="exact"/>
        <w:ind w:firstLine="643" w:firstLineChars="200"/>
        <w:jc w:val="both"/>
        <w:rPr>
          <w:rFonts w:hint="eastAsia" w:ascii="方正仿宋_GBK" w:hAnsi="方正仿宋_GBK" w:eastAsia="方正仿宋_GBK" w:cs="方正仿宋_GBK"/>
          <w:b/>
          <w:bCs w:val="0"/>
          <w:color w:val="auto"/>
          <w:kern w:val="0"/>
          <w:sz w:val="32"/>
          <w:szCs w:val="32"/>
        </w:rPr>
      </w:pPr>
      <w:r>
        <w:rPr>
          <w:rFonts w:hint="eastAsia" w:ascii="方正仿宋_GBK" w:hAnsi="方正仿宋_GBK" w:eastAsia="方正仿宋_GBK" w:cs="方正仿宋_GBK"/>
          <w:b/>
          <w:bCs w:val="0"/>
          <w:color w:val="auto"/>
          <w:kern w:val="0"/>
          <w:sz w:val="32"/>
          <w:szCs w:val="32"/>
          <w:lang w:val="en-US" w:eastAsia="zh-CN"/>
        </w:rPr>
        <w:t>（4）</w:t>
      </w:r>
      <w:r>
        <w:rPr>
          <w:rFonts w:hint="eastAsia" w:ascii="方正仿宋_GBK" w:hAnsi="方正仿宋_GBK" w:eastAsia="方正仿宋_GBK" w:cs="方正仿宋_GBK"/>
          <w:b/>
          <w:bCs w:val="0"/>
          <w:color w:val="auto"/>
          <w:kern w:val="0"/>
          <w:sz w:val="32"/>
          <w:szCs w:val="32"/>
        </w:rPr>
        <w:t>科学规范</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baseline"/>
        <w:rPr>
          <w:rStyle w:val="21"/>
          <w:rFonts w:hint="eastAsia" w:ascii="方正仿宋_GBK" w:hAnsi="方正仿宋_GBK" w:eastAsia="方正仿宋_GBK" w:cs="方正仿宋_GBK"/>
          <w:b w:val="0"/>
          <w:i w:val="0"/>
          <w:caps w:val="0"/>
          <w:color w:val="auto"/>
          <w:spacing w:val="0"/>
          <w:w w:val="100"/>
          <w:kern w:val="0"/>
          <w:sz w:val="32"/>
          <w:szCs w:val="32"/>
          <w:lang w:val="en-US" w:eastAsia="zh-CN" w:bidi="ar-SA"/>
        </w:rPr>
      </w:pPr>
      <w:bookmarkStart w:id="54" w:name="_Toc45010310"/>
      <w:r>
        <w:rPr>
          <w:rStyle w:val="21"/>
          <w:rFonts w:hint="eastAsia" w:ascii="方正仿宋_GBK" w:hAnsi="方正仿宋_GBK" w:eastAsia="方正仿宋_GBK" w:cs="方正仿宋_GBK"/>
          <w:b w:val="0"/>
          <w:i w:val="0"/>
          <w:caps w:val="0"/>
          <w:color w:val="auto"/>
          <w:spacing w:val="0"/>
          <w:w w:val="100"/>
          <w:kern w:val="0"/>
          <w:sz w:val="32"/>
          <w:szCs w:val="32"/>
          <w:lang w:val="en-US" w:eastAsia="zh-CN" w:bidi="ar-SA"/>
        </w:rPr>
        <w:t>绩效评价注重资金管理的规范性，支出的经济性、效率性和有效性，严格执行规定的程序，合理确定绩效目标和评价内容，运用简便、实用、定量与定性分析相结合的方法，规范进行评价。</w:t>
      </w:r>
    </w:p>
    <w:p>
      <w:pPr>
        <w:spacing w:line="500" w:lineRule="exact"/>
        <w:ind w:firstLine="643" w:firstLineChars="200"/>
        <w:jc w:val="both"/>
        <w:outlineLvl w:val="1"/>
        <w:rPr>
          <w:rFonts w:hint="default" w:ascii="方正楷体_GBK" w:hAnsi="方正楷体_GBK" w:eastAsia="方正楷体_GBK" w:cs="方正楷体_GBK"/>
          <w:b/>
          <w:bCs w:val="0"/>
          <w:color w:val="auto"/>
          <w:sz w:val="32"/>
          <w:szCs w:val="32"/>
          <w:highlight w:val="none"/>
          <w:lang w:val="en-US" w:eastAsia="zh-CN"/>
        </w:rPr>
      </w:pPr>
      <w:bookmarkStart w:id="55" w:name="_Toc31458"/>
      <w:r>
        <w:rPr>
          <w:rFonts w:hint="eastAsia" w:ascii="方正楷体_GBK" w:hAnsi="方正楷体_GBK" w:eastAsia="方正楷体_GBK" w:cs="方正楷体_GBK"/>
          <w:b/>
          <w:bCs w:val="0"/>
          <w:color w:val="auto"/>
          <w:sz w:val="32"/>
          <w:szCs w:val="32"/>
          <w:highlight w:val="none"/>
          <w:lang w:val="en-US" w:eastAsia="zh-CN"/>
        </w:rPr>
        <w:t>2.评价指标体系</w:t>
      </w:r>
    </w:p>
    <w:p>
      <w:pPr>
        <w:spacing w:line="500" w:lineRule="exact"/>
        <w:ind w:firstLine="640" w:firstLineChars="200"/>
        <w:jc w:val="both"/>
        <w:outlineLvl w:val="1"/>
        <w:rPr>
          <w:rFonts w:hint="eastAsia" w:ascii="方正仿宋_GBK" w:hAnsi="方正仿宋_GBK" w:eastAsia="方正仿宋_GBK" w:cs="方正仿宋_GBK"/>
          <w:b w:val="0"/>
          <w:bCs/>
          <w:color w:val="auto"/>
          <w:sz w:val="32"/>
          <w:szCs w:val="32"/>
          <w:lang w:val="en-US" w:eastAsia="zh-CN"/>
        </w:rPr>
      </w:pPr>
      <w:r>
        <w:rPr>
          <w:rFonts w:hint="eastAsia" w:ascii="方正仿宋_GBK" w:hAnsi="方正仿宋_GBK" w:eastAsia="方正仿宋_GBK" w:cs="方正仿宋_GBK"/>
          <w:b w:val="0"/>
          <w:bCs/>
          <w:color w:val="auto"/>
          <w:sz w:val="32"/>
          <w:szCs w:val="32"/>
          <w:lang w:val="en-US" w:eastAsia="zh-CN"/>
        </w:rPr>
        <w:t>通过对该部门相关资料进行分析研究，评价小组按照财政部印发的《项目支出绩效评价管理办法》（财预〔2020〕10号）要求，从部门决策、部门管理、部门绩效三个维度，围绕职能设置科学合理性、部门中长期规划适应性，年度工作计划科学完整性、年度绩效目标明确性、年度部门预算计划科学性、部门预算执行管理、内部制度管理、部门履职情况、部门产出、部门效果、可持续发展建设等具体指标客观开展分析，体现了从决策到可持续发展建设的绩效逻辑路径。</w:t>
      </w:r>
    </w:p>
    <w:p>
      <w:pPr>
        <w:pStyle w:val="30"/>
        <w:rPr>
          <w:rFonts w:hint="default"/>
          <w:lang w:val="en-US" w:eastAsia="zh-CN"/>
        </w:rPr>
      </w:pPr>
      <w:r>
        <w:rPr>
          <w:rFonts w:hint="eastAsia" w:ascii="方正仿宋_GBK" w:hAnsi="方正仿宋_GBK" w:eastAsia="方正仿宋_GBK" w:cs="方正仿宋_GBK"/>
          <w:b w:val="0"/>
          <w:bCs/>
          <w:color w:val="auto"/>
          <w:sz w:val="32"/>
          <w:szCs w:val="32"/>
          <w:lang w:val="en-US" w:eastAsia="zh-CN"/>
        </w:rPr>
        <w:t>经综合考虑定量指标与定性指标、共性指标与个性指标、投入指标与产出指标的平衡，最终将本项目绩效评价指标体系分为“部门决策、部门管理、部门绩效”三个一级指标，权重分别为：20%、30%、50%，在此基础上又将一级指标具体分解为10个二级指标和30个三级指标以及31个四级指标。（详见附件2）</w:t>
      </w:r>
    </w:p>
    <w:p>
      <w:pPr>
        <w:spacing w:line="500" w:lineRule="exact"/>
        <w:ind w:firstLine="643" w:firstLineChars="200"/>
        <w:jc w:val="both"/>
        <w:outlineLvl w:val="1"/>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lang w:val="en-US" w:eastAsia="zh-CN"/>
        </w:rPr>
        <w:t>3.</w:t>
      </w:r>
      <w:r>
        <w:rPr>
          <w:rFonts w:hint="eastAsia" w:ascii="方正楷体_GBK" w:hAnsi="方正楷体_GBK" w:eastAsia="方正楷体_GBK" w:cs="方正楷体_GBK"/>
          <w:b/>
          <w:color w:val="auto"/>
          <w:sz w:val="32"/>
          <w:szCs w:val="32"/>
        </w:rPr>
        <w:t>评价方法</w:t>
      </w:r>
      <w:bookmarkEnd w:id="54"/>
      <w:bookmarkEnd w:id="55"/>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rPr>
        <w:t>正确的评价方法是评价工作顺利开展的保障，在结合实际经验的情况下，绩效评价小组根据该项目资金的性质和特点，选用比较法、因素分析法、公众评判法以及文献法对项目进行评价，旨在通过综合分析影响绩效目标实现、实施效果的内外部因素，从而评价该项目绩效。三级指标分析环节：总体采用比较法，同时辅以文献法、成本效益法、因素分析法以及公众评判法，根据不同三级指标类型进行逐项分析。</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rPr>
        <w:t>①定量指标分析环节：主要采用比较法，对比三级指标预期指标值和三级指标截止评价日的完成情况，综合分析绩效目标实现程度。详细评价方法的应用如下:</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rPr>
        <w:t>一般量化统计类等定量指标：通过对比实际完成值和预期指标值，达成预期指标值的，得满分；对完成值高于指标值较多的，要分析原因，如果是由于年初指标值设定明显偏低造成的，要按照偏离程度适度调减分值；未完成指标值的，按照完成值与指标值的比值计算分值。</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rPr>
        <w:t>属于“是”或“否”判断的单一评判定量指标：比较法，符合要求的得满分，不符合要求的不得分或者扣相应的分数。</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rPr>
        <w:t>满意度指标：主要采用比较法，</w:t>
      </w:r>
      <w:r>
        <w:rPr>
          <w:rFonts w:hint="eastAsia" w:ascii="方正仿宋_GBK" w:hAnsi="方正仿宋_GBK" w:eastAsia="方正仿宋_GBK" w:cs="方正仿宋_GBK"/>
          <w:b w:val="0"/>
          <w:bCs w:val="0"/>
          <w:color w:val="auto"/>
          <w:sz w:val="32"/>
          <w:szCs w:val="32"/>
          <w:highlight w:val="none"/>
          <w:lang w:eastAsia="zh-CN"/>
        </w:rPr>
        <w:t>根</w:t>
      </w:r>
      <w:r>
        <w:rPr>
          <w:rFonts w:hint="eastAsia" w:ascii="方正仿宋_GBK" w:hAnsi="方正仿宋_GBK" w:eastAsia="方正仿宋_GBK" w:cs="方正仿宋_GBK"/>
          <w:b w:val="0"/>
          <w:bCs w:val="0"/>
          <w:color w:val="auto"/>
          <w:sz w:val="32"/>
          <w:szCs w:val="32"/>
          <w:highlight w:val="none"/>
        </w:rPr>
        <w:t>据满意度问卷统计结果计算指标完成比率，将指标完成比率与预期指标值对比，达成满意度预期目标的，得满分；未完成指标值的，按照完成值与预期指标值的比值计算得分；满意度小于60%不得分。</w:t>
      </w:r>
    </w:p>
    <w:p>
      <w:pPr>
        <w:spacing w:line="560" w:lineRule="exact"/>
        <w:ind w:firstLine="640" w:firstLineChars="200"/>
        <w:jc w:val="both"/>
        <w:rPr>
          <w:rFonts w:hint="eastAsia" w:ascii="方正仿宋_GBK" w:hAnsi="方正仿宋_GBK" w:eastAsia="方正仿宋_GBK" w:cs="方正仿宋_GBK"/>
          <w:b w:val="0"/>
          <w:bCs w:val="0"/>
          <w:color w:val="auto"/>
          <w:sz w:val="32"/>
          <w:szCs w:val="32"/>
          <w:highlight w:val="none"/>
        </w:rPr>
      </w:pPr>
      <w:r>
        <w:rPr>
          <w:rFonts w:hint="eastAsia" w:ascii="方正仿宋_GBK" w:hAnsi="方正仿宋_GBK" w:eastAsia="方正仿宋_GBK" w:cs="方正仿宋_GBK"/>
          <w:b w:val="0"/>
          <w:bCs w:val="0"/>
          <w:color w:val="auto"/>
          <w:sz w:val="32"/>
          <w:szCs w:val="32"/>
          <w:highlight w:val="none"/>
        </w:rPr>
        <w:t>②定性指标分析环节：主要采用公众评判法，通过问卷及抽样调查等方式评价本项目实施后社会公众对于其实施效果的满意程度，将调研结果按照《项目支出绩效评价管理办法》（财预〔2020〕10号）、《关于印发</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自治区项目支出绩效目标设置指引</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sz w:val="32"/>
          <w:szCs w:val="32"/>
          <w:highlight w:val="none"/>
        </w:rPr>
        <w:t>的通知》（新财预〔2022〕42号）文件要求分为基本达成目标、部分实现目标、实现目标程度较低三档，分别按照该指标对应分值区间100%-80%（含）、80%-60%（含）、60%-0%合理确定分值，详细评价方法如下:</w:t>
      </w:r>
    </w:p>
    <w:p>
      <w:pPr>
        <w:spacing w:line="560" w:lineRule="exact"/>
        <w:ind w:firstLine="643" w:firstLineChars="200"/>
        <w:jc w:val="both"/>
        <w:rPr>
          <w:rFonts w:hint="eastAsia" w:ascii="方正仿宋_GBK" w:hAnsi="方正仿宋_GBK" w:eastAsia="方正仿宋_GBK" w:cs="方正仿宋_GBK"/>
          <w:b/>
          <w:bCs/>
          <w:color w:val="auto"/>
          <w:sz w:val="32"/>
          <w:szCs w:val="32"/>
          <w:highlight w:val="none"/>
        </w:rPr>
      </w:pPr>
      <w:r>
        <w:rPr>
          <w:rFonts w:hint="eastAsia" w:ascii="方正仿宋_GBK" w:hAnsi="方正仿宋_GBK" w:eastAsia="方正仿宋_GBK" w:cs="方正仿宋_GBK"/>
          <w:b/>
          <w:bCs/>
          <w:color w:val="auto"/>
          <w:sz w:val="32"/>
          <w:szCs w:val="32"/>
          <w:highlight w:val="none"/>
          <w:lang w:eastAsia="zh-CN"/>
        </w:rPr>
        <w:t>（</w:t>
      </w:r>
      <w:r>
        <w:rPr>
          <w:rFonts w:hint="eastAsia" w:ascii="方正仿宋_GBK" w:hAnsi="方正仿宋_GBK" w:eastAsia="方正仿宋_GBK" w:cs="方正仿宋_GBK"/>
          <w:b/>
          <w:bCs/>
          <w:color w:val="auto"/>
          <w:sz w:val="32"/>
          <w:szCs w:val="32"/>
          <w:highlight w:val="none"/>
          <w:lang w:val="en-US" w:eastAsia="zh-CN"/>
        </w:rPr>
        <w:t>1</w:t>
      </w:r>
      <w:r>
        <w:rPr>
          <w:rFonts w:hint="eastAsia" w:ascii="方正仿宋_GBK" w:hAnsi="方正仿宋_GBK" w:eastAsia="方正仿宋_GBK" w:cs="方正仿宋_GBK"/>
          <w:b/>
          <w:bCs/>
          <w:color w:val="auto"/>
          <w:sz w:val="32"/>
          <w:szCs w:val="32"/>
          <w:highlight w:val="none"/>
          <w:lang w:eastAsia="zh-CN"/>
        </w:rPr>
        <w:t>）</w:t>
      </w:r>
      <w:r>
        <w:rPr>
          <w:rFonts w:hint="eastAsia" w:ascii="方正仿宋_GBK" w:hAnsi="方正仿宋_GBK" w:eastAsia="方正仿宋_GBK" w:cs="方正仿宋_GBK"/>
          <w:b/>
          <w:bCs/>
          <w:color w:val="auto"/>
          <w:sz w:val="32"/>
          <w:szCs w:val="32"/>
          <w:highlight w:val="none"/>
        </w:rPr>
        <w:t>文献法</w:t>
      </w:r>
    </w:p>
    <w:p>
      <w:pPr>
        <w:spacing w:line="560" w:lineRule="exact"/>
        <w:ind w:firstLine="640" w:firstLineChars="200"/>
        <w:jc w:val="both"/>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文献指通过广泛收集相关文献，并通过对文献的研究形成对事实的科学认识，从中选取信息，以达到调查研究目的。本次评价中主要通过收集本项目相关的政策文件，了解</w:t>
      </w:r>
      <w:r>
        <w:rPr>
          <w:rFonts w:hint="eastAsia" w:ascii="方正仿宋_GBK" w:hAnsi="方正仿宋_GBK" w:eastAsia="方正仿宋_GBK" w:cs="方正仿宋_GBK"/>
          <w:color w:val="auto"/>
          <w:sz w:val="32"/>
          <w:szCs w:val="32"/>
          <w:highlight w:val="none"/>
          <w:lang w:val="en-US" w:eastAsia="zh-CN"/>
        </w:rPr>
        <w:t>市监局</w:t>
      </w:r>
      <w:r>
        <w:rPr>
          <w:rFonts w:hint="eastAsia" w:ascii="方正仿宋_GBK" w:hAnsi="方正仿宋_GBK" w:eastAsia="方正仿宋_GBK" w:cs="方正仿宋_GBK"/>
          <w:color w:val="auto"/>
          <w:sz w:val="32"/>
          <w:szCs w:val="32"/>
          <w:highlight w:val="none"/>
        </w:rPr>
        <w:t>设立背景、目标任务等。</w:t>
      </w:r>
    </w:p>
    <w:p>
      <w:pPr>
        <w:spacing w:line="560" w:lineRule="exact"/>
        <w:ind w:firstLine="643" w:firstLineChars="200"/>
        <w:jc w:val="both"/>
        <w:rPr>
          <w:rFonts w:hint="eastAsia" w:ascii="方正仿宋_GBK" w:hAnsi="方正仿宋_GBK" w:eastAsia="方正仿宋_GBK" w:cs="方正仿宋_GBK"/>
          <w:b/>
          <w:bCs/>
          <w:color w:val="auto"/>
          <w:sz w:val="32"/>
          <w:szCs w:val="32"/>
          <w:highlight w:val="none"/>
        </w:rPr>
      </w:pPr>
      <w:r>
        <w:rPr>
          <w:rFonts w:hint="eastAsia" w:ascii="方正仿宋_GBK" w:hAnsi="方正仿宋_GBK" w:eastAsia="方正仿宋_GBK" w:cs="方正仿宋_GBK"/>
          <w:b/>
          <w:bCs/>
          <w:color w:val="auto"/>
          <w:sz w:val="32"/>
          <w:szCs w:val="32"/>
          <w:highlight w:val="none"/>
          <w:lang w:eastAsia="zh-CN"/>
        </w:rPr>
        <w:t>（</w:t>
      </w:r>
      <w:r>
        <w:rPr>
          <w:rFonts w:hint="eastAsia" w:ascii="方正仿宋_GBK" w:hAnsi="方正仿宋_GBK" w:eastAsia="方正仿宋_GBK" w:cs="方正仿宋_GBK"/>
          <w:b/>
          <w:bCs/>
          <w:color w:val="auto"/>
          <w:sz w:val="32"/>
          <w:szCs w:val="32"/>
          <w:highlight w:val="none"/>
          <w:lang w:val="en-US" w:eastAsia="zh-CN"/>
        </w:rPr>
        <w:t>2</w:t>
      </w:r>
      <w:r>
        <w:rPr>
          <w:rFonts w:hint="eastAsia" w:ascii="方正仿宋_GBK" w:hAnsi="方正仿宋_GBK" w:eastAsia="方正仿宋_GBK" w:cs="方正仿宋_GBK"/>
          <w:b/>
          <w:bCs/>
          <w:color w:val="auto"/>
          <w:sz w:val="32"/>
          <w:szCs w:val="32"/>
          <w:highlight w:val="none"/>
          <w:lang w:eastAsia="zh-CN"/>
        </w:rPr>
        <w:t>）</w:t>
      </w:r>
      <w:r>
        <w:rPr>
          <w:rFonts w:hint="eastAsia" w:ascii="方正仿宋_GBK" w:hAnsi="方正仿宋_GBK" w:eastAsia="方正仿宋_GBK" w:cs="方正仿宋_GBK"/>
          <w:b/>
          <w:bCs/>
          <w:color w:val="auto"/>
          <w:sz w:val="32"/>
          <w:szCs w:val="32"/>
          <w:highlight w:val="none"/>
        </w:rPr>
        <w:t>社会调查法</w:t>
      </w:r>
    </w:p>
    <w:p>
      <w:pPr>
        <w:spacing w:line="560" w:lineRule="exact"/>
        <w:ind w:firstLine="640" w:firstLineChars="200"/>
        <w:jc w:val="both"/>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社会调查是深入了解利益相关方对某事物的认知及态度的主要方法，同时也是搜集标准统计数据的有效途径。本次评价中采用的社会调查法包括访谈、问卷调查。通过对</w:t>
      </w:r>
      <w:r>
        <w:rPr>
          <w:rFonts w:hint="eastAsia" w:ascii="方正仿宋_GBK" w:hAnsi="方正仿宋_GBK" w:eastAsia="方正仿宋_GBK" w:cs="方正仿宋_GBK"/>
          <w:color w:val="auto"/>
          <w:sz w:val="32"/>
          <w:szCs w:val="32"/>
          <w:highlight w:val="none"/>
          <w:lang w:val="en-US" w:eastAsia="zh-CN"/>
        </w:rPr>
        <w:t>市监局</w:t>
      </w:r>
      <w:r>
        <w:rPr>
          <w:rFonts w:hint="eastAsia" w:ascii="方正仿宋_GBK" w:hAnsi="方正仿宋_GBK" w:eastAsia="方正仿宋_GBK" w:cs="方正仿宋_GBK"/>
          <w:color w:val="auto"/>
          <w:sz w:val="32"/>
          <w:szCs w:val="32"/>
          <w:highlight w:val="none"/>
        </w:rPr>
        <w:t>相关负责人进行访谈更加充分地了解资金分配、部门履职、预期效益等情况；通过对</w:t>
      </w:r>
      <w:r>
        <w:rPr>
          <w:rStyle w:val="13"/>
          <w:rFonts w:hint="eastAsia" w:ascii="方正仿宋_GBK" w:hAnsi="方正仿宋_GBK" w:eastAsia="方正仿宋_GBK" w:cs="方正仿宋_GBK"/>
          <w:b w:val="0"/>
          <w:color w:val="auto"/>
          <w:spacing w:val="6"/>
          <w:sz w:val="32"/>
          <w:szCs w:val="32"/>
          <w:highlight w:val="none"/>
          <w:lang w:val="en-US" w:eastAsia="zh-CN"/>
        </w:rPr>
        <w:t>在职、离退休干部及服务对象</w:t>
      </w:r>
      <w:r>
        <w:rPr>
          <w:rFonts w:hint="eastAsia" w:ascii="方正仿宋_GBK" w:hAnsi="方正仿宋_GBK" w:eastAsia="方正仿宋_GBK" w:cs="方正仿宋_GBK"/>
          <w:color w:val="auto"/>
          <w:sz w:val="32"/>
          <w:szCs w:val="32"/>
          <w:highlight w:val="none"/>
        </w:rPr>
        <w:t>进行问卷调查，了解其对</w:t>
      </w:r>
      <w:r>
        <w:rPr>
          <w:rFonts w:hint="eastAsia" w:ascii="方正仿宋_GBK" w:hAnsi="方正仿宋_GBK" w:eastAsia="方正仿宋_GBK" w:cs="方正仿宋_GBK"/>
          <w:color w:val="auto"/>
          <w:sz w:val="32"/>
          <w:szCs w:val="32"/>
          <w:highlight w:val="none"/>
          <w:lang w:val="en-US" w:eastAsia="zh-CN"/>
        </w:rPr>
        <w:t>市监局</w:t>
      </w:r>
      <w:r>
        <w:rPr>
          <w:rFonts w:hint="eastAsia" w:ascii="方正仿宋_GBK" w:hAnsi="方正仿宋_GBK" w:eastAsia="方正仿宋_GBK" w:cs="方正仿宋_GBK"/>
          <w:color w:val="auto"/>
          <w:sz w:val="32"/>
          <w:szCs w:val="32"/>
          <w:highlight w:val="none"/>
        </w:rPr>
        <w:t>工作开展成效的评价。</w:t>
      </w:r>
    </w:p>
    <w:p>
      <w:pPr>
        <w:pStyle w:val="17"/>
        <w:numPr>
          <w:ilvl w:val="0"/>
          <w:numId w:val="0"/>
        </w:numPr>
        <w:spacing w:line="560" w:lineRule="exact"/>
        <w:ind w:left="562" w:leftChars="0"/>
        <w:jc w:val="both"/>
        <w:rPr>
          <w:rFonts w:hint="eastAsia" w:ascii="方正仿宋_GBK" w:hAnsi="方正仿宋_GBK" w:eastAsia="方正仿宋_GBK" w:cs="方正仿宋_GBK"/>
          <w:b/>
          <w:bCs/>
          <w:color w:val="auto"/>
          <w:sz w:val="32"/>
          <w:szCs w:val="32"/>
          <w:highlight w:val="none"/>
        </w:rPr>
      </w:pPr>
      <w:r>
        <w:rPr>
          <w:rFonts w:hint="eastAsia" w:ascii="方正仿宋_GBK" w:hAnsi="方正仿宋_GBK" w:eastAsia="方正仿宋_GBK" w:cs="方正仿宋_GBK"/>
          <w:b/>
          <w:bCs/>
          <w:color w:val="auto"/>
          <w:sz w:val="32"/>
          <w:szCs w:val="32"/>
          <w:highlight w:val="none"/>
          <w:lang w:val="en-US" w:eastAsia="zh-CN"/>
        </w:rPr>
        <w:t>（3）</w:t>
      </w:r>
      <w:r>
        <w:rPr>
          <w:rFonts w:hint="eastAsia" w:ascii="方正仿宋_GBK" w:hAnsi="方正仿宋_GBK" w:eastAsia="方正仿宋_GBK" w:cs="方正仿宋_GBK"/>
          <w:b/>
          <w:bCs/>
          <w:color w:val="auto"/>
          <w:sz w:val="32"/>
          <w:szCs w:val="32"/>
          <w:highlight w:val="none"/>
        </w:rPr>
        <w:t>实地核查法</w:t>
      </w:r>
    </w:p>
    <w:p>
      <w:pPr>
        <w:spacing w:line="560" w:lineRule="exact"/>
        <w:ind w:firstLine="640" w:firstLineChars="200"/>
        <w:jc w:val="both"/>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实地核查法是通过现场查看、材料核查了解项目实施及管理情况的方法。本项目中主要通过实地勘察，了解</w:t>
      </w:r>
      <w:r>
        <w:rPr>
          <w:rFonts w:hint="eastAsia" w:ascii="方正仿宋_GBK" w:hAnsi="方正仿宋_GBK" w:eastAsia="方正仿宋_GBK" w:cs="方正仿宋_GBK"/>
          <w:color w:val="auto"/>
          <w:sz w:val="32"/>
          <w:szCs w:val="32"/>
          <w:highlight w:val="none"/>
          <w:lang w:val="en-US" w:eastAsia="zh-CN"/>
        </w:rPr>
        <w:t>市监局</w:t>
      </w:r>
      <w:r>
        <w:rPr>
          <w:rFonts w:hint="eastAsia" w:ascii="方正仿宋_GBK" w:hAnsi="方正仿宋_GBK" w:eastAsia="方正仿宋_GBK" w:cs="方正仿宋_GBK"/>
          <w:color w:val="auto"/>
          <w:sz w:val="32"/>
          <w:szCs w:val="32"/>
          <w:highlight w:val="none"/>
        </w:rPr>
        <w:t>各项任务的计划完成情况；通过查阅本项目的实施方案、合同、项目及资金管理制度以及执行的过程性材料，考察项目实施过程的规范性、资金管理的规范性等。</w:t>
      </w:r>
    </w:p>
    <w:p>
      <w:pPr>
        <w:pStyle w:val="17"/>
        <w:numPr>
          <w:ilvl w:val="0"/>
          <w:numId w:val="0"/>
        </w:numPr>
        <w:spacing w:line="560" w:lineRule="exact"/>
        <w:ind w:left="562" w:leftChars="0"/>
        <w:jc w:val="both"/>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b/>
          <w:bCs/>
          <w:color w:val="auto"/>
          <w:sz w:val="32"/>
          <w:szCs w:val="32"/>
          <w:highlight w:val="none"/>
          <w:lang w:val="en-US" w:eastAsia="zh-CN"/>
        </w:rPr>
        <w:t>（4）</w:t>
      </w:r>
      <w:r>
        <w:rPr>
          <w:rFonts w:hint="eastAsia" w:ascii="方正仿宋_GBK" w:hAnsi="方正仿宋_GBK" w:eastAsia="方正仿宋_GBK" w:cs="方正仿宋_GBK"/>
          <w:b/>
          <w:bCs/>
          <w:color w:val="auto"/>
          <w:sz w:val="32"/>
          <w:szCs w:val="32"/>
          <w:highlight w:val="none"/>
        </w:rPr>
        <w:t>因素分析法</w:t>
      </w:r>
    </w:p>
    <w:p>
      <w:pPr>
        <w:spacing w:line="560" w:lineRule="exact"/>
        <w:ind w:firstLine="640" w:firstLineChars="200"/>
        <w:jc w:val="both"/>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因素分析法又称经验分析法，是一种定性分析方法。该方法主要指根据对象选择应考虑的各种因素，凭借分析人员的知识和经验集体研究确定选择对象。</w:t>
      </w:r>
    </w:p>
    <w:p>
      <w:pPr>
        <w:pStyle w:val="17"/>
        <w:numPr>
          <w:ilvl w:val="0"/>
          <w:numId w:val="0"/>
        </w:numPr>
        <w:spacing w:line="560" w:lineRule="exact"/>
        <w:ind w:left="562" w:leftChars="0"/>
        <w:jc w:val="both"/>
        <w:rPr>
          <w:rFonts w:hint="default" w:ascii="方正仿宋_GBK" w:hAnsi="方正仿宋_GBK" w:eastAsia="方正仿宋_GBK" w:cs="方正仿宋_GBK"/>
          <w:b/>
          <w:bCs/>
          <w:color w:val="auto"/>
          <w:sz w:val="32"/>
          <w:szCs w:val="32"/>
          <w:highlight w:val="none"/>
          <w:lang w:val="en-US" w:eastAsia="zh-CN"/>
        </w:rPr>
      </w:pPr>
      <w:r>
        <w:rPr>
          <w:rFonts w:hint="eastAsia" w:ascii="方正仿宋_GBK" w:hAnsi="方正仿宋_GBK" w:eastAsia="方正仿宋_GBK" w:cs="方正仿宋_GBK"/>
          <w:b/>
          <w:bCs/>
          <w:color w:val="auto"/>
          <w:sz w:val="32"/>
          <w:szCs w:val="32"/>
          <w:highlight w:val="none"/>
          <w:lang w:val="en-US" w:eastAsia="zh-CN"/>
        </w:rPr>
        <w:t>4.评价标准</w:t>
      </w:r>
    </w:p>
    <w:p>
      <w:pPr>
        <w:spacing w:line="500" w:lineRule="exact"/>
        <w:ind w:firstLine="640" w:firstLineChars="200"/>
        <w:jc w:val="both"/>
        <w:outlineLvl w:val="1"/>
        <w:rPr>
          <w:rFonts w:hint="eastAsia" w:ascii="方正仿宋_GBK" w:hAnsi="方正仿宋_GBK" w:eastAsia="方正仿宋_GBK" w:cs="方正仿宋_GBK"/>
          <w:b w:val="0"/>
          <w:bCs/>
          <w:color w:val="auto"/>
          <w:sz w:val="32"/>
          <w:szCs w:val="32"/>
        </w:rPr>
      </w:pPr>
      <w:bookmarkStart w:id="56" w:name="_Toc10360"/>
      <w:bookmarkStart w:id="57" w:name="_Toc45010311"/>
      <w:r>
        <w:rPr>
          <w:rFonts w:hint="eastAsia" w:ascii="方正仿宋_GBK" w:hAnsi="方正仿宋_GBK" w:eastAsia="方正仿宋_GBK" w:cs="方正仿宋_GBK"/>
          <w:b w:val="0"/>
          <w:bCs/>
          <w:color w:val="auto"/>
          <w:sz w:val="32"/>
          <w:szCs w:val="32"/>
        </w:rPr>
        <w:t>绩效评价标准通常包括计划标准、行业标准、历史标准等，用于对绩效指标完成情况进行比较、分析、评价。本次评价主要采用了计划标准。</w:t>
      </w:r>
    </w:p>
    <w:p>
      <w:pPr>
        <w:spacing w:line="500" w:lineRule="exact"/>
        <w:ind w:firstLine="640" w:firstLineChars="200"/>
        <w:jc w:val="both"/>
        <w:outlineLvl w:val="1"/>
        <w:rPr>
          <w:rFonts w:hint="eastAsia" w:ascii="方正仿宋_GBK" w:hAnsi="方正仿宋_GBK" w:eastAsia="方正仿宋_GBK" w:cs="方正仿宋_GBK"/>
          <w:b w:val="0"/>
          <w:bCs/>
          <w:color w:val="auto"/>
          <w:sz w:val="32"/>
          <w:szCs w:val="32"/>
        </w:rPr>
      </w:pPr>
      <w:r>
        <w:rPr>
          <w:rFonts w:hint="eastAsia" w:ascii="方正仿宋_GBK" w:hAnsi="方正仿宋_GBK" w:eastAsia="方正仿宋_GBK" w:cs="方正仿宋_GBK"/>
          <w:b w:val="0"/>
          <w:bCs/>
          <w:color w:val="auto"/>
          <w:sz w:val="32"/>
          <w:szCs w:val="32"/>
        </w:rPr>
        <w:t>计划标准：指以预先制定的目标、计划、预算、定额等作为评价标准。</w:t>
      </w:r>
      <w:r>
        <w:rPr>
          <w:rFonts w:hint="eastAsia" w:ascii="方正仿宋_GBK" w:hAnsi="方正仿宋_GBK" w:eastAsia="方正仿宋_GBK" w:cs="方正仿宋_GBK"/>
          <w:b w:val="0"/>
          <w:bCs/>
          <w:color w:val="auto"/>
          <w:sz w:val="32"/>
          <w:szCs w:val="32"/>
          <w:lang w:eastAsia="zh-CN"/>
        </w:rPr>
        <w:t>伽师县市场监督管理局</w:t>
      </w:r>
      <w:r>
        <w:rPr>
          <w:rFonts w:hint="eastAsia" w:ascii="方正仿宋_GBK" w:hAnsi="方正仿宋_GBK" w:eastAsia="方正仿宋_GBK" w:cs="方正仿宋_GBK"/>
          <w:b w:val="0"/>
          <w:bCs/>
          <w:color w:val="auto"/>
          <w:sz w:val="32"/>
          <w:szCs w:val="32"/>
        </w:rPr>
        <w:t>事先制定目标、计划、预算、定额等预计数据作为评价财政支出绩效的标准。通过将实际完成值与预定数据进行对比,发现差异并达到评价目的。</w:t>
      </w:r>
    </w:p>
    <w:p>
      <w:pPr>
        <w:spacing w:line="500" w:lineRule="exact"/>
        <w:ind w:firstLine="643" w:firstLineChars="200"/>
        <w:jc w:val="both"/>
        <w:outlineLvl w:val="1"/>
        <w:rPr>
          <w:rFonts w:hint="eastAsia" w:ascii="方正楷体_GBK" w:hAnsi="方正楷体_GBK" w:eastAsia="方正楷体_GBK" w:cs="方正楷体_GBK"/>
          <w:b/>
          <w:color w:val="auto"/>
          <w:sz w:val="32"/>
          <w:szCs w:val="32"/>
          <w:lang w:eastAsia="zh-CN"/>
        </w:rPr>
      </w:pPr>
      <w:bookmarkStart w:id="58" w:name="_Toc4116_WPSOffice_Level2"/>
      <w:r>
        <w:rPr>
          <w:rFonts w:hint="eastAsia" w:ascii="方正楷体_GBK" w:hAnsi="方正楷体_GBK" w:eastAsia="方正楷体_GBK" w:cs="方正楷体_GBK"/>
          <w:b/>
          <w:color w:val="auto"/>
          <w:sz w:val="32"/>
          <w:szCs w:val="32"/>
        </w:rPr>
        <w:t>（</w:t>
      </w:r>
      <w:r>
        <w:rPr>
          <w:rFonts w:hint="eastAsia" w:ascii="方正楷体_GBK" w:hAnsi="方正楷体_GBK" w:eastAsia="方正楷体_GBK" w:cs="方正楷体_GBK"/>
          <w:b/>
          <w:color w:val="auto"/>
          <w:sz w:val="32"/>
          <w:szCs w:val="32"/>
          <w:lang w:val="en-US" w:eastAsia="zh-CN"/>
        </w:rPr>
        <w:t>三</w:t>
      </w:r>
      <w:r>
        <w:rPr>
          <w:rFonts w:hint="eastAsia" w:ascii="方正楷体_GBK" w:hAnsi="方正楷体_GBK" w:eastAsia="方正楷体_GBK" w:cs="方正楷体_GBK"/>
          <w:b/>
          <w:color w:val="auto"/>
          <w:sz w:val="32"/>
          <w:szCs w:val="32"/>
        </w:rPr>
        <w:t>）绩效评价工作</w:t>
      </w:r>
      <w:bookmarkEnd w:id="56"/>
      <w:bookmarkEnd w:id="57"/>
      <w:r>
        <w:rPr>
          <w:rFonts w:hint="eastAsia" w:ascii="方正楷体_GBK" w:hAnsi="方正楷体_GBK" w:eastAsia="方正楷体_GBK" w:cs="方正楷体_GBK"/>
          <w:b/>
          <w:color w:val="auto"/>
          <w:sz w:val="32"/>
          <w:szCs w:val="32"/>
          <w:lang w:eastAsia="zh-CN"/>
        </w:rPr>
        <w:t>过程</w:t>
      </w:r>
      <w:bookmarkEnd w:id="58"/>
    </w:p>
    <w:p>
      <w:pPr>
        <w:widowControl/>
        <w:snapToGrid/>
        <w:spacing w:before="0" w:beforeAutospacing="0" w:after="0" w:afterAutospacing="0" w:line="600" w:lineRule="exact"/>
        <w:ind w:firstLine="643" w:firstLineChars="200"/>
        <w:jc w:val="both"/>
        <w:textAlignment w:val="baseline"/>
        <w:rPr>
          <w:rStyle w:val="21"/>
          <w:rFonts w:hint="eastAsia" w:ascii="方正仿宋_GBK" w:hAnsi="方正仿宋_GBK" w:eastAsia="方正仿宋_GBK" w:cs="方正仿宋_GBK"/>
          <w:b/>
          <w:bCs/>
          <w:i w:val="0"/>
          <w:caps w:val="0"/>
          <w:color w:val="auto"/>
          <w:spacing w:val="0"/>
          <w:w w:val="100"/>
          <w:kern w:val="0"/>
          <w:sz w:val="32"/>
          <w:szCs w:val="32"/>
          <w:highlight w:val="none"/>
          <w:lang w:val="en-US" w:eastAsia="zh-CN" w:bidi="ar-SA"/>
        </w:rPr>
      </w:pPr>
      <w:r>
        <w:rPr>
          <w:rStyle w:val="21"/>
          <w:rFonts w:hint="eastAsia" w:ascii="方正仿宋_GBK" w:hAnsi="方正仿宋_GBK" w:eastAsia="方正仿宋_GBK" w:cs="方正仿宋_GBK"/>
          <w:b/>
          <w:bCs/>
          <w:i w:val="0"/>
          <w:caps w:val="0"/>
          <w:color w:val="auto"/>
          <w:spacing w:val="0"/>
          <w:w w:val="100"/>
          <w:kern w:val="0"/>
          <w:sz w:val="32"/>
          <w:szCs w:val="32"/>
          <w:highlight w:val="none"/>
          <w:lang w:val="en-US" w:eastAsia="zh-CN" w:bidi="ar-SA"/>
        </w:rPr>
        <w:t>1.评价人员</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baseline"/>
        <w:rPr>
          <w:rStyle w:val="21"/>
          <w:rFonts w:hint="eastAsia" w:ascii="方正仿宋_GBK" w:hAnsi="方正仿宋_GBK" w:eastAsia="方正仿宋_GBK" w:cs="方正仿宋_GBK"/>
          <w:b w:val="0"/>
          <w:i w:val="0"/>
          <w:caps w:val="0"/>
          <w:color w:val="auto"/>
          <w:spacing w:val="0"/>
          <w:w w:val="100"/>
          <w:kern w:val="0"/>
          <w:sz w:val="32"/>
          <w:szCs w:val="32"/>
          <w:lang w:val="en-US" w:eastAsia="zh-CN" w:bidi="ar-SA"/>
        </w:rPr>
      </w:pPr>
      <w:r>
        <w:rPr>
          <w:rStyle w:val="21"/>
          <w:rFonts w:hint="eastAsia" w:ascii="方正仿宋_GBK" w:hAnsi="方正仿宋_GBK" w:eastAsia="方正仿宋_GBK" w:cs="方正仿宋_GBK"/>
          <w:b w:val="0"/>
          <w:i w:val="0"/>
          <w:caps w:val="0"/>
          <w:color w:val="auto"/>
          <w:spacing w:val="0"/>
          <w:w w:val="100"/>
          <w:kern w:val="0"/>
          <w:sz w:val="32"/>
          <w:szCs w:val="32"/>
          <w:lang w:val="en-US" w:eastAsia="zh-CN" w:bidi="ar-SA"/>
        </w:rPr>
        <w:t>本次评价委托方为伽师县财政局，受托方为新疆永信中正项目管理咨询有限公司。</w:t>
      </w:r>
      <w:r>
        <w:rPr>
          <w:rStyle w:val="21"/>
          <w:rFonts w:hint="eastAsia" w:ascii="方正仿宋_GBK" w:hAnsi="方正仿宋_GBK" w:eastAsia="方正仿宋_GBK" w:cs="方正仿宋_GBK"/>
          <w:b w:val="0"/>
          <w:i w:val="0"/>
          <w:caps w:val="0"/>
          <w:color w:val="0C0C0C"/>
          <w:spacing w:val="0"/>
          <w:w w:val="100"/>
          <w:kern w:val="0"/>
          <w:sz w:val="32"/>
          <w:szCs w:val="32"/>
          <w:lang w:val="en-US" w:eastAsia="zh-CN" w:bidi="ar-SA"/>
        </w:rPr>
        <w:t>新疆永信中正项目管理咨询有限公司负责完成评价工作，公司高度</w:t>
      </w:r>
      <w:r>
        <w:rPr>
          <w:rStyle w:val="21"/>
          <w:rFonts w:hint="eastAsia" w:ascii="方正仿宋_GBK" w:hAnsi="方正仿宋_GBK" w:eastAsia="方正仿宋_GBK" w:cs="方正仿宋_GBK"/>
          <w:b w:val="0"/>
          <w:i w:val="0"/>
          <w:caps w:val="0"/>
          <w:color w:val="auto"/>
          <w:spacing w:val="0"/>
          <w:w w:val="100"/>
          <w:kern w:val="0"/>
          <w:sz w:val="32"/>
          <w:szCs w:val="32"/>
          <w:lang w:val="en-US" w:eastAsia="zh-CN" w:bidi="ar-SA"/>
        </w:rPr>
        <w:t>重视此次伽师县财政局对该项目评价工作的要求，配备专门人力，进行前期调查、研究讨论、撰写评价报告，具体人员名单如下：</w:t>
      </w:r>
    </w:p>
    <w:p>
      <w:pPr>
        <w:pStyle w:val="22"/>
        <w:widowControl/>
        <w:snapToGrid/>
        <w:spacing w:before="0" w:beforeAutospacing="0" w:after="0" w:afterAutospacing="0" w:line="500" w:lineRule="exact"/>
        <w:ind w:firstLine="3132" w:firstLineChars="1300"/>
        <w:jc w:val="both"/>
        <w:textAlignment w:val="baseline"/>
        <w:rPr>
          <w:rStyle w:val="21"/>
          <w:rFonts w:ascii="Times New Roman" w:hAnsi="Times New Roman" w:eastAsia="仿宋_GB2312" w:cs="黑体"/>
          <w:b/>
          <w:bCs/>
          <w:i w:val="0"/>
          <w:caps w:val="0"/>
          <w:color w:val="auto"/>
          <w:spacing w:val="0"/>
          <w:w w:val="100"/>
          <w:kern w:val="0"/>
          <w:sz w:val="24"/>
          <w:szCs w:val="24"/>
          <w:highlight w:val="none"/>
          <w:lang w:val="en-US" w:eastAsia="zh-CN" w:bidi="ar-SA"/>
        </w:rPr>
      </w:pPr>
      <w:r>
        <w:rPr>
          <w:rStyle w:val="21"/>
          <w:rFonts w:ascii="Times New Roman" w:hAnsi="Times New Roman" w:eastAsia="仿宋_GB2312" w:cs="黑体"/>
          <w:b/>
          <w:bCs/>
          <w:i w:val="0"/>
          <w:caps w:val="0"/>
          <w:color w:val="auto"/>
          <w:spacing w:val="0"/>
          <w:w w:val="100"/>
          <w:kern w:val="0"/>
          <w:sz w:val="24"/>
          <w:szCs w:val="24"/>
          <w:highlight w:val="none"/>
          <w:lang w:val="en-US" w:eastAsia="zh-CN" w:bidi="ar-SA"/>
        </w:rPr>
        <w:t>表2-1 评价组组员表</w:t>
      </w:r>
    </w:p>
    <w:tbl>
      <w:tblPr>
        <w:tblStyle w:val="11"/>
        <w:tblW w:w="82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1"/>
        <w:gridCol w:w="1109"/>
        <w:gridCol w:w="1548"/>
        <w:gridCol w:w="48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741" w:type="dxa"/>
            <w:tcBorders>
              <w:top w:val="single" w:color="000000" w:sz="4" w:space="0"/>
              <w:left w:val="single" w:color="000000" w:sz="4" w:space="0"/>
              <w:bottom w:val="single" w:color="000000" w:sz="4" w:space="0"/>
              <w:right w:val="single" w:color="000000" w:sz="4" w:space="0"/>
            </w:tcBorders>
            <w:shd w:val="clear" w:color="auto" w:fill="A6A6A6"/>
            <w:vAlign w:val="center"/>
          </w:tcPr>
          <w:p>
            <w:pPr>
              <w:widowControl/>
              <w:snapToGrid/>
              <w:spacing w:before="0" w:beforeAutospacing="0" w:after="0" w:afterAutospacing="0" w:line="240" w:lineRule="auto"/>
              <w:jc w:val="both"/>
              <w:textAlignment w:val="baseline"/>
              <w:rPr>
                <w:rStyle w:val="21"/>
                <w:rFonts w:ascii="Times New Roman" w:hAnsi="Times New Roman" w:eastAsia="仿宋_GB2312"/>
                <w:b/>
                <w:i w:val="0"/>
                <w:caps w:val="0"/>
                <w:color w:val="auto"/>
                <w:spacing w:val="0"/>
                <w:w w:val="100"/>
                <w:kern w:val="0"/>
                <w:sz w:val="22"/>
                <w:szCs w:val="24"/>
                <w:highlight w:val="none"/>
                <w:lang w:val="en-US" w:eastAsia="zh-CN" w:bidi="ar-SA"/>
              </w:rPr>
            </w:pPr>
            <w:r>
              <w:rPr>
                <w:rStyle w:val="21"/>
                <w:rFonts w:ascii="Times New Roman" w:hAnsi="Times New Roman" w:eastAsia="仿宋_GB2312"/>
                <w:b/>
                <w:i w:val="0"/>
                <w:caps w:val="0"/>
                <w:color w:val="auto"/>
                <w:spacing w:val="0"/>
                <w:w w:val="100"/>
                <w:kern w:val="0"/>
                <w:sz w:val="22"/>
                <w:szCs w:val="24"/>
                <w:highlight w:val="none"/>
                <w:lang w:val="en-US" w:eastAsia="zh-CN" w:bidi="ar-SA"/>
              </w:rPr>
              <w:t>序号</w:t>
            </w:r>
          </w:p>
        </w:tc>
        <w:tc>
          <w:tcPr>
            <w:tcW w:w="1109" w:type="dxa"/>
            <w:tcBorders>
              <w:top w:val="single" w:color="000000" w:sz="4" w:space="0"/>
              <w:left w:val="single" w:color="000000" w:sz="4" w:space="0"/>
              <w:bottom w:val="single" w:color="000000" w:sz="4" w:space="0"/>
              <w:right w:val="single" w:color="000000" w:sz="4" w:space="0"/>
            </w:tcBorders>
            <w:shd w:val="clear" w:color="auto" w:fill="A6A6A6"/>
            <w:vAlign w:val="center"/>
          </w:tcPr>
          <w:p>
            <w:pPr>
              <w:widowControl/>
              <w:snapToGrid/>
              <w:spacing w:before="0" w:beforeAutospacing="0" w:after="0" w:afterAutospacing="0" w:line="240" w:lineRule="auto"/>
              <w:jc w:val="both"/>
              <w:textAlignment w:val="baseline"/>
              <w:rPr>
                <w:rStyle w:val="21"/>
                <w:rFonts w:ascii="Times New Roman" w:hAnsi="Times New Roman" w:eastAsia="仿宋_GB2312"/>
                <w:b/>
                <w:i w:val="0"/>
                <w:caps w:val="0"/>
                <w:color w:val="auto"/>
                <w:spacing w:val="0"/>
                <w:w w:val="100"/>
                <w:kern w:val="0"/>
                <w:sz w:val="22"/>
                <w:szCs w:val="24"/>
                <w:highlight w:val="none"/>
                <w:lang w:val="en-US" w:eastAsia="zh-CN" w:bidi="ar-SA"/>
              </w:rPr>
            </w:pPr>
            <w:r>
              <w:rPr>
                <w:rStyle w:val="21"/>
                <w:rFonts w:ascii="Times New Roman" w:hAnsi="Times New Roman" w:eastAsia="仿宋_GB2312"/>
                <w:b/>
                <w:i w:val="0"/>
                <w:caps w:val="0"/>
                <w:color w:val="auto"/>
                <w:spacing w:val="0"/>
                <w:w w:val="100"/>
                <w:kern w:val="0"/>
                <w:sz w:val="22"/>
                <w:szCs w:val="24"/>
                <w:highlight w:val="none"/>
                <w:lang w:val="en-US" w:eastAsia="zh-CN" w:bidi="ar-SA"/>
              </w:rPr>
              <w:t>姓名</w:t>
            </w:r>
          </w:p>
        </w:tc>
        <w:tc>
          <w:tcPr>
            <w:tcW w:w="1548" w:type="dxa"/>
            <w:tcBorders>
              <w:top w:val="single" w:color="000000" w:sz="4" w:space="0"/>
              <w:left w:val="single" w:color="000000" w:sz="4" w:space="0"/>
              <w:bottom w:val="single" w:color="000000" w:sz="4" w:space="0"/>
              <w:right w:val="single" w:color="000000" w:sz="4" w:space="0"/>
            </w:tcBorders>
            <w:shd w:val="clear" w:color="auto" w:fill="A6A6A6"/>
            <w:vAlign w:val="center"/>
          </w:tcPr>
          <w:p>
            <w:pPr>
              <w:widowControl/>
              <w:snapToGrid/>
              <w:spacing w:before="0" w:beforeAutospacing="0" w:after="0" w:afterAutospacing="0" w:line="240" w:lineRule="auto"/>
              <w:jc w:val="both"/>
              <w:textAlignment w:val="baseline"/>
              <w:rPr>
                <w:rStyle w:val="21"/>
                <w:rFonts w:ascii="Times New Roman" w:hAnsi="Times New Roman" w:eastAsia="仿宋_GB2312"/>
                <w:b/>
                <w:i w:val="0"/>
                <w:caps w:val="0"/>
                <w:color w:val="auto"/>
                <w:spacing w:val="0"/>
                <w:w w:val="100"/>
                <w:kern w:val="0"/>
                <w:sz w:val="22"/>
                <w:szCs w:val="24"/>
                <w:highlight w:val="none"/>
                <w:lang w:val="en-US" w:eastAsia="zh-CN" w:bidi="ar-SA"/>
              </w:rPr>
            </w:pPr>
            <w:r>
              <w:rPr>
                <w:rStyle w:val="21"/>
                <w:rFonts w:ascii="Times New Roman" w:hAnsi="Times New Roman" w:eastAsia="仿宋_GB2312"/>
                <w:b/>
                <w:i w:val="0"/>
                <w:caps w:val="0"/>
                <w:color w:val="auto"/>
                <w:spacing w:val="0"/>
                <w:w w:val="100"/>
                <w:kern w:val="0"/>
                <w:sz w:val="22"/>
                <w:szCs w:val="24"/>
                <w:highlight w:val="none"/>
                <w:lang w:val="en-US" w:eastAsia="zh-CN" w:bidi="ar-SA"/>
              </w:rPr>
              <w:t>本政策中角色</w:t>
            </w:r>
          </w:p>
        </w:tc>
        <w:tc>
          <w:tcPr>
            <w:tcW w:w="4895" w:type="dxa"/>
            <w:tcBorders>
              <w:top w:val="single" w:color="000000" w:sz="4" w:space="0"/>
              <w:left w:val="single" w:color="000000" w:sz="4" w:space="0"/>
              <w:bottom w:val="single" w:color="000000" w:sz="4" w:space="0"/>
              <w:right w:val="single" w:color="000000" w:sz="4" w:space="0"/>
            </w:tcBorders>
            <w:shd w:val="clear" w:color="auto" w:fill="A6A6A6"/>
            <w:vAlign w:val="center"/>
          </w:tcPr>
          <w:p>
            <w:pPr>
              <w:widowControl/>
              <w:snapToGrid/>
              <w:spacing w:before="0" w:beforeAutospacing="0" w:after="0" w:afterAutospacing="0" w:line="240" w:lineRule="auto"/>
              <w:jc w:val="both"/>
              <w:textAlignment w:val="baseline"/>
              <w:rPr>
                <w:rStyle w:val="21"/>
                <w:rFonts w:ascii="Times New Roman" w:hAnsi="Times New Roman" w:eastAsia="仿宋_GB2312"/>
                <w:b/>
                <w:i w:val="0"/>
                <w:caps w:val="0"/>
                <w:color w:val="auto"/>
                <w:spacing w:val="0"/>
                <w:w w:val="100"/>
                <w:kern w:val="0"/>
                <w:sz w:val="22"/>
                <w:szCs w:val="24"/>
                <w:highlight w:val="none"/>
                <w:lang w:val="en-US" w:eastAsia="zh-CN" w:bidi="ar-SA"/>
              </w:rPr>
            </w:pPr>
            <w:r>
              <w:rPr>
                <w:rStyle w:val="21"/>
                <w:rFonts w:ascii="Times New Roman" w:hAnsi="Times New Roman" w:eastAsia="仿宋_GB2312"/>
                <w:b/>
                <w:i w:val="0"/>
                <w:caps w:val="0"/>
                <w:color w:val="auto"/>
                <w:spacing w:val="0"/>
                <w:w w:val="100"/>
                <w:kern w:val="0"/>
                <w:sz w:val="22"/>
                <w:szCs w:val="24"/>
                <w:highlight w:val="none"/>
                <w:lang w:val="en-US" w:eastAsia="zh-CN" w:bidi="ar-SA"/>
              </w:rPr>
              <w:t>工作职责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741"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40" w:lineRule="auto"/>
              <w:jc w:val="center"/>
              <w:textAlignment w:val="baseline"/>
              <w:rPr>
                <w:rFonts w:ascii="Times New Roman" w:hAnsi="Times New Roman" w:eastAsia="仿宋_GB2312" w:cs="Times New Roman"/>
                <w:b/>
                <w:bCs/>
                <w:i w:val="0"/>
                <w:caps w:val="0"/>
                <w:color w:val="auto"/>
                <w:spacing w:val="0"/>
                <w:w w:val="100"/>
                <w:kern w:val="0"/>
                <w:sz w:val="22"/>
                <w:szCs w:val="24"/>
                <w:highlight w:val="none"/>
                <w:lang w:val="en-US" w:eastAsia="zh-CN" w:bidi="ar-SA"/>
              </w:rPr>
            </w:pPr>
            <w:r>
              <w:rPr>
                <w:rFonts w:ascii="Times New Roman" w:hAnsi="Times New Roman" w:eastAsia="仿宋_GB2312"/>
                <w:b/>
                <w:bCs/>
                <w:i w:val="0"/>
                <w:caps w:val="0"/>
                <w:color w:val="auto"/>
                <w:spacing w:val="0"/>
                <w:w w:val="100"/>
                <w:kern w:val="0"/>
                <w:sz w:val="22"/>
                <w:highlight w:val="none"/>
              </w:rPr>
              <w:t>1</w:t>
            </w:r>
          </w:p>
        </w:tc>
        <w:tc>
          <w:tcPr>
            <w:tcW w:w="110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40" w:lineRule="auto"/>
              <w:jc w:val="center"/>
              <w:textAlignment w:val="baseline"/>
              <w:rPr>
                <w:rStyle w:val="21"/>
                <w:rFonts w:hint="eastAsia" w:ascii="Times New Roman" w:hAnsi="Times New Roman" w:eastAsia="仿宋_GB2312"/>
                <w:b w:val="0"/>
                <w:i w:val="0"/>
                <w:caps w:val="0"/>
                <w:color w:val="auto"/>
                <w:spacing w:val="0"/>
                <w:w w:val="100"/>
                <w:kern w:val="0"/>
                <w:sz w:val="22"/>
                <w:szCs w:val="24"/>
                <w:highlight w:val="none"/>
                <w:lang w:val="en-US" w:eastAsia="zh-CN" w:bidi="ar-SA"/>
              </w:rPr>
            </w:pPr>
            <w:r>
              <w:rPr>
                <w:rStyle w:val="21"/>
                <w:rFonts w:hint="eastAsia" w:ascii="Times New Roman" w:hAnsi="Times New Roman" w:eastAsia="仿宋_GB2312"/>
                <w:b w:val="0"/>
                <w:i w:val="0"/>
                <w:caps w:val="0"/>
                <w:color w:val="auto"/>
                <w:spacing w:val="0"/>
                <w:w w:val="100"/>
                <w:kern w:val="0"/>
                <w:sz w:val="22"/>
                <w:szCs w:val="24"/>
                <w:highlight w:val="none"/>
                <w:lang w:val="en-US" w:eastAsia="zh-CN" w:bidi="ar-SA"/>
              </w:rPr>
              <w:t>邹燕</w:t>
            </w:r>
          </w:p>
        </w:tc>
        <w:tc>
          <w:tcPr>
            <w:tcW w:w="1548"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40" w:lineRule="auto"/>
              <w:jc w:val="center"/>
              <w:textAlignment w:val="baseline"/>
              <w:rPr>
                <w:rFonts w:hint="default" w:ascii="Times New Roman" w:hAnsi="Times New Roman" w:eastAsia="仿宋_GB2312" w:cs="Times New Roman"/>
                <w:b w:val="0"/>
                <w:i w:val="0"/>
                <w:caps w:val="0"/>
                <w:color w:val="auto"/>
                <w:spacing w:val="0"/>
                <w:w w:val="100"/>
                <w:kern w:val="0"/>
                <w:sz w:val="22"/>
                <w:szCs w:val="24"/>
                <w:highlight w:val="none"/>
                <w:lang w:val="en-US" w:eastAsia="zh-CN" w:bidi="ar-SA"/>
              </w:rPr>
            </w:pPr>
            <w:r>
              <w:rPr>
                <w:rStyle w:val="21"/>
                <w:rFonts w:ascii="Times New Roman" w:hAnsi="Times New Roman" w:eastAsia="仿宋_GB2312"/>
                <w:b w:val="0"/>
                <w:i w:val="0"/>
                <w:caps w:val="0"/>
                <w:color w:val="auto"/>
                <w:spacing w:val="0"/>
                <w:w w:val="100"/>
                <w:kern w:val="0"/>
                <w:sz w:val="22"/>
                <w:szCs w:val="24"/>
                <w:highlight w:val="none"/>
                <w:lang w:val="en-US" w:eastAsia="zh-CN" w:bidi="ar-SA"/>
              </w:rPr>
              <w:t>项目</w:t>
            </w:r>
            <w:r>
              <w:rPr>
                <w:rStyle w:val="21"/>
                <w:rFonts w:hint="eastAsia" w:ascii="Times New Roman" w:hAnsi="Times New Roman" w:eastAsia="仿宋_GB2312"/>
                <w:b w:val="0"/>
                <w:i w:val="0"/>
                <w:caps w:val="0"/>
                <w:color w:val="auto"/>
                <w:spacing w:val="0"/>
                <w:w w:val="100"/>
                <w:kern w:val="0"/>
                <w:sz w:val="22"/>
                <w:szCs w:val="24"/>
                <w:highlight w:val="none"/>
                <w:lang w:val="en-US" w:eastAsia="zh-CN" w:bidi="ar-SA"/>
              </w:rPr>
              <w:t>主评人</w:t>
            </w:r>
          </w:p>
        </w:tc>
        <w:tc>
          <w:tcPr>
            <w:tcW w:w="4895"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40" w:lineRule="auto"/>
              <w:jc w:val="both"/>
              <w:textAlignment w:val="baseline"/>
              <w:rPr>
                <w:rFonts w:ascii="Times New Roman" w:hAnsi="Times New Roman" w:eastAsia="仿宋_GB2312" w:cs="Times New Roman"/>
                <w:b w:val="0"/>
                <w:i w:val="0"/>
                <w:caps w:val="0"/>
                <w:color w:val="auto"/>
                <w:spacing w:val="0"/>
                <w:w w:val="100"/>
                <w:kern w:val="0"/>
                <w:sz w:val="22"/>
                <w:szCs w:val="24"/>
                <w:highlight w:val="none"/>
                <w:lang w:val="en-US" w:eastAsia="zh-CN" w:bidi="ar-SA"/>
              </w:rPr>
            </w:pPr>
            <w:r>
              <w:rPr>
                <w:rStyle w:val="21"/>
                <w:rFonts w:ascii="Times New Roman" w:hAnsi="Times New Roman" w:eastAsia="仿宋_GB2312"/>
                <w:b w:val="0"/>
                <w:i w:val="0"/>
                <w:caps w:val="0"/>
                <w:color w:val="auto"/>
                <w:spacing w:val="0"/>
                <w:w w:val="100"/>
                <w:kern w:val="0"/>
                <w:sz w:val="22"/>
                <w:szCs w:val="24"/>
                <w:highlight w:val="none"/>
                <w:lang w:val="en-US" w:eastAsia="zh-CN" w:bidi="ar-SA"/>
              </w:rPr>
              <w:t>负责绩效评价过程指导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741"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40" w:lineRule="auto"/>
              <w:jc w:val="center"/>
              <w:textAlignment w:val="baseline"/>
              <w:rPr>
                <w:rFonts w:ascii="Times New Roman" w:hAnsi="Times New Roman" w:eastAsia="仿宋_GB2312"/>
                <w:b/>
                <w:bCs/>
                <w:i w:val="0"/>
                <w:caps w:val="0"/>
                <w:color w:val="auto"/>
                <w:spacing w:val="0"/>
                <w:w w:val="100"/>
                <w:kern w:val="0"/>
                <w:sz w:val="22"/>
                <w:highlight w:val="none"/>
              </w:rPr>
            </w:pPr>
            <w:r>
              <w:rPr>
                <w:rFonts w:hint="eastAsia" w:ascii="Times New Roman" w:hAnsi="Times New Roman" w:eastAsia="仿宋_GB2312"/>
                <w:b/>
                <w:bCs/>
                <w:i w:val="0"/>
                <w:caps w:val="0"/>
                <w:color w:val="auto"/>
                <w:spacing w:val="0"/>
                <w:w w:val="100"/>
                <w:kern w:val="0"/>
                <w:sz w:val="22"/>
                <w:highlight w:val="none"/>
              </w:rPr>
              <w:t>2</w:t>
            </w:r>
          </w:p>
        </w:tc>
        <w:tc>
          <w:tcPr>
            <w:tcW w:w="110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40" w:lineRule="auto"/>
              <w:jc w:val="center"/>
              <w:textAlignment w:val="baseline"/>
              <w:rPr>
                <w:rStyle w:val="21"/>
                <w:rFonts w:hint="eastAsia" w:ascii="Times New Roman" w:hAnsi="Times New Roman" w:eastAsia="仿宋_GB2312"/>
                <w:b w:val="0"/>
                <w:i w:val="0"/>
                <w:caps w:val="0"/>
                <w:color w:val="auto"/>
                <w:spacing w:val="0"/>
                <w:w w:val="100"/>
                <w:kern w:val="0"/>
                <w:sz w:val="22"/>
                <w:szCs w:val="24"/>
                <w:highlight w:val="none"/>
                <w:lang w:val="en-US" w:eastAsia="zh-CN" w:bidi="ar-SA"/>
              </w:rPr>
            </w:pPr>
            <w:r>
              <w:rPr>
                <w:rStyle w:val="21"/>
                <w:rFonts w:hint="eastAsia" w:ascii="Times New Roman" w:hAnsi="Times New Roman" w:eastAsia="仿宋_GB2312"/>
                <w:b w:val="0"/>
                <w:i w:val="0"/>
                <w:caps w:val="0"/>
                <w:color w:val="auto"/>
                <w:spacing w:val="0"/>
                <w:w w:val="100"/>
                <w:kern w:val="0"/>
                <w:sz w:val="22"/>
                <w:szCs w:val="24"/>
                <w:highlight w:val="none"/>
                <w:lang w:val="en-US" w:eastAsia="zh-CN" w:bidi="ar-SA"/>
              </w:rPr>
              <w:t>李毅</w:t>
            </w:r>
          </w:p>
        </w:tc>
        <w:tc>
          <w:tcPr>
            <w:tcW w:w="1548"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40" w:lineRule="auto"/>
              <w:jc w:val="center"/>
              <w:textAlignment w:val="baseline"/>
              <w:rPr>
                <w:rFonts w:ascii="Times New Roman" w:hAnsi="Times New Roman" w:eastAsia="仿宋_GB2312" w:cs="Times New Roman"/>
                <w:b w:val="0"/>
                <w:i w:val="0"/>
                <w:caps w:val="0"/>
                <w:color w:val="auto"/>
                <w:spacing w:val="0"/>
                <w:w w:val="100"/>
                <w:kern w:val="0"/>
                <w:sz w:val="22"/>
                <w:szCs w:val="24"/>
                <w:highlight w:val="none"/>
                <w:lang w:val="en-US" w:eastAsia="zh-CN" w:bidi="ar-SA"/>
              </w:rPr>
            </w:pPr>
            <w:r>
              <w:rPr>
                <w:rStyle w:val="21"/>
                <w:rFonts w:ascii="Times New Roman" w:hAnsi="Times New Roman" w:eastAsia="仿宋_GB2312"/>
                <w:b w:val="0"/>
                <w:i w:val="0"/>
                <w:caps w:val="0"/>
                <w:color w:val="auto"/>
                <w:spacing w:val="0"/>
                <w:w w:val="100"/>
                <w:kern w:val="0"/>
                <w:sz w:val="22"/>
                <w:szCs w:val="24"/>
                <w:highlight w:val="none"/>
                <w:lang w:val="en-US" w:eastAsia="zh-CN" w:bidi="ar-SA"/>
              </w:rPr>
              <w:t>项目质控</w:t>
            </w:r>
          </w:p>
        </w:tc>
        <w:tc>
          <w:tcPr>
            <w:tcW w:w="4895"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40" w:lineRule="auto"/>
              <w:jc w:val="both"/>
              <w:textAlignment w:val="baseline"/>
              <w:rPr>
                <w:rFonts w:ascii="Times New Roman" w:hAnsi="Times New Roman" w:eastAsia="仿宋_GB2312" w:cs="Times New Roman"/>
                <w:b w:val="0"/>
                <w:i w:val="0"/>
                <w:caps w:val="0"/>
                <w:color w:val="auto"/>
                <w:spacing w:val="0"/>
                <w:w w:val="100"/>
                <w:kern w:val="0"/>
                <w:sz w:val="22"/>
                <w:szCs w:val="24"/>
                <w:highlight w:val="none"/>
                <w:lang w:val="en-US" w:eastAsia="zh-CN" w:bidi="ar-SA"/>
              </w:rPr>
            </w:pPr>
            <w:r>
              <w:rPr>
                <w:rStyle w:val="21"/>
                <w:rFonts w:ascii="Times New Roman" w:hAnsi="Times New Roman" w:eastAsia="仿宋_GB2312"/>
                <w:b w:val="0"/>
                <w:i w:val="0"/>
                <w:caps w:val="0"/>
                <w:color w:val="auto"/>
                <w:spacing w:val="0"/>
                <w:w w:val="100"/>
                <w:kern w:val="0"/>
                <w:sz w:val="22"/>
                <w:szCs w:val="24"/>
                <w:highlight w:val="none"/>
                <w:lang w:val="en-US" w:eastAsia="zh-CN" w:bidi="ar-SA"/>
              </w:rPr>
              <w:t>负责项目评价报告等重点工作内容的质量控制，技术指导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41"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40" w:lineRule="auto"/>
              <w:jc w:val="center"/>
              <w:textAlignment w:val="baseline"/>
              <w:rPr>
                <w:rFonts w:ascii="Times New Roman" w:hAnsi="Times New Roman" w:eastAsia="仿宋_GB2312" w:cs="Times New Roman"/>
                <w:b/>
                <w:bCs/>
                <w:i w:val="0"/>
                <w:caps w:val="0"/>
                <w:color w:val="auto"/>
                <w:spacing w:val="0"/>
                <w:w w:val="100"/>
                <w:kern w:val="0"/>
                <w:sz w:val="22"/>
                <w:szCs w:val="24"/>
                <w:highlight w:val="none"/>
                <w:lang w:val="en-US" w:eastAsia="zh-CN" w:bidi="ar-SA"/>
              </w:rPr>
            </w:pPr>
            <w:r>
              <w:rPr>
                <w:rFonts w:hint="eastAsia" w:ascii="Times New Roman" w:hAnsi="Times New Roman" w:eastAsia="仿宋_GB2312"/>
                <w:b/>
                <w:bCs/>
                <w:i w:val="0"/>
                <w:caps w:val="0"/>
                <w:color w:val="auto"/>
                <w:spacing w:val="0"/>
                <w:w w:val="100"/>
                <w:kern w:val="0"/>
                <w:sz w:val="22"/>
                <w:highlight w:val="none"/>
              </w:rPr>
              <w:t>3</w:t>
            </w:r>
          </w:p>
        </w:tc>
        <w:tc>
          <w:tcPr>
            <w:tcW w:w="110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40" w:lineRule="auto"/>
              <w:jc w:val="center"/>
              <w:textAlignment w:val="baseline"/>
              <w:rPr>
                <w:rStyle w:val="21"/>
                <w:rFonts w:hint="eastAsia" w:ascii="Times New Roman" w:hAnsi="Times New Roman" w:eastAsia="仿宋_GB2312"/>
                <w:b w:val="0"/>
                <w:i w:val="0"/>
                <w:caps w:val="0"/>
                <w:color w:val="auto"/>
                <w:spacing w:val="0"/>
                <w:w w:val="100"/>
                <w:kern w:val="0"/>
                <w:sz w:val="22"/>
                <w:szCs w:val="24"/>
                <w:highlight w:val="none"/>
                <w:lang w:val="en-US" w:eastAsia="zh-CN" w:bidi="ar-SA"/>
              </w:rPr>
            </w:pPr>
            <w:r>
              <w:rPr>
                <w:rStyle w:val="21"/>
                <w:rFonts w:hint="eastAsia" w:ascii="Times New Roman" w:hAnsi="Times New Roman" w:eastAsia="仿宋_GB2312"/>
                <w:b w:val="0"/>
                <w:i w:val="0"/>
                <w:caps w:val="0"/>
                <w:color w:val="auto"/>
                <w:spacing w:val="0"/>
                <w:w w:val="100"/>
                <w:kern w:val="0"/>
                <w:sz w:val="22"/>
                <w:szCs w:val="24"/>
                <w:highlight w:val="none"/>
                <w:lang w:val="en-US" w:eastAsia="zh-CN" w:bidi="ar-SA"/>
              </w:rPr>
              <w:t>麦迪努尔</w:t>
            </w:r>
          </w:p>
        </w:tc>
        <w:tc>
          <w:tcPr>
            <w:tcW w:w="1548"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40" w:lineRule="auto"/>
              <w:jc w:val="center"/>
              <w:textAlignment w:val="baseline"/>
              <w:rPr>
                <w:rFonts w:ascii="Times New Roman" w:hAnsi="Times New Roman" w:eastAsia="仿宋_GB2312" w:cs="Times New Roman"/>
                <w:b w:val="0"/>
                <w:i w:val="0"/>
                <w:caps w:val="0"/>
                <w:color w:val="auto"/>
                <w:spacing w:val="0"/>
                <w:w w:val="100"/>
                <w:kern w:val="0"/>
                <w:sz w:val="22"/>
                <w:szCs w:val="24"/>
                <w:highlight w:val="none"/>
                <w:lang w:val="en-US" w:eastAsia="zh-CN" w:bidi="ar-SA"/>
              </w:rPr>
            </w:pPr>
            <w:r>
              <w:rPr>
                <w:rStyle w:val="21"/>
                <w:rFonts w:ascii="Times New Roman" w:hAnsi="Times New Roman" w:eastAsia="仿宋_GB2312"/>
                <w:b w:val="0"/>
                <w:i w:val="0"/>
                <w:caps w:val="0"/>
                <w:color w:val="auto"/>
                <w:spacing w:val="0"/>
                <w:w w:val="100"/>
                <w:kern w:val="0"/>
                <w:sz w:val="22"/>
                <w:szCs w:val="24"/>
                <w:highlight w:val="none"/>
                <w:lang w:val="en-US" w:eastAsia="zh-CN" w:bidi="ar-SA"/>
              </w:rPr>
              <w:t>项目经理</w:t>
            </w:r>
          </w:p>
        </w:tc>
        <w:tc>
          <w:tcPr>
            <w:tcW w:w="4895"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40" w:lineRule="auto"/>
              <w:jc w:val="both"/>
              <w:textAlignment w:val="baseline"/>
              <w:rPr>
                <w:rFonts w:ascii="Times New Roman" w:hAnsi="Times New Roman" w:eastAsia="仿宋_GB2312" w:cs="Times New Roman"/>
                <w:b w:val="0"/>
                <w:i w:val="0"/>
                <w:caps w:val="0"/>
                <w:color w:val="auto"/>
                <w:spacing w:val="0"/>
                <w:w w:val="100"/>
                <w:kern w:val="0"/>
                <w:sz w:val="22"/>
                <w:szCs w:val="24"/>
                <w:highlight w:val="none"/>
                <w:lang w:val="en-US" w:eastAsia="zh-CN" w:bidi="ar-SA"/>
              </w:rPr>
            </w:pPr>
            <w:r>
              <w:rPr>
                <w:rStyle w:val="21"/>
                <w:rFonts w:ascii="Times New Roman" w:hAnsi="Times New Roman" w:eastAsia="仿宋_GB2312"/>
                <w:b w:val="0"/>
                <w:i w:val="0"/>
                <w:caps w:val="0"/>
                <w:color w:val="auto"/>
                <w:spacing w:val="0"/>
                <w:w w:val="100"/>
                <w:kern w:val="0"/>
                <w:sz w:val="22"/>
                <w:szCs w:val="24"/>
                <w:highlight w:val="none"/>
                <w:lang w:val="en-US" w:eastAsia="zh-CN" w:bidi="ar-SA"/>
              </w:rPr>
              <w:t>负责对项目实施统筹、资料收集，整理及数据分析、撰写评价报告并对评价报告进行负责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41"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40" w:lineRule="auto"/>
              <w:jc w:val="center"/>
              <w:textAlignment w:val="baseline"/>
              <w:rPr>
                <w:rFonts w:hint="eastAsia" w:ascii="Times New Roman" w:hAnsi="Times New Roman" w:eastAsia="仿宋_GB2312" w:cs="Times New Roman"/>
                <w:b/>
                <w:bCs/>
                <w:i w:val="0"/>
                <w:caps w:val="0"/>
                <w:color w:val="auto"/>
                <w:spacing w:val="0"/>
                <w:w w:val="100"/>
                <w:kern w:val="0"/>
                <w:sz w:val="22"/>
                <w:szCs w:val="24"/>
                <w:highlight w:val="none"/>
                <w:lang w:val="en-US" w:eastAsia="zh-CN" w:bidi="ar-SA"/>
              </w:rPr>
            </w:pPr>
            <w:r>
              <w:rPr>
                <w:rFonts w:hint="eastAsia" w:ascii="Times New Roman" w:hAnsi="Times New Roman" w:eastAsia="仿宋_GB2312"/>
                <w:b/>
                <w:bCs/>
                <w:i w:val="0"/>
                <w:caps w:val="0"/>
                <w:color w:val="auto"/>
                <w:spacing w:val="0"/>
                <w:w w:val="100"/>
                <w:kern w:val="0"/>
                <w:sz w:val="22"/>
                <w:highlight w:val="none"/>
                <w:lang w:val="en-US" w:eastAsia="zh-CN"/>
              </w:rPr>
              <w:t>4</w:t>
            </w:r>
          </w:p>
        </w:tc>
        <w:tc>
          <w:tcPr>
            <w:tcW w:w="110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40" w:lineRule="auto"/>
              <w:jc w:val="center"/>
              <w:textAlignment w:val="baseline"/>
              <w:rPr>
                <w:rStyle w:val="21"/>
                <w:rFonts w:hint="eastAsia" w:ascii="Times New Roman" w:hAnsi="Times New Roman" w:eastAsia="仿宋_GB2312"/>
                <w:b w:val="0"/>
                <w:i w:val="0"/>
                <w:caps w:val="0"/>
                <w:color w:val="auto"/>
                <w:spacing w:val="0"/>
                <w:w w:val="100"/>
                <w:kern w:val="0"/>
                <w:sz w:val="22"/>
                <w:szCs w:val="24"/>
                <w:highlight w:val="none"/>
                <w:lang w:val="en-US" w:eastAsia="zh-CN" w:bidi="ar-SA"/>
              </w:rPr>
            </w:pPr>
            <w:r>
              <w:rPr>
                <w:rStyle w:val="21"/>
                <w:rFonts w:hint="eastAsia" w:ascii="Times New Roman" w:hAnsi="Times New Roman" w:eastAsia="仿宋_GB2312"/>
                <w:b w:val="0"/>
                <w:i w:val="0"/>
                <w:caps w:val="0"/>
                <w:color w:val="auto"/>
                <w:spacing w:val="0"/>
                <w:w w:val="100"/>
                <w:kern w:val="0"/>
                <w:sz w:val="22"/>
                <w:szCs w:val="24"/>
                <w:highlight w:val="none"/>
                <w:lang w:val="en-US" w:eastAsia="zh-CN" w:bidi="ar-SA"/>
              </w:rPr>
              <w:t>阿米那</w:t>
            </w:r>
          </w:p>
        </w:tc>
        <w:tc>
          <w:tcPr>
            <w:tcW w:w="1548"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40" w:lineRule="auto"/>
              <w:jc w:val="center"/>
              <w:textAlignment w:val="baseline"/>
              <w:rPr>
                <w:rFonts w:ascii="Times New Roman" w:hAnsi="Times New Roman" w:eastAsia="仿宋_GB2312" w:cs="Times New Roman"/>
                <w:b w:val="0"/>
                <w:i w:val="0"/>
                <w:caps w:val="0"/>
                <w:color w:val="auto"/>
                <w:spacing w:val="0"/>
                <w:w w:val="100"/>
                <w:kern w:val="0"/>
                <w:sz w:val="22"/>
                <w:szCs w:val="24"/>
                <w:highlight w:val="none"/>
                <w:lang w:val="en-US" w:eastAsia="zh-CN" w:bidi="ar-SA"/>
              </w:rPr>
            </w:pPr>
            <w:r>
              <w:rPr>
                <w:rStyle w:val="21"/>
                <w:rFonts w:ascii="Times New Roman" w:hAnsi="Times New Roman" w:eastAsia="仿宋_GB2312"/>
                <w:b w:val="0"/>
                <w:i w:val="0"/>
                <w:caps w:val="0"/>
                <w:color w:val="auto"/>
                <w:spacing w:val="0"/>
                <w:w w:val="100"/>
                <w:kern w:val="0"/>
                <w:sz w:val="22"/>
                <w:szCs w:val="24"/>
                <w:highlight w:val="none"/>
                <w:lang w:val="en-US" w:eastAsia="zh-CN" w:bidi="ar-SA"/>
              </w:rPr>
              <w:t>项目助理</w:t>
            </w:r>
          </w:p>
        </w:tc>
        <w:tc>
          <w:tcPr>
            <w:tcW w:w="4895"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40" w:lineRule="auto"/>
              <w:jc w:val="both"/>
              <w:textAlignment w:val="baseline"/>
              <w:rPr>
                <w:rFonts w:ascii="Times New Roman" w:hAnsi="Times New Roman" w:eastAsia="仿宋_GB2312" w:cs="Times New Roman"/>
                <w:b w:val="0"/>
                <w:i w:val="0"/>
                <w:caps w:val="0"/>
                <w:color w:val="auto"/>
                <w:spacing w:val="0"/>
                <w:w w:val="100"/>
                <w:kern w:val="0"/>
                <w:sz w:val="22"/>
                <w:szCs w:val="24"/>
                <w:highlight w:val="none"/>
                <w:lang w:val="en-US" w:eastAsia="zh-CN" w:bidi="ar-SA"/>
              </w:rPr>
            </w:pPr>
            <w:r>
              <w:rPr>
                <w:rStyle w:val="21"/>
                <w:rFonts w:ascii="Times New Roman" w:hAnsi="Times New Roman" w:eastAsia="仿宋_GB2312"/>
                <w:b w:val="0"/>
                <w:i w:val="0"/>
                <w:caps w:val="0"/>
                <w:color w:val="auto"/>
                <w:spacing w:val="0"/>
                <w:w w:val="100"/>
                <w:kern w:val="0"/>
                <w:sz w:val="22"/>
                <w:szCs w:val="24"/>
                <w:highlight w:val="none"/>
                <w:lang w:val="en-US" w:eastAsia="zh-CN" w:bidi="ar-SA"/>
              </w:rPr>
              <w:t>负责资料搜集、整理及数据分析等，并协助撰写评价报告等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41"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40" w:lineRule="auto"/>
              <w:jc w:val="center"/>
              <w:textAlignment w:val="baseline"/>
              <w:rPr>
                <w:rFonts w:hint="eastAsia" w:ascii="Times New Roman" w:hAnsi="Times New Roman" w:eastAsia="仿宋_GB2312" w:cs="Times New Roman"/>
                <w:b/>
                <w:bCs/>
                <w:i w:val="0"/>
                <w:caps w:val="0"/>
                <w:color w:val="auto"/>
                <w:spacing w:val="0"/>
                <w:w w:val="100"/>
                <w:kern w:val="0"/>
                <w:sz w:val="22"/>
                <w:szCs w:val="24"/>
                <w:highlight w:val="none"/>
                <w:lang w:val="en-US" w:eastAsia="zh-CN" w:bidi="ar-SA"/>
              </w:rPr>
            </w:pPr>
            <w:r>
              <w:rPr>
                <w:rFonts w:hint="eastAsia" w:ascii="Times New Roman" w:hAnsi="Times New Roman" w:eastAsia="仿宋_GB2312"/>
                <w:b/>
                <w:bCs/>
                <w:i w:val="0"/>
                <w:caps w:val="0"/>
                <w:color w:val="auto"/>
                <w:spacing w:val="0"/>
                <w:w w:val="100"/>
                <w:kern w:val="0"/>
                <w:sz w:val="22"/>
                <w:highlight w:val="none"/>
                <w:lang w:val="en-US" w:eastAsia="zh-CN"/>
              </w:rPr>
              <w:t>5</w:t>
            </w:r>
          </w:p>
        </w:tc>
        <w:tc>
          <w:tcPr>
            <w:tcW w:w="110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40" w:lineRule="auto"/>
              <w:jc w:val="center"/>
              <w:textAlignment w:val="baseline"/>
              <w:rPr>
                <w:rFonts w:hint="default" w:ascii="Times New Roman" w:hAnsi="Times New Roman" w:eastAsia="仿宋_GB2312" w:cs="Times New Roman"/>
                <w:b w:val="0"/>
                <w:bCs w:val="0"/>
                <w:i w:val="0"/>
                <w:caps w:val="0"/>
                <w:color w:val="auto"/>
                <w:spacing w:val="0"/>
                <w:w w:val="100"/>
                <w:kern w:val="0"/>
                <w:sz w:val="22"/>
                <w:szCs w:val="24"/>
                <w:highlight w:val="none"/>
                <w:lang w:val="en-US" w:eastAsia="zh-CN" w:bidi="ar-SA"/>
              </w:rPr>
            </w:pPr>
            <w:r>
              <w:rPr>
                <w:rFonts w:hint="eastAsia" w:ascii="Times New Roman" w:hAnsi="Times New Roman" w:eastAsia="仿宋_GB2312" w:cs="Times New Roman"/>
                <w:b w:val="0"/>
                <w:bCs w:val="0"/>
                <w:i w:val="0"/>
                <w:caps w:val="0"/>
                <w:color w:val="auto"/>
                <w:spacing w:val="0"/>
                <w:w w:val="100"/>
                <w:kern w:val="0"/>
                <w:sz w:val="22"/>
                <w:szCs w:val="24"/>
                <w:highlight w:val="none"/>
                <w:lang w:val="en-US" w:eastAsia="zh-CN" w:bidi="ar-SA"/>
              </w:rPr>
              <w:t>祖力皮努尔</w:t>
            </w:r>
          </w:p>
        </w:tc>
        <w:tc>
          <w:tcPr>
            <w:tcW w:w="1548"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40" w:lineRule="auto"/>
              <w:jc w:val="center"/>
              <w:textAlignment w:val="baseline"/>
              <w:rPr>
                <w:rFonts w:ascii="Times New Roman" w:hAnsi="Times New Roman" w:eastAsia="仿宋_GB2312" w:cs="Times New Roman"/>
                <w:b w:val="0"/>
                <w:i w:val="0"/>
                <w:caps w:val="0"/>
                <w:color w:val="auto"/>
                <w:spacing w:val="0"/>
                <w:w w:val="100"/>
                <w:kern w:val="0"/>
                <w:sz w:val="22"/>
                <w:szCs w:val="24"/>
                <w:highlight w:val="none"/>
                <w:lang w:val="en-US" w:eastAsia="zh-CN" w:bidi="ar-SA"/>
              </w:rPr>
            </w:pPr>
            <w:r>
              <w:rPr>
                <w:rStyle w:val="21"/>
                <w:rFonts w:ascii="Times New Roman" w:hAnsi="Times New Roman" w:eastAsia="仿宋_GB2312"/>
                <w:b w:val="0"/>
                <w:i w:val="0"/>
                <w:caps w:val="0"/>
                <w:color w:val="auto"/>
                <w:spacing w:val="0"/>
                <w:w w:val="100"/>
                <w:kern w:val="0"/>
                <w:sz w:val="22"/>
                <w:szCs w:val="24"/>
                <w:highlight w:val="none"/>
                <w:lang w:val="en-US" w:eastAsia="zh-CN" w:bidi="ar-SA"/>
              </w:rPr>
              <w:t>项目助理</w:t>
            </w:r>
          </w:p>
        </w:tc>
        <w:tc>
          <w:tcPr>
            <w:tcW w:w="4895"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40" w:lineRule="auto"/>
              <w:jc w:val="both"/>
              <w:textAlignment w:val="baseline"/>
              <w:rPr>
                <w:rFonts w:ascii="Times New Roman" w:hAnsi="Times New Roman" w:eastAsia="仿宋_GB2312" w:cs="Times New Roman"/>
                <w:b w:val="0"/>
                <w:i w:val="0"/>
                <w:caps w:val="0"/>
                <w:color w:val="auto"/>
                <w:spacing w:val="0"/>
                <w:w w:val="100"/>
                <w:kern w:val="0"/>
                <w:sz w:val="22"/>
                <w:szCs w:val="24"/>
                <w:highlight w:val="none"/>
                <w:lang w:val="en-US" w:eastAsia="zh-CN" w:bidi="ar-SA"/>
              </w:rPr>
            </w:pPr>
            <w:r>
              <w:rPr>
                <w:rStyle w:val="21"/>
                <w:rFonts w:ascii="Times New Roman" w:hAnsi="Times New Roman" w:eastAsia="仿宋_GB2312"/>
                <w:b w:val="0"/>
                <w:i w:val="0"/>
                <w:caps w:val="0"/>
                <w:color w:val="auto"/>
                <w:spacing w:val="0"/>
                <w:w w:val="100"/>
                <w:kern w:val="0"/>
                <w:sz w:val="22"/>
                <w:szCs w:val="24"/>
                <w:highlight w:val="none"/>
                <w:lang w:val="en-US" w:eastAsia="zh-CN" w:bidi="ar-SA"/>
              </w:rPr>
              <w:t>负责资料搜集、整理及数据分析等，并协助撰写评价报告等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jc w:val="center"/>
        </w:trPr>
        <w:tc>
          <w:tcPr>
            <w:tcW w:w="741"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40" w:lineRule="auto"/>
              <w:jc w:val="center"/>
              <w:textAlignment w:val="baseline"/>
              <w:rPr>
                <w:rFonts w:hint="eastAsia" w:ascii="Times New Roman" w:hAnsi="Times New Roman" w:eastAsia="仿宋_GB2312" w:cs="Times New Roman"/>
                <w:b/>
                <w:bCs/>
                <w:i w:val="0"/>
                <w:caps w:val="0"/>
                <w:color w:val="auto"/>
                <w:spacing w:val="0"/>
                <w:w w:val="100"/>
                <w:kern w:val="0"/>
                <w:sz w:val="22"/>
                <w:szCs w:val="24"/>
                <w:highlight w:val="none"/>
                <w:lang w:val="en-US" w:eastAsia="zh-CN" w:bidi="ar-SA"/>
              </w:rPr>
            </w:pPr>
            <w:r>
              <w:rPr>
                <w:rFonts w:hint="eastAsia" w:ascii="Times New Roman" w:hAnsi="Times New Roman" w:eastAsia="仿宋_GB2312"/>
                <w:b/>
                <w:bCs/>
                <w:i w:val="0"/>
                <w:caps w:val="0"/>
                <w:color w:val="auto"/>
                <w:spacing w:val="0"/>
                <w:w w:val="100"/>
                <w:kern w:val="0"/>
                <w:sz w:val="22"/>
                <w:highlight w:val="none"/>
                <w:lang w:val="en-US" w:eastAsia="zh-CN"/>
              </w:rPr>
              <w:t>6</w:t>
            </w:r>
          </w:p>
        </w:tc>
        <w:tc>
          <w:tcPr>
            <w:tcW w:w="110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40" w:lineRule="auto"/>
              <w:jc w:val="center"/>
              <w:textAlignment w:val="baseline"/>
              <w:rPr>
                <w:rFonts w:hint="default" w:ascii="Times New Roman" w:hAnsi="Times New Roman" w:eastAsia="仿宋_GB2312" w:cs="Times New Roman"/>
                <w:b w:val="0"/>
                <w:bCs w:val="0"/>
                <w:i w:val="0"/>
                <w:caps w:val="0"/>
                <w:color w:val="auto"/>
                <w:spacing w:val="0"/>
                <w:w w:val="100"/>
                <w:kern w:val="0"/>
                <w:sz w:val="22"/>
                <w:szCs w:val="24"/>
                <w:highlight w:val="none"/>
                <w:lang w:val="en-US" w:eastAsia="zh-CN" w:bidi="ar-SA"/>
              </w:rPr>
            </w:pPr>
            <w:r>
              <w:rPr>
                <w:rFonts w:hint="eastAsia" w:ascii="Times New Roman" w:hAnsi="Times New Roman" w:eastAsia="仿宋_GB2312" w:cs="Times New Roman"/>
                <w:b w:val="0"/>
                <w:bCs w:val="0"/>
                <w:i w:val="0"/>
                <w:caps w:val="0"/>
                <w:color w:val="auto"/>
                <w:spacing w:val="0"/>
                <w:w w:val="100"/>
                <w:kern w:val="0"/>
                <w:sz w:val="22"/>
                <w:szCs w:val="24"/>
                <w:highlight w:val="none"/>
                <w:lang w:val="en-US" w:eastAsia="zh-CN" w:bidi="ar-SA"/>
              </w:rPr>
              <w:t>武莹</w:t>
            </w:r>
          </w:p>
        </w:tc>
        <w:tc>
          <w:tcPr>
            <w:tcW w:w="1548"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40" w:lineRule="auto"/>
              <w:jc w:val="center"/>
              <w:textAlignment w:val="baseline"/>
              <w:rPr>
                <w:rFonts w:ascii="Times New Roman" w:hAnsi="Times New Roman" w:eastAsia="仿宋_GB2312"/>
                <w:b w:val="0"/>
                <w:i w:val="0"/>
                <w:caps w:val="0"/>
                <w:color w:val="auto"/>
                <w:spacing w:val="0"/>
                <w:w w:val="100"/>
                <w:kern w:val="0"/>
                <w:sz w:val="22"/>
                <w:szCs w:val="24"/>
                <w:highlight w:val="none"/>
                <w:lang w:val="en-US" w:eastAsia="zh-CN" w:bidi="ar-SA"/>
              </w:rPr>
            </w:pPr>
            <w:r>
              <w:rPr>
                <w:rStyle w:val="21"/>
                <w:rFonts w:ascii="Times New Roman" w:hAnsi="Times New Roman" w:eastAsia="仿宋_GB2312"/>
                <w:b w:val="0"/>
                <w:i w:val="0"/>
                <w:caps w:val="0"/>
                <w:color w:val="auto"/>
                <w:spacing w:val="0"/>
                <w:w w:val="100"/>
                <w:kern w:val="0"/>
                <w:sz w:val="22"/>
                <w:szCs w:val="24"/>
                <w:highlight w:val="none"/>
                <w:lang w:val="en-US" w:eastAsia="zh-CN" w:bidi="ar-SA"/>
              </w:rPr>
              <w:t>项目助理</w:t>
            </w:r>
          </w:p>
        </w:tc>
        <w:tc>
          <w:tcPr>
            <w:tcW w:w="4895"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40" w:lineRule="auto"/>
              <w:jc w:val="both"/>
              <w:textAlignment w:val="baseline"/>
              <w:rPr>
                <w:rFonts w:ascii="Times New Roman" w:hAnsi="Times New Roman" w:eastAsia="仿宋_GB2312"/>
                <w:b w:val="0"/>
                <w:i w:val="0"/>
                <w:caps w:val="0"/>
                <w:color w:val="auto"/>
                <w:spacing w:val="0"/>
                <w:w w:val="100"/>
                <w:kern w:val="0"/>
                <w:sz w:val="22"/>
                <w:szCs w:val="24"/>
                <w:highlight w:val="none"/>
                <w:lang w:val="en-US" w:eastAsia="zh-CN" w:bidi="ar-SA"/>
              </w:rPr>
            </w:pPr>
            <w:r>
              <w:rPr>
                <w:rStyle w:val="21"/>
                <w:rFonts w:ascii="Times New Roman" w:hAnsi="Times New Roman" w:eastAsia="仿宋_GB2312"/>
                <w:b w:val="0"/>
                <w:i w:val="0"/>
                <w:caps w:val="0"/>
                <w:color w:val="auto"/>
                <w:spacing w:val="0"/>
                <w:w w:val="100"/>
                <w:kern w:val="0"/>
                <w:sz w:val="22"/>
                <w:szCs w:val="24"/>
                <w:highlight w:val="none"/>
                <w:lang w:val="en-US" w:eastAsia="zh-CN" w:bidi="ar-SA"/>
              </w:rPr>
              <w:t>负责资料搜集、整理及数据分析等，并协助撰写评价报告等</w:t>
            </w:r>
          </w:p>
        </w:tc>
      </w:tr>
    </w:tbl>
    <w:p>
      <w:pPr>
        <w:widowControl/>
        <w:snapToGrid/>
        <w:spacing w:before="0" w:beforeAutospacing="0" w:after="0" w:afterAutospacing="0" w:line="600" w:lineRule="exact"/>
        <w:ind w:firstLine="643" w:firstLineChars="200"/>
        <w:jc w:val="both"/>
        <w:textAlignment w:val="baseline"/>
        <w:rPr>
          <w:rStyle w:val="21"/>
          <w:rFonts w:hint="eastAsia" w:ascii="方正仿宋_GBK" w:hAnsi="方正仿宋_GBK" w:eastAsia="方正仿宋_GBK" w:cs="方正仿宋_GBK"/>
          <w:b/>
          <w:i w:val="0"/>
          <w:caps w:val="0"/>
          <w:color w:val="auto"/>
          <w:spacing w:val="0"/>
          <w:w w:val="100"/>
          <w:kern w:val="0"/>
          <w:sz w:val="32"/>
          <w:szCs w:val="32"/>
          <w:lang w:val="en-US" w:eastAsia="zh-CN" w:bidi="ar-SA"/>
        </w:rPr>
      </w:pPr>
      <w:r>
        <w:rPr>
          <w:rStyle w:val="21"/>
          <w:rFonts w:hint="eastAsia" w:ascii="方正仿宋_GBK" w:hAnsi="方正仿宋_GBK" w:eastAsia="方正仿宋_GBK" w:cs="方正仿宋_GBK"/>
          <w:b/>
          <w:i w:val="0"/>
          <w:caps w:val="0"/>
          <w:color w:val="auto"/>
          <w:spacing w:val="0"/>
          <w:w w:val="100"/>
          <w:kern w:val="0"/>
          <w:sz w:val="32"/>
          <w:szCs w:val="32"/>
          <w:lang w:val="en-US" w:eastAsia="zh-CN" w:bidi="ar-SA"/>
        </w:rPr>
        <w:t>2.评价进度</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baseline"/>
        <w:rPr>
          <w:rStyle w:val="21"/>
          <w:rFonts w:hint="eastAsia" w:ascii="方正仿宋_GBK" w:hAnsi="方正仿宋_GBK" w:eastAsia="方正仿宋_GBK" w:cs="方正仿宋_GBK"/>
          <w:b w:val="0"/>
          <w:i w:val="0"/>
          <w:caps w:val="0"/>
          <w:color w:val="auto"/>
          <w:spacing w:val="0"/>
          <w:w w:val="100"/>
          <w:kern w:val="0"/>
          <w:sz w:val="32"/>
          <w:szCs w:val="32"/>
          <w:lang w:val="en-US" w:eastAsia="zh-CN" w:bidi="ar-SA"/>
        </w:rPr>
      </w:pPr>
      <w:r>
        <w:rPr>
          <w:rStyle w:val="21"/>
          <w:rFonts w:hint="eastAsia" w:ascii="方正仿宋_GBK" w:hAnsi="方正仿宋_GBK" w:eastAsia="方正仿宋_GBK" w:cs="方正仿宋_GBK"/>
          <w:b w:val="0"/>
          <w:i w:val="0"/>
          <w:caps w:val="0"/>
          <w:color w:val="auto"/>
          <w:spacing w:val="0"/>
          <w:w w:val="100"/>
          <w:kern w:val="0"/>
          <w:sz w:val="32"/>
          <w:szCs w:val="32"/>
          <w:lang w:val="en-US" w:eastAsia="zh-CN" w:bidi="ar-SA"/>
        </w:rPr>
        <w:t>本次项目的评价期间为2023年4月6日至2023年6月10日，具体安排如下：</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baseline"/>
        <w:rPr>
          <w:rStyle w:val="21"/>
          <w:rFonts w:hint="eastAsia" w:ascii="方正仿宋_GBK" w:hAnsi="方正仿宋_GBK" w:eastAsia="方正仿宋_GBK" w:cs="方正仿宋_GBK"/>
          <w:b w:val="0"/>
          <w:i w:val="0"/>
          <w:caps w:val="0"/>
          <w:color w:val="auto"/>
          <w:spacing w:val="0"/>
          <w:w w:val="100"/>
          <w:kern w:val="0"/>
          <w:sz w:val="32"/>
          <w:szCs w:val="32"/>
          <w:lang w:val="en-US" w:eastAsia="zh-CN" w:bidi="ar-SA"/>
        </w:rPr>
      </w:pPr>
      <w:r>
        <w:rPr>
          <w:rStyle w:val="21"/>
          <w:rFonts w:hint="eastAsia" w:ascii="方正仿宋_GBK" w:hAnsi="方正仿宋_GBK" w:eastAsia="方正仿宋_GBK" w:cs="方正仿宋_GBK"/>
          <w:b w:val="0"/>
          <w:i w:val="0"/>
          <w:caps w:val="0"/>
          <w:color w:val="auto"/>
          <w:spacing w:val="0"/>
          <w:w w:val="100"/>
          <w:kern w:val="0"/>
          <w:sz w:val="32"/>
          <w:szCs w:val="32"/>
          <w:lang w:val="en-US" w:eastAsia="zh-CN" w:bidi="ar-SA"/>
        </w:rPr>
        <w:t>（1）资料收集——2023年4月6日前</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baseline"/>
        <w:rPr>
          <w:rStyle w:val="21"/>
          <w:rFonts w:hint="eastAsia" w:ascii="方正仿宋_GBK" w:hAnsi="方正仿宋_GBK" w:eastAsia="方正仿宋_GBK" w:cs="方正仿宋_GBK"/>
          <w:b w:val="0"/>
          <w:i w:val="0"/>
          <w:caps w:val="0"/>
          <w:color w:val="auto"/>
          <w:spacing w:val="0"/>
          <w:w w:val="100"/>
          <w:kern w:val="0"/>
          <w:sz w:val="32"/>
          <w:szCs w:val="32"/>
          <w:lang w:val="en-US" w:eastAsia="zh-CN" w:bidi="ar-SA"/>
        </w:rPr>
      </w:pPr>
      <w:r>
        <w:rPr>
          <w:rStyle w:val="21"/>
          <w:rFonts w:hint="eastAsia" w:ascii="方正仿宋_GBK" w:hAnsi="方正仿宋_GBK" w:eastAsia="方正仿宋_GBK" w:cs="方正仿宋_GBK"/>
          <w:b w:val="0"/>
          <w:i w:val="0"/>
          <w:caps w:val="0"/>
          <w:color w:val="auto"/>
          <w:spacing w:val="0"/>
          <w:w w:val="100"/>
          <w:kern w:val="0"/>
          <w:sz w:val="32"/>
          <w:szCs w:val="32"/>
          <w:lang w:val="en-US" w:eastAsia="zh-CN" w:bidi="ar-SA"/>
        </w:rPr>
        <w:t>接受伽师县财政局委托后，对项目资金进行调研，与预算单位沟通，收集相关资料，了解项目资金的内容、操作流程、管理机制、产出等情况。</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baseline"/>
        <w:rPr>
          <w:rStyle w:val="21"/>
          <w:rFonts w:hint="eastAsia" w:ascii="方正仿宋_GBK" w:hAnsi="方正仿宋_GBK" w:eastAsia="方正仿宋_GBK" w:cs="方正仿宋_GBK"/>
          <w:b w:val="0"/>
          <w:i w:val="0"/>
          <w:caps w:val="0"/>
          <w:color w:val="auto"/>
          <w:spacing w:val="0"/>
          <w:w w:val="100"/>
          <w:kern w:val="0"/>
          <w:sz w:val="32"/>
          <w:szCs w:val="32"/>
          <w:lang w:val="en-US" w:eastAsia="zh-CN" w:bidi="ar-SA"/>
        </w:rPr>
      </w:pPr>
      <w:r>
        <w:rPr>
          <w:rStyle w:val="21"/>
          <w:rFonts w:hint="eastAsia" w:ascii="方正仿宋_GBK" w:hAnsi="方正仿宋_GBK" w:eastAsia="方正仿宋_GBK" w:cs="方正仿宋_GBK"/>
          <w:b w:val="0"/>
          <w:i w:val="0"/>
          <w:caps w:val="0"/>
          <w:color w:val="auto"/>
          <w:spacing w:val="0"/>
          <w:w w:val="100"/>
          <w:kern w:val="0"/>
          <w:sz w:val="32"/>
          <w:szCs w:val="32"/>
          <w:lang w:val="en-US" w:eastAsia="zh-CN" w:bidi="ar-SA"/>
        </w:rPr>
        <w:t>（2）评价实施阶段——2023年5月20日前</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baseline"/>
        <w:rPr>
          <w:rStyle w:val="21"/>
          <w:rFonts w:hint="eastAsia" w:ascii="方正仿宋_GBK" w:hAnsi="方正仿宋_GBK" w:eastAsia="方正仿宋_GBK" w:cs="方正仿宋_GBK"/>
          <w:b w:val="0"/>
          <w:i w:val="0"/>
          <w:caps w:val="0"/>
          <w:color w:val="auto"/>
          <w:spacing w:val="0"/>
          <w:w w:val="100"/>
          <w:kern w:val="0"/>
          <w:sz w:val="32"/>
          <w:szCs w:val="32"/>
          <w:lang w:val="en-US" w:eastAsia="zh-CN" w:bidi="ar-SA"/>
        </w:rPr>
      </w:pPr>
      <w:r>
        <w:rPr>
          <w:rStyle w:val="21"/>
          <w:rFonts w:hint="eastAsia" w:ascii="方正仿宋_GBK" w:hAnsi="方正仿宋_GBK" w:eastAsia="方正仿宋_GBK" w:cs="方正仿宋_GBK"/>
          <w:b w:val="0"/>
          <w:i w:val="0"/>
          <w:caps w:val="0"/>
          <w:color w:val="auto"/>
          <w:spacing w:val="0"/>
          <w:w w:val="100"/>
          <w:kern w:val="0"/>
          <w:sz w:val="32"/>
          <w:szCs w:val="32"/>
          <w:lang w:val="en-US" w:eastAsia="zh-CN" w:bidi="ar-SA"/>
        </w:rPr>
        <w:t>数据采集（2024年4月15日前）。将基础表发送至市监局按照预算绩效管理要求填报相关数据并加盖公章。</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baseline"/>
        <w:rPr>
          <w:rStyle w:val="21"/>
          <w:rFonts w:hint="eastAsia" w:ascii="方正仿宋_GBK" w:hAnsi="方正仿宋_GBK" w:eastAsia="方正仿宋_GBK" w:cs="方正仿宋_GBK"/>
          <w:b w:val="0"/>
          <w:i w:val="0"/>
          <w:caps w:val="0"/>
          <w:color w:val="auto"/>
          <w:spacing w:val="0"/>
          <w:w w:val="100"/>
          <w:kern w:val="0"/>
          <w:sz w:val="32"/>
          <w:szCs w:val="32"/>
          <w:lang w:val="en-US" w:eastAsia="zh-CN" w:bidi="ar-SA"/>
        </w:rPr>
      </w:pPr>
      <w:r>
        <w:rPr>
          <w:rStyle w:val="21"/>
          <w:rFonts w:hint="eastAsia" w:ascii="方正仿宋_GBK" w:hAnsi="方正仿宋_GBK" w:eastAsia="方正仿宋_GBK" w:cs="方正仿宋_GBK"/>
          <w:b w:val="0"/>
          <w:i w:val="0"/>
          <w:caps w:val="0"/>
          <w:color w:val="auto"/>
          <w:spacing w:val="0"/>
          <w:w w:val="100"/>
          <w:kern w:val="0"/>
          <w:sz w:val="32"/>
          <w:szCs w:val="32"/>
          <w:lang w:val="en-US" w:eastAsia="zh-CN" w:bidi="ar-SA"/>
        </w:rPr>
        <w:t>实地调研（2023年5月20日前）。根据调研方案，对市监局相关负责人进行访谈，并对其填报的数据进行复核。调研结束后，对相关材料及数据进行分析整理，并撰写形成访谈报告。</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baseline"/>
        <w:rPr>
          <w:rStyle w:val="21"/>
          <w:rFonts w:hint="eastAsia" w:ascii="方正仿宋_GBK" w:hAnsi="方正仿宋_GBK" w:eastAsia="方正仿宋_GBK" w:cs="方正仿宋_GBK"/>
          <w:b w:val="0"/>
          <w:i w:val="0"/>
          <w:caps w:val="0"/>
          <w:color w:val="auto"/>
          <w:spacing w:val="0"/>
          <w:w w:val="100"/>
          <w:kern w:val="0"/>
          <w:sz w:val="32"/>
          <w:szCs w:val="32"/>
          <w:lang w:val="en-US" w:eastAsia="zh-CN" w:bidi="ar-SA"/>
        </w:rPr>
      </w:pPr>
      <w:r>
        <w:rPr>
          <w:rStyle w:val="21"/>
          <w:rFonts w:hint="eastAsia" w:ascii="方正仿宋_GBK" w:hAnsi="方正仿宋_GBK" w:eastAsia="方正仿宋_GBK" w:cs="方正仿宋_GBK"/>
          <w:b w:val="0"/>
          <w:i w:val="0"/>
          <w:caps w:val="0"/>
          <w:color w:val="auto"/>
          <w:spacing w:val="0"/>
          <w:w w:val="100"/>
          <w:kern w:val="0"/>
          <w:sz w:val="32"/>
          <w:szCs w:val="32"/>
          <w:lang w:val="en-US" w:eastAsia="zh-CN" w:bidi="ar-SA"/>
        </w:rPr>
        <w:t>（3）报告撰写阶段（2023年6月10日前）</w:t>
      </w:r>
    </w:p>
    <w:p>
      <w:pPr>
        <w:keepNext w:val="0"/>
        <w:keepLines w:val="0"/>
        <w:pageBreakBefore w:val="0"/>
        <w:widowControl/>
        <w:kinsoku/>
        <w:wordWrap/>
        <w:topLinePunct w:val="0"/>
        <w:bidi w:val="0"/>
        <w:snapToGrid/>
        <w:spacing w:line="570" w:lineRule="exact"/>
        <w:ind w:firstLine="640" w:firstLineChars="200"/>
        <w:jc w:val="both"/>
        <w:rPr>
          <w:rFonts w:hint="eastAsia" w:ascii="方正仿宋_GBK" w:hAnsi="方正仿宋_GBK" w:eastAsia="方正仿宋_GBK" w:cs="方正仿宋_GBK"/>
          <w:color w:val="auto"/>
          <w:kern w:val="0"/>
          <w:sz w:val="32"/>
          <w:szCs w:val="32"/>
          <w:highlight w:val="cyan"/>
          <w:lang w:bidi="ar"/>
        </w:rPr>
      </w:pPr>
      <w:r>
        <w:rPr>
          <w:rStyle w:val="21"/>
          <w:rFonts w:hint="eastAsia" w:ascii="方正仿宋_GBK" w:hAnsi="方正仿宋_GBK" w:eastAsia="方正仿宋_GBK" w:cs="方正仿宋_GBK"/>
          <w:b w:val="0"/>
          <w:i w:val="0"/>
          <w:caps w:val="0"/>
          <w:color w:val="auto"/>
          <w:spacing w:val="0"/>
          <w:w w:val="100"/>
          <w:kern w:val="0"/>
          <w:sz w:val="32"/>
          <w:szCs w:val="32"/>
          <w:lang w:val="en-US" w:eastAsia="zh-CN" w:bidi="ar-SA"/>
        </w:rPr>
        <w:t>撰写评价报告（2023年6月10日前）。</w:t>
      </w:r>
      <w:r>
        <w:rPr>
          <w:rFonts w:hint="eastAsia" w:ascii="方正仿宋_GBK" w:hAnsi="方正仿宋_GBK" w:eastAsia="方正仿宋_GBK" w:cs="方正仿宋_GBK"/>
          <w:color w:val="auto"/>
          <w:kern w:val="0"/>
          <w:sz w:val="32"/>
          <w:szCs w:val="32"/>
          <w:highlight w:val="none"/>
          <w:lang w:bidi="ar"/>
        </w:rPr>
        <w:t>项目评价组根据绩效评价的原理，对收集的数据汇总和分析，撰写绩效评价报告，形成绩效评价报告初稿，征求项目实施单位意见，双方意见达成一致后在规定时间内上报</w:t>
      </w:r>
      <w:r>
        <w:rPr>
          <w:rFonts w:hint="eastAsia" w:ascii="方正仿宋_GBK" w:hAnsi="方正仿宋_GBK" w:eastAsia="方正仿宋_GBK" w:cs="方正仿宋_GBK"/>
          <w:color w:val="auto"/>
          <w:kern w:val="0"/>
          <w:sz w:val="32"/>
          <w:szCs w:val="32"/>
          <w:highlight w:val="none"/>
          <w:lang w:eastAsia="zh-CN" w:bidi="ar"/>
        </w:rPr>
        <w:t>伽师县</w:t>
      </w:r>
      <w:r>
        <w:rPr>
          <w:rFonts w:hint="eastAsia" w:ascii="方正仿宋_GBK" w:hAnsi="方正仿宋_GBK" w:eastAsia="方正仿宋_GBK" w:cs="方正仿宋_GBK"/>
          <w:color w:val="auto"/>
          <w:kern w:val="0"/>
          <w:sz w:val="32"/>
          <w:szCs w:val="32"/>
          <w:highlight w:val="none"/>
          <w:lang w:bidi="ar"/>
        </w:rPr>
        <w:t>财政局</w:t>
      </w:r>
      <w:r>
        <w:rPr>
          <w:rFonts w:hint="eastAsia" w:ascii="方正仿宋_GBK" w:hAnsi="方正仿宋_GBK" w:eastAsia="方正仿宋_GBK" w:cs="方正仿宋_GBK"/>
          <w:color w:val="auto"/>
          <w:kern w:val="0"/>
          <w:sz w:val="32"/>
          <w:szCs w:val="32"/>
          <w:highlight w:val="none"/>
          <w:lang w:eastAsia="zh-CN" w:bidi="ar"/>
        </w:rPr>
        <w:t>，</w:t>
      </w:r>
      <w:r>
        <w:rPr>
          <w:rFonts w:hint="eastAsia" w:ascii="方正仿宋_GBK" w:hAnsi="方正仿宋_GBK" w:eastAsia="方正仿宋_GBK" w:cs="方正仿宋_GBK"/>
          <w:color w:val="auto"/>
          <w:kern w:val="0"/>
          <w:sz w:val="32"/>
          <w:szCs w:val="32"/>
          <w:highlight w:val="none"/>
          <w:lang w:bidi="ar"/>
        </w:rPr>
        <w:t>并根据伽师县财政局的安排与单位沟通确认。</w:t>
      </w:r>
    </w:p>
    <w:p>
      <w:pPr>
        <w:pStyle w:val="5"/>
        <w:numPr>
          <w:ilvl w:val="0"/>
          <w:numId w:val="0"/>
        </w:numPr>
        <w:ind w:firstLine="640" w:firstLineChars="200"/>
        <w:rPr>
          <w:rStyle w:val="21"/>
          <w:rFonts w:hint="eastAsia" w:ascii="方正仿宋_GBK" w:hAnsi="方正仿宋_GBK" w:eastAsia="方正仿宋_GBK" w:cs="方正仿宋_GBK"/>
          <w:b w:val="0"/>
          <w:bCs w:val="0"/>
          <w:i w:val="0"/>
          <w:caps w:val="0"/>
          <w:color w:val="auto"/>
          <w:spacing w:val="0"/>
          <w:w w:val="100"/>
          <w:kern w:val="0"/>
          <w:sz w:val="32"/>
          <w:szCs w:val="32"/>
          <w:lang w:val="en-US" w:eastAsia="zh-CN" w:bidi="ar-SA"/>
        </w:rPr>
      </w:pPr>
      <w:r>
        <w:rPr>
          <w:rStyle w:val="21"/>
          <w:rFonts w:hint="eastAsia" w:ascii="方正仿宋_GBK" w:hAnsi="方正仿宋_GBK" w:eastAsia="方正仿宋_GBK" w:cs="方正仿宋_GBK"/>
          <w:b w:val="0"/>
          <w:bCs w:val="0"/>
          <w:i w:val="0"/>
          <w:caps w:val="0"/>
          <w:color w:val="auto"/>
          <w:spacing w:val="0"/>
          <w:w w:val="100"/>
          <w:kern w:val="0"/>
          <w:sz w:val="32"/>
          <w:szCs w:val="32"/>
          <w:lang w:val="en-US" w:eastAsia="zh-CN" w:bidi="ar-SA"/>
        </w:rPr>
        <w:t>（4）报告评审修改阶段（2023年7月19日-2023年7月24日）</w:t>
      </w:r>
    </w:p>
    <w:p>
      <w:pPr>
        <w:keepNext w:val="0"/>
        <w:keepLines w:val="0"/>
        <w:pageBreakBefore w:val="0"/>
        <w:widowControl/>
        <w:kinsoku/>
        <w:wordWrap/>
        <w:topLinePunct w:val="0"/>
        <w:bidi w:val="0"/>
        <w:snapToGrid/>
        <w:spacing w:line="570" w:lineRule="exact"/>
        <w:ind w:firstLine="640" w:firstLineChars="200"/>
        <w:jc w:val="both"/>
        <w:rPr>
          <w:rFonts w:hint="eastAsia" w:ascii="方正仿宋_GBK" w:hAnsi="方正仿宋_GBK" w:eastAsia="方正仿宋_GBK" w:cs="方正仿宋_GBK"/>
          <w:color w:val="auto"/>
          <w:kern w:val="0"/>
          <w:sz w:val="32"/>
          <w:szCs w:val="32"/>
          <w:highlight w:val="none"/>
          <w:lang w:eastAsia="zh-Hans" w:bidi="ar"/>
        </w:rPr>
      </w:pPr>
      <w:bookmarkStart w:id="59" w:name="_Toc22965"/>
      <w:r>
        <w:rPr>
          <w:rFonts w:hint="eastAsia" w:ascii="方正仿宋_GBK" w:hAnsi="方正仿宋_GBK" w:eastAsia="方正仿宋_GBK" w:cs="方正仿宋_GBK"/>
          <w:color w:val="auto"/>
          <w:kern w:val="0"/>
          <w:sz w:val="32"/>
          <w:szCs w:val="32"/>
          <w:highlight w:val="none"/>
          <w:lang w:eastAsia="zh-Hans" w:bidi="ar"/>
        </w:rPr>
        <w:t>财政局牵头组织人大</w:t>
      </w:r>
      <w:r>
        <w:rPr>
          <w:rFonts w:hint="eastAsia" w:ascii="方正仿宋_GBK" w:hAnsi="方正仿宋_GBK" w:eastAsia="方正仿宋_GBK" w:cs="方正仿宋_GBK"/>
          <w:color w:val="auto"/>
          <w:kern w:val="0"/>
          <w:sz w:val="32"/>
          <w:szCs w:val="32"/>
          <w:highlight w:val="none"/>
          <w:lang w:eastAsia="zh-CN" w:bidi="ar"/>
        </w:rPr>
        <w:t>代表</w:t>
      </w:r>
      <w:r>
        <w:rPr>
          <w:rFonts w:hint="eastAsia" w:ascii="方正仿宋_GBK" w:hAnsi="方正仿宋_GBK" w:eastAsia="方正仿宋_GBK" w:cs="方正仿宋_GBK"/>
          <w:color w:val="auto"/>
          <w:kern w:val="0"/>
          <w:sz w:val="32"/>
          <w:szCs w:val="32"/>
          <w:highlight w:val="none"/>
          <w:lang w:eastAsia="zh-Hans" w:bidi="ar"/>
        </w:rPr>
        <w:t>，</w:t>
      </w:r>
      <w:r>
        <w:rPr>
          <w:rFonts w:hint="eastAsia" w:ascii="方正仿宋_GBK" w:hAnsi="方正仿宋_GBK" w:eastAsia="方正仿宋_GBK" w:cs="方正仿宋_GBK"/>
          <w:color w:val="auto"/>
          <w:kern w:val="0"/>
          <w:sz w:val="32"/>
          <w:szCs w:val="32"/>
          <w:highlight w:val="none"/>
          <w:lang w:eastAsia="zh-CN" w:bidi="ar"/>
        </w:rPr>
        <w:t>政协委员、审计部门代表、</w:t>
      </w:r>
      <w:r>
        <w:rPr>
          <w:rFonts w:hint="eastAsia" w:ascii="方正仿宋_GBK" w:hAnsi="方正仿宋_GBK" w:eastAsia="方正仿宋_GBK" w:cs="方正仿宋_GBK"/>
          <w:color w:val="auto"/>
          <w:kern w:val="0"/>
          <w:sz w:val="32"/>
          <w:szCs w:val="32"/>
          <w:highlight w:val="none"/>
          <w:lang w:eastAsia="zh-Hans" w:bidi="ar"/>
        </w:rPr>
        <w:t>财政部门</w:t>
      </w:r>
      <w:r>
        <w:rPr>
          <w:rFonts w:hint="eastAsia" w:ascii="方正仿宋_GBK" w:hAnsi="方正仿宋_GBK" w:eastAsia="方正仿宋_GBK" w:cs="方正仿宋_GBK"/>
          <w:color w:val="auto"/>
          <w:kern w:val="0"/>
          <w:sz w:val="32"/>
          <w:szCs w:val="32"/>
          <w:highlight w:val="none"/>
          <w:lang w:eastAsia="zh-CN" w:bidi="ar"/>
        </w:rPr>
        <w:t>代表、</w:t>
      </w:r>
      <w:r>
        <w:rPr>
          <w:rFonts w:hint="eastAsia" w:ascii="方正仿宋_GBK" w:hAnsi="方正仿宋_GBK" w:eastAsia="方正仿宋_GBK" w:cs="方正仿宋_GBK"/>
          <w:color w:val="auto"/>
          <w:kern w:val="0"/>
          <w:sz w:val="32"/>
          <w:szCs w:val="32"/>
          <w:highlight w:val="none"/>
          <w:lang w:eastAsia="zh-Hans" w:bidi="ar"/>
        </w:rPr>
        <w:t>绩效评价专家</w:t>
      </w:r>
      <w:r>
        <w:rPr>
          <w:rFonts w:hint="eastAsia" w:ascii="方正仿宋_GBK" w:hAnsi="方正仿宋_GBK" w:eastAsia="方正仿宋_GBK" w:cs="方正仿宋_GBK"/>
          <w:color w:val="auto"/>
          <w:kern w:val="0"/>
          <w:sz w:val="32"/>
          <w:szCs w:val="32"/>
          <w:highlight w:val="none"/>
          <w:lang w:eastAsia="zh-CN" w:bidi="ar"/>
        </w:rPr>
        <w:t>、</w:t>
      </w:r>
      <w:r>
        <w:rPr>
          <w:rFonts w:hint="eastAsia" w:ascii="方正仿宋_GBK" w:hAnsi="方正仿宋_GBK" w:eastAsia="方正仿宋_GBK" w:cs="方正仿宋_GBK"/>
          <w:color w:val="auto"/>
          <w:kern w:val="0"/>
          <w:sz w:val="32"/>
          <w:szCs w:val="32"/>
          <w:highlight w:val="none"/>
          <w:lang w:eastAsia="zh-Hans" w:bidi="ar"/>
        </w:rPr>
        <w:t>行业专家</w:t>
      </w:r>
      <w:r>
        <w:rPr>
          <w:rFonts w:hint="eastAsia" w:ascii="方正仿宋_GBK" w:hAnsi="方正仿宋_GBK" w:eastAsia="方正仿宋_GBK" w:cs="方正仿宋_GBK"/>
          <w:color w:val="auto"/>
          <w:kern w:val="0"/>
          <w:sz w:val="32"/>
          <w:szCs w:val="32"/>
          <w:highlight w:val="none"/>
          <w:lang w:eastAsia="zh-CN" w:bidi="ar"/>
        </w:rPr>
        <w:t>、被评价领域行业专家</w:t>
      </w:r>
      <w:r>
        <w:rPr>
          <w:rFonts w:hint="eastAsia" w:ascii="方正仿宋_GBK" w:hAnsi="方正仿宋_GBK" w:eastAsia="方正仿宋_GBK" w:cs="方正仿宋_GBK"/>
          <w:color w:val="auto"/>
          <w:kern w:val="0"/>
          <w:sz w:val="32"/>
          <w:szCs w:val="32"/>
          <w:highlight w:val="none"/>
          <w:lang w:eastAsia="zh-Hans" w:bidi="ar"/>
        </w:rPr>
        <w:t>以及第三方机构代表开展财政绩效评价报告评审会议。绩效评价工作小组根据评审建议逐条修改报告并报专家评审组组长</w:t>
      </w:r>
      <w:r>
        <w:rPr>
          <w:rFonts w:hint="eastAsia" w:ascii="方正仿宋_GBK" w:hAnsi="方正仿宋_GBK" w:eastAsia="方正仿宋_GBK" w:cs="方正仿宋_GBK"/>
          <w:color w:val="auto"/>
          <w:kern w:val="0"/>
          <w:sz w:val="32"/>
          <w:szCs w:val="32"/>
          <w:highlight w:val="none"/>
          <w:lang w:eastAsia="zh-CN" w:bidi="ar"/>
        </w:rPr>
        <w:t>、</w:t>
      </w:r>
      <w:r>
        <w:rPr>
          <w:rFonts w:hint="eastAsia" w:ascii="方正仿宋_GBK" w:hAnsi="方正仿宋_GBK" w:eastAsia="方正仿宋_GBK" w:cs="方正仿宋_GBK"/>
          <w:color w:val="auto"/>
          <w:kern w:val="0"/>
          <w:sz w:val="32"/>
          <w:szCs w:val="32"/>
          <w:highlight w:val="none"/>
          <w:lang w:eastAsia="zh-Hans" w:bidi="ar"/>
        </w:rPr>
        <w:t>绩效评价</w:t>
      </w:r>
      <w:r>
        <w:rPr>
          <w:rFonts w:hint="eastAsia" w:ascii="方正仿宋_GBK" w:hAnsi="方正仿宋_GBK" w:eastAsia="方正仿宋_GBK" w:cs="方正仿宋_GBK"/>
          <w:color w:val="auto"/>
          <w:kern w:val="0"/>
          <w:sz w:val="32"/>
          <w:szCs w:val="32"/>
          <w:highlight w:val="none"/>
          <w:lang w:eastAsia="zh-CN" w:bidi="ar"/>
        </w:rPr>
        <w:t>股</w:t>
      </w:r>
      <w:r>
        <w:rPr>
          <w:rFonts w:hint="eastAsia" w:ascii="方正仿宋_GBK" w:hAnsi="方正仿宋_GBK" w:eastAsia="方正仿宋_GBK" w:cs="方正仿宋_GBK"/>
          <w:color w:val="auto"/>
          <w:kern w:val="0"/>
          <w:sz w:val="32"/>
          <w:szCs w:val="32"/>
          <w:highlight w:val="none"/>
          <w:lang w:eastAsia="zh-Hans" w:bidi="ar"/>
        </w:rPr>
        <w:t>审核。</w:t>
      </w:r>
    </w:p>
    <w:p>
      <w:pPr>
        <w:pStyle w:val="15"/>
        <w:ind w:firstLine="640"/>
        <w:jc w:val="both"/>
        <w:rPr>
          <w:rFonts w:hint="default" w:ascii="方正黑体_GBK" w:hAnsi="方正黑体_GBK" w:eastAsia="方正黑体_GBK" w:cs="方正黑体_GBK"/>
          <w:color w:val="auto"/>
          <w:lang w:val="en-US" w:eastAsia="zh-CN"/>
        </w:rPr>
      </w:pPr>
      <w:r>
        <w:rPr>
          <w:rFonts w:hint="eastAsia" w:ascii="方正黑体_GBK" w:hAnsi="方正黑体_GBK" w:eastAsia="方正黑体_GBK" w:cs="方正黑体_GBK"/>
          <w:color w:val="auto"/>
        </w:rPr>
        <w:fldChar w:fldCharType="begin"/>
      </w:r>
      <w:r>
        <w:rPr>
          <w:rFonts w:hint="eastAsia" w:ascii="方正黑体_GBK" w:hAnsi="方正黑体_GBK" w:eastAsia="方正黑体_GBK" w:cs="方正黑体_GBK"/>
          <w:color w:val="auto"/>
        </w:rPr>
        <w:instrText xml:space="preserve"> HYPERLINK \l "_Toc4468" </w:instrText>
      </w:r>
      <w:r>
        <w:rPr>
          <w:rFonts w:hint="eastAsia" w:ascii="方正黑体_GBK" w:hAnsi="方正黑体_GBK" w:eastAsia="方正黑体_GBK" w:cs="方正黑体_GBK"/>
          <w:color w:val="auto"/>
        </w:rPr>
        <w:fldChar w:fldCharType="separate"/>
      </w:r>
      <w:bookmarkStart w:id="60" w:name="_Toc45010312"/>
      <w:bookmarkStart w:id="61" w:name="_Toc16691_WPSOffice_Level1"/>
      <w:r>
        <w:rPr>
          <w:rFonts w:hint="eastAsia" w:ascii="方正黑体_GBK" w:hAnsi="方正黑体_GBK" w:eastAsia="方正黑体_GBK" w:cs="方正黑体_GBK"/>
          <w:color w:val="auto"/>
          <w:lang w:val="en-US" w:eastAsia="zh-CN"/>
        </w:rPr>
        <w:t>三</w:t>
      </w:r>
      <w:r>
        <w:rPr>
          <w:rFonts w:hint="eastAsia" w:ascii="方正黑体_GBK" w:hAnsi="方正黑体_GBK" w:eastAsia="方正黑体_GBK" w:cs="方正黑体_GBK"/>
          <w:color w:val="auto"/>
          <w:lang w:val="zh-CN"/>
        </w:rPr>
        <w:t>、绩效评价情况</w:t>
      </w:r>
      <w:bookmarkEnd w:id="60"/>
      <w:r>
        <w:rPr>
          <w:rFonts w:hint="eastAsia" w:ascii="方正黑体_GBK" w:hAnsi="方正黑体_GBK" w:eastAsia="方正黑体_GBK" w:cs="方正黑体_GBK"/>
          <w:color w:val="auto"/>
          <w:lang w:val="zh-CN"/>
        </w:rPr>
        <w:fldChar w:fldCharType="end"/>
      </w:r>
      <w:r>
        <w:rPr>
          <w:rFonts w:hint="eastAsia" w:ascii="方正黑体_GBK" w:hAnsi="方正黑体_GBK" w:eastAsia="方正黑体_GBK" w:cs="方正黑体_GBK"/>
          <w:color w:val="auto"/>
          <w:lang w:val="en-US" w:eastAsia="zh-CN"/>
        </w:rPr>
        <w:t>及评价结</w:t>
      </w:r>
      <w:bookmarkEnd w:id="61"/>
      <w:r>
        <w:rPr>
          <w:rFonts w:hint="eastAsia" w:ascii="方正黑体_GBK" w:hAnsi="方正黑体_GBK" w:eastAsia="方正黑体_GBK" w:cs="方正黑体_GBK"/>
          <w:color w:val="auto"/>
          <w:lang w:val="en-US" w:eastAsia="zh-CN"/>
        </w:rPr>
        <w:t>论</w:t>
      </w:r>
      <w:bookmarkEnd w:id="59"/>
    </w:p>
    <w:p>
      <w:pPr>
        <w:numPr>
          <w:ilvl w:val="0"/>
          <w:numId w:val="3"/>
        </w:numPr>
        <w:spacing w:line="500" w:lineRule="exact"/>
        <w:ind w:firstLine="643" w:firstLineChars="200"/>
        <w:jc w:val="both"/>
        <w:outlineLvl w:val="1"/>
        <w:rPr>
          <w:rFonts w:hint="eastAsia" w:ascii="方正楷体_GBK" w:hAnsi="方正楷体_GBK" w:eastAsia="方正楷体_GBK" w:cs="方正楷体_GBK"/>
          <w:b/>
          <w:color w:val="auto"/>
          <w:sz w:val="32"/>
          <w:szCs w:val="32"/>
          <w:highlight w:val="none"/>
        </w:rPr>
      </w:pPr>
      <w:bookmarkStart w:id="62" w:name="_Toc45010313"/>
      <w:bookmarkStart w:id="63" w:name="_Toc19608_WPSOffice_Level2"/>
      <w:bookmarkStart w:id="64" w:name="_Toc17517"/>
      <w:r>
        <w:rPr>
          <w:rFonts w:hint="eastAsia" w:ascii="方正楷体_GBK" w:hAnsi="方正楷体_GBK" w:eastAsia="方正楷体_GBK" w:cs="方正楷体_GBK"/>
          <w:b/>
          <w:color w:val="auto"/>
          <w:sz w:val="32"/>
          <w:szCs w:val="32"/>
          <w:highlight w:val="none"/>
        </w:rPr>
        <w:t>绩效评价总体情况</w:t>
      </w:r>
      <w:bookmarkEnd w:id="62"/>
      <w:bookmarkEnd w:id="63"/>
      <w:bookmarkEnd w:id="64"/>
    </w:p>
    <w:p>
      <w:pPr>
        <w:numPr>
          <w:ilvl w:val="0"/>
          <w:numId w:val="0"/>
        </w:numPr>
        <w:spacing w:line="500" w:lineRule="exact"/>
        <w:jc w:val="both"/>
        <w:outlineLvl w:val="1"/>
        <w:rPr>
          <w:rFonts w:hint="eastAsia" w:ascii="方正仿宋_GBK" w:hAnsi="方正仿宋_GBK" w:eastAsia="方正仿宋_GBK" w:cs="方正仿宋_GBK"/>
          <w:sz w:val="32"/>
          <w:szCs w:val="32"/>
          <w:lang w:val="en-US" w:eastAsia="zh-CN"/>
        </w:rPr>
      </w:pPr>
      <w:r>
        <w:rPr>
          <w:rFonts w:hint="eastAsia"/>
          <w:lang w:val="en-US" w:eastAsia="zh-CN"/>
        </w:rPr>
        <w:t xml:space="preserve">     </w:t>
      </w:r>
      <w:r>
        <w:rPr>
          <w:rFonts w:hint="eastAsia" w:ascii="方正仿宋_GBK" w:hAnsi="方正仿宋_GBK" w:eastAsia="方正仿宋_GBK" w:cs="方正仿宋_GBK"/>
          <w:sz w:val="32"/>
          <w:szCs w:val="32"/>
          <w:lang w:val="en-US" w:eastAsia="zh-CN"/>
        </w:rPr>
        <w:t xml:space="preserve"> 伽师县市场监督管理局成立了绩效评价工作小组负责本部门绩效自评工作的组织领导和具体实施，明确了工作职责和分工，制定了切实可行的评价方案。根据各办公室、股室的情况汇报和提交的工作计划、工作总结等资料，评价小组现场进行询查和核实，根据确定的评价指标、评价标准和评价方法统一打分，形成自评结论。</w:t>
      </w:r>
    </w:p>
    <w:p>
      <w:pPr>
        <w:pStyle w:val="30"/>
        <w:ind w:firstLine="640" w:firstLineChars="200"/>
        <w:rPr>
          <w:rFonts w:hint="default"/>
          <w:lang w:val="en-US" w:eastAsia="zh-CN"/>
        </w:rPr>
      </w:pPr>
      <w:r>
        <w:rPr>
          <w:rFonts w:hint="eastAsia" w:ascii="方正仿宋_GBK" w:hAnsi="方正仿宋_GBK" w:eastAsia="方正仿宋_GBK" w:cs="方正仿宋_GBK"/>
          <w:sz w:val="32"/>
          <w:szCs w:val="32"/>
          <w:lang w:val="en-US" w:eastAsia="zh-CN"/>
        </w:rPr>
        <w:t>2022年度，市监局严格按照预算编制要求，设置预算绩效目标，准确编制预算，确保资金使用及管理规范，制度落实到位，绩效考核目标任务圆满完成，按照部门整体支出绩效评价指标体系对照表打分得出结果为98.88分。</w:t>
      </w:r>
    </w:p>
    <w:p>
      <w:pPr>
        <w:numPr>
          <w:ilvl w:val="0"/>
          <w:numId w:val="0"/>
        </w:numPr>
        <w:spacing w:line="500" w:lineRule="exact"/>
        <w:ind w:firstLine="321" w:firstLineChars="100"/>
        <w:jc w:val="both"/>
        <w:outlineLvl w:val="1"/>
        <w:rPr>
          <w:rFonts w:hint="default" w:eastAsia="宋体"/>
          <w:lang w:val="en-US" w:eastAsia="zh-CN"/>
        </w:rPr>
      </w:pPr>
      <w:bookmarkStart w:id="65" w:name="_Toc6722_WPSOffice_Level2"/>
      <w:r>
        <w:rPr>
          <w:rFonts w:hint="eastAsia" w:ascii="方正楷体_GBK" w:hAnsi="方正楷体_GBK" w:eastAsia="方正楷体_GBK" w:cs="方正楷体_GBK"/>
          <w:b/>
          <w:color w:val="auto"/>
          <w:sz w:val="32"/>
          <w:szCs w:val="32"/>
          <w:lang w:val="en-US" w:eastAsia="zh-CN"/>
        </w:rPr>
        <w:t>（二）</w:t>
      </w:r>
      <w:r>
        <w:rPr>
          <w:rFonts w:hint="eastAsia" w:ascii="方正楷体_GBK" w:hAnsi="方正楷体_GBK" w:eastAsia="方正楷体_GBK" w:cs="方正楷体_GBK"/>
          <w:b/>
          <w:color w:val="auto"/>
          <w:sz w:val="32"/>
          <w:szCs w:val="32"/>
          <w:lang w:eastAsia="zh-CN"/>
        </w:rPr>
        <w:t>综合评价结论</w:t>
      </w:r>
      <w:bookmarkEnd w:id="65"/>
    </w:p>
    <w:p>
      <w:pPr>
        <w:spacing w:line="500" w:lineRule="exact"/>
        <w:ind w:firstLine="664" w:firstLineChars="200"/>
        <w:jc w:val="both"/>
        <w:outlineLvl w:val="1"/>
        <w:rPr>
          <w:rFonts w:hint="eastAsia" w:ascii="方正仿宋_GBK" w:hAnsi="方正仿宋_GBK" w:eastAsia="方正仿宋_GBK" w:cs="方正仿宋_GBK"/>
          <w:color w:val="auto"/>
          <w:spacing w:val="6"/>
          <w:kern w:val="0"/>
          <w:sz w:val="32"/>
          <w:szCs w:val="32"/>
          <w:highlight w:val="none"/>
          <w:lang w:val="en-US" w:eastAsia="zh-CN"/>
        </w:rPr>
      </w:pPr>
      <w:bookmarkStart w:id="66" w:name="_Toc17321"/>
      <w:bookmarkStart w:id="67" w:name="_Toc26958"/>
      <w:bookmarkStart w:id="68" w:name="_Toc45010314"/>
      <w:r>
        <w:rPr>
          <w:rFonts w:hint="eastAsia" w:ascii="方正仿宋_GBK" w:hAnsi="方正仿宋_GBK" w:eastAsia="方正仿宋_GBK" w:cs="方正仿宋_GBK"/>
          <w:color w:val="auto"/>
          <w:spacing w:val="6"/>
          <w:kern w:val="0"/>
          <w:sz w:val="32"/>
          <w:szCs w:val="32"/>
          <w:highlight w:val="none"/>
          <w:lang w:val="en-US" w:eastAsia="zh-CN"/>
        </w:rPr>
        <w:t>运用由评价组研发并通过预算单位确认的评价指标体系及评分标准，通过单位提供的基础数据、问卷调查和访谈获取的信息资料，评价组对市监局进行了独立客观地评价，最终评分结果为98.88分，评价等级为“优”。各部分得分情况详见表3-1。评分过程详见附件1。</w:t>
      </w:r>
      <w:bookmarkEnd w:id="66"/>
      <w:bookmarkEnd w:id="67"/>
    </w:p>
    <w:p>
      <w:pPr>
        <w:pStyle w:val="16"/>
        <w:keepNext w:val="0"/>
        <w:keepLines w:val="0"/>
        <w:pageBreakBefore w:val="0"/>
        <w:widowControl/>
        <w:kinsoku/>
        <w:wordWrap/>
        <w:overflowPunct/>
        <w:topLinePunct w:val="0"/>
        <w:autoSpaceDE/>
        <w:autoSpaceDN/>
        <w:bidi w:val="0"/>
        <w:adjustRightInd/>
        <w:snapToGrid/>
        <w:spacing w:line="560" w:lineRule="exact"/>
        <w:ind w:firstLine="562" w:firstLineChars="200"/>
        <w:jc w:val="center"/>
        <w:textAlignment w:val="auto"/>
        <w:rPr>
          <w:rFonts w:hint="default" w:ascii="Times New Roman" w:hAnsi="Times New Roman" w:cs="Times New Roman"/>
          <w:b/>
          <w:color w:val="auto"/>
          <w:sz w:val="28"/>
          <w:szCs w:val="36"/>
          <w:highlight w:val="none"/>
        </w:rPr>
      </w:pPr>
      <w:r>
        <w:rPr>
          <w:rFonts w:hint="default" w:ascii="Times New Roman" w:hAnsi="Times New Roman" w:cs="Times New Roman"/>
          <w:b/>
          <w:color w:val="auto"/>
          <w:sz w:val="28"/>
          <w:szCs w:val="36"/>
          <w:highlight w:val="none"/>
        </w:rPr>
        <w:t>表3-1 项目指标得分情况汇总表</w:t>
      </w:r>
    </w:p>
    <w:tbl>
      <w:tblPr>
        <w:tblStyle w:val="11"/>
        <w:tblW w:w="85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83"/>
        <w:gridCol w:w="2166"/>
        <w:gridCol w:w="1858"/>
        <w:gridCol w:w="20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483" w:type="dxa"/>
            <w:tcBorders>
              <w:top w:val="single" w:color="auto" w:sz="4" w:space="0"/>
              <w:left w:val="single" w:color="auto" w:sz="4" w:space="0"/>
              <w:bottom w:val="single" w:color="auto" w:sz="4" w:space="0"/>
              <w:right w:val="single" w:color="auto" w:sz="4" w:space="0"/>
            </w:tcBorders>
            <w:shd w:val="clear" w:color="000000" w:fill="BEBEBE"/>
            <w:vAlign w:val="center"/>
          </w:tcPr>
          <w:p>
            <w:pPr>
              <w:jc w:val="both"/>
              <w:rPr>
                <w:rFonts w:hint="default" w:ascii="Times New Roman" w:hAnsi="Times New Roman" w:eastAsia="仿宋_GB2312" w:cs="Times New Roman"/>
                <w:b/>
                <w:bCs/>
                <w:color w:val="auto"/>
                <w:sz w:val="22"/>
                <w:highlight w:val="none"/>
              </w:rPr>
            </w:pPr>
            <w:r>
              <w:rPr>
                <w:rFonts w:hint="default" w:ascii="Times New Roman" w:hAnsi="Times New Roman" w:eastAsia="仿宋_GB2312" w:cs="Times New Roman"/>
                <w:b/>
                <w:bCs/>
                <w:color w:val="auto"/>
                <w:sz w:val="22"/>
                <w:highlight w:val="none"/>
              </w:rPr>
              <w:t>一级指标</w:t>
            </w:r>
          </w:p>
        </w:tc>
        <w:tc>
          <w:tcPr>
            <w:tcW w:w="2166" w:type="dxa"/>
            <w:tcBorders>
              <w:top w:val="single" w:color="auto" w:sz="4" w:space="0"/>
              <w:left w:val="nil"/>
              <w:bottom w:val="single" w:color="auto" w:sz="4" w:space="0"/>
              <w:right w:val="single" w:color="auto" w:sz="4" w:space="0"/>
            </w:tcBorders>
            <w:shd w:val="clear" w:color="000000" w:fill="BEBEBE"/>
            <w:vAlign w:val="center"/>
          </w:tcPr>
          <w:p>
            <w:pPr>
              <w:jc w:val="both"/>
              <w:rPr>
                <w:rFonts w:hint="default" w:ascii="Times New Roman" w:hAnsi="Times New Roman" w:eastAsia="仿宋_GB2312" w:cs="Times New Roman"/>
                <w:b/>
                <w:bCs/>
                <w:color w:val="auto"/>
                <w:sz w:val="22"/>
                <w:highlight w:val="none"/>
              </w:rPr>
            </w:pPr>
            <w:r>
              <w:rPr>
                <w:rFonts w:hint="default" w:ascii="Times New Roman" w:hAnsi="Times New Roman" w:eastAsia="仿宋_GB2312" w:cs="Times New Roman"/>
                <w:b/>
                <w:bCs/>
                <w:color w:val="auto"/>
                <w:sz w:val="22"/>
                <w:highlight w:val="none"/>
              </w:rPr>
              <w:t>权重分</w:t>
            </w:r>
          </w:p>
        </w:tc>
        <w:tc>
          <w:tcPr>
            <w:tcW w:w="1858" w:type="dxa"/>
            <w:tcBorders>
              <w:top w:val="single" w:color="auto" w:sz="4" w:space="0"/>
              <w:left w:val="nil"/>
              <w:bottom w:val="single" w:color="auto" w:sz="4" w:space="0"/>
              <w:right w:val="single" w:color="auto" w:sz="4" w:space="0"/>
            </w:tcBorders>
            <w:shd w:val="clear" w:color="000000" w:fill="BEBEBE"/>
            <w:vAlign w:val="center"/>
          </w:tcPr>
          <w:p>
            <w:pPr>
              <w:jc w:val="both"/>
              <w:rPr>
                <w:rFonts w:hint="default" w:ascii="Times New Roman" w:hAnsi="Times New Roman" w:eastAsia="仿宋_GB2312" w:cs="Times New Roman"/>
                <w:b/>
                <w:bCs/>
                <w:color w:val="auto"/>
                <w:sz w:val="22"/>
                <w:highlight w:val="none"/>
              </w:rPr>
            </w:pPr>
            <w:r>
              <w:rPr>
                <w:rFonts w:hint="default" w:ascii="Times New Roman" w:hAnsi="Times New Roman" w:eastAsia="仿宋_GB2312" w:cs="Times New Roman"/>
                <w:b/>
                <w:bCs/>
                <w:color w:val="auto"/>
                <w:sz w:val="22"/>
                <w:highlight w:val="none"/>
              </w:rPr>
              <w:t>得分</w:t>
            </w:r>
          </w:p>
        </w:tc>
        <w:tc>
          <w:tcPr>
            <w:tcW w:w="2012" w:type="dxa"/>
            <w:tcBorders>
              <w:top w:val="single" w:color="auto" w:sz="4" w:space="0"/>
              <w:left w:val="nil"/>
              <w:bottom w:val="single" w:color="auto" w:sz="4" w:space="0"/>
              <w:right w:val="single" w:color="auto" w:sz="4" w:space="0"/>
            </w:tcBorders>
            <w:shd w:val="clear" w:color="000000" w:fill="BEBEBE"/>
            <w:vAlign w:val="center"/>
          </w:tcPr>
          <w:p>
            <w:pPr>
              <w:jc w:val="both"/>
              <w:rPr>
                <w:rFonts w:hint="default" w:ascii="Times New Roman" w:hAnsi="Times New Roman" w:eastAsia="仿宋_GB2312" w:cs="Times New Roman"/>
                <w:b/>
                <w:bCs/>
                <w:color w:val="auto"/>
                <w:sz w:val="22"/>
                <w:highlight w:val="none"/>
              </w:rPr>
            </w:pPr>
            <w:r>
              <w:rPr>
                <w:rFonts w:hint="default" w:ascii="Times New Roman" w:hAnsi="Times New Roman" w:eastAsia="仿宋_GB2312" w:cs="Times New Roman"/>
                <w:b/>
                <w:bCs/>
                <w:color w:val="auto"/>
                <w:sz w:val="22"/>
                <w:highlight w:val="none"/>
              </w:rPr>
              <w:t>得分率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483" w:type="dxa"/>
            <w:tcBorders>
              <w:top w:val="nil"/>
              <w:left w:val="single" w:color="auto" w:sz="4" w:space="0"/>
              <w:bottom w:val="single" w:color="auto" w:sz="4" w:space="0"/>
              <w:right w:val="single" w:color="auto" w:sz="4" w:space="0"/>
            </w:tcBorders>
            <w:vAlign w:val="center"/>
          </w:tcPr>
          <w:p>
            <w:pPr>
              <w:jc w:val="both"/>
              <w:rPr>
                <w:rFonts w:hint="default" w:ascii="Times New Roman" w:hAnsi="Times New Roman" w:eastAsia="仿宋_GB2312" w:cs="Times New Roman"/>
                <w:color w:val="auto"/>
                <w:sz w:val="22"/>
                <w:highlight w:val="none"/>
              </w:rPr>
            </w:pPr>
            <w:r>
              <w:rPr>
                <w:rFonts w:hint="eastAsia" w:ascii="Times New Roman" w:hAnsi="Times New Roman" w:eastAsia="仿宋_GB2312" w:cs="Times New Roman"/>
                <w:color w:val="auto"/>
                <w:sz w:val="22"/>
                <w:highlight w:val="none"/>
                <w:lang w:val="en-US" w:eastAsia="zh-CN"/>
              </w:rPr>
              <w:t>部门</w:t>
            </w:r>
            <w:r>
              <w:rPr>
                <w:rFonts w:hint="default" w:ascii="Times New Roman" w:hAnsi="Times New Roman" w:eastAsia="仿宋_GB2312" w:cs="Times New Roman"/>
                <w:color w:val="auto"/>
                <w:sz w:val="22"/>
                <w:highlight w:val="none"/>
              </w:rPr>
              <w:t>决策</w:t>
            </w:r>
          </w:p>
        </w:tc>
        <w:tc>
          <w:tcPr>
            <w:tcW w:w="2166" w:type="dxa"/>
            <w:tcBorders>
              <w:top w:val="nil"/>
              <w:left w:val="nil"/>
              <w:bottom w:val="single" w:color="auto" w:sz="4" w:space="0"/>
              <w:right w:val="single" w:color="auto" w:sz="4" w:space="0"/>
            </w:tcBorders>
            <w:vAlign w:val="center"/>
          </w:tcPr>
          <w:p>
            <w:pPr>
              <w:jc w:val="both"/>
              <w:rPr>
                <w:rFonts w:hint="default" w:ascii="Times New Roman" w:hAnsi="Times New Roman" w:eastAsia="仿宋_GB2312" w:cs="Times New Roman"/>
                <w:color w:val="auto"/>
                <w:sz w:val="22"/>
                <w:highlight w:val="none"/>
                <w:lang w:val="en-US" w:eastAsia="zh-CN"/>
              </w:rPr>
            </w:pPr>
            <w:r>
              <w:rPr>
                <w:rFonts w:hint="eastAsia" w:ascii="Times New Roman" w:hAnsi="Times New Roman" w:eastAsia="仿宋_GB2312" w:cs="Times New Roman"/>
                <w:color w:val="auto"/>
                <w:sz w:val="22"/>
                <w:highlight w:val="none"/>
                <w:lang w:val="en-US" w:eastAsia="zh-CN"/>
              </w:rPr>
              <w:t>20</w:t>
            </w:r>
          </w:p>
        </w:tc>
        <w:tc>
          <w:tcPr>
            <w:tcW w:w="1858" w:type="dxa"/>
            <w:tcBorders>
              <w:top w:val="nil"/>
              <w:left w:val="nil"/>
              <w:bottom w:val="single" w:color="auto" w:sz="4" w:space="0"/>
              <w:right w:val="single" w:color="auto" w:sz="4" w:space="0"/>
            </w:tcBorders>
            <w:vAlign w:val="center"/>
          </w:tcPr>
          <w:p>
            <w:pPr>
              <w:jc w:val="both"/>
              <w:rPr>
                <w:rFonts w:hint="default" w:ascii="Times New Roman" w:hAnsi="Times New Roman" w:eastAsia="仿宋_GB2312" w:cs="Times New Roman"/>
                <w:color w:val="auto"/>
                <w:kern w:val="0"/>
                <w:sz w:val="22"/>
                <w:szCs w:val="24"/>
                <w:highlight w:val="none"/>
                <w:lang w:val="en-US" w:eastAsia="zh-CN"/>
              </w:rPr>
            </w:pPr>
            <w:r>
              <w:rPr>
                <w:rFonts w:hint="eastAsia" w:ascii="Times New Roman" w:hAnsi="Times New Roman" w:eastAsia="仿宋_GB2312" w:cs="Times New Roman"/>
                <w:color w:val="auto"/>
                <w:sz w:val="22"/>
                <w:highlight w:val="none"/>
                <w:lang w:val="en-US" w:eastAsia="zh-CN"/>
              </w:rPr>
              <w:t>20</w:t>
            </w:r>
          </w:p>
        </w:tc>
        <w:tc>
          <w:tcPr>
            <w:tcW w:w="2012" w:type="dxa"/>
            <w:tcBorders>
              <w:top w:val="nil"/>
              <w:left w:val="nil"/>
              <w:bottom w:val="single" w:color="auto" w:sz="4" w:space="0"/>
              <w:right w:val="single" w:color="auto" w:sz="4" w:space="0"/>
            </w:tcBorders>
            <w:vAlign w:val="center"/>
          </w:tcPr>
          <w:p>
            <w:pPr>
              <w:jc w:val="both"/>
              <w:rPr>
                <w:rFonts w:hint="default" w:ascii="Times New Roman" w:hAnsi="Times New Roman" w:eastAsia="仿宋_GB2312" w:cs="Times New Roman"/>
                <w:color w:val="auto"/>
                <w:sz w:val="22"/>
                <w:highlight w:val="none"/>
                <w:lang w:val="en-US" w:eastAsia="zh-CN"/>
              </w:rPr>
            </w:pPr>
            <w:r>
              <w:rPr>
                <w:rFonts w:hint="eastAsia" w:ascii="Times New Roman" w:hAnsi="Times New Roman" w:eastAsia="仿宋_GB2312" w:cs="Times New Roman"/>
                <w:color w:val="auto"/>
                <w:sz w:val="22"/>
                <w:highlight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483" w:type="dxa"/>
            <w:tcBorders>
              <w:top w:val="nil"/>
              <w:left w:val="single" w:color="auto" w:sz="4" w:space="0"/>
              <w:bottom w:val="single" w:color="auto" w:sz="4" w:space="0"/>
              <w:right w:val="single" w:color="auto" w:sz="4" w:space="0"/>
            </w:tcBorders>
            <w:vAlign w:val="center"/>
          </w:tcPr>
          <w:p>
            <w:pPr>
              <w:jc w:val="both"/>
              <w:rPr>
                <w:rFonts w:hint="default" w:ascii="Times New Roman" w:hAnsi="Times New Roman" w:eastAsia="仿宋_GB2312" w:cs="Times New Roman"/>
                <w:color w:val="auto"/>
                <w:sz w:val="22"/>
                <w:highlight w:val="none"/>
              </w:rPr>
            </w:pPr>
            <w:r>
              <w:rPr>
                <w:rFonts w:hint="eastAsia" w:ascii="Times New Roman" w:hAnsi="Times New Roman" w:eastAsia="仿宋_GB2312" w:cs="Times New Roman"/>
                <w:color w:val="auto"/>
                <w:sz w:val="22"/>
                <w:highlight w:val="none"/>
                <w:lang w:val="en-US" w:eastAsia="zh-CN"/>
              </w:rPr>
              <w:t>部门</w:t>
            </w:r>
            <w:r>
              <w:rPr>
                <w:rFonts w:hint="default" w:ascii="Times New Roman" w:hAnsi="Times New Roman" w:eastAsia="仿宋_GB2312" w:cs="Times New Roman"/>
                <w:color w:val="auto"/>
                <w:sz w:val="22"/>
                <w:highlight w:val="none"/>
              </w:rPr>
              <w:t>管理</w:t>
            </w:r>
          </w:p>
        </w:tc>
        <w:tc>
          <w:tcPr>
            <w:tcW w:w="2166" w:type="dxa"/>
            <w:tcBorders>
              <w:top w:val="nil"/>
              <w:left w:val="nil"/>
              <w:bottom w:val="single" w:color="auto" w:sz="4" w:space="0"/>
              <w:right w:val="single" w:color="auto" w:sz="4" w:space="0"/>
            </w:tcBorders>
            <w:vAlign w:val="center"/>
          </w:tcPr>
          <w:p>
            <w:pPr>
              <w:jc w:val="both"/>
              <w:rPr>
                <w:rFonts w:hint="default" w:ascii="Times New Roman" w:hAnsi="Times New Roman" w:eastAsia="仿宋_GB2312" w:cs="Times New Roman"/>
                <w:color w:val="auto"/>
                <w:sz w:val="22"/>
                <w:highlight w:val="none"/>
                <w:lang w:val="en-US" w:eastAsia="zh-CN"/>
              </w:rPr>
            </w:pPr>
            <w:r>
              <w:rPr>
                <w:rFonts w:hint="eastAsia" w:ascii="Times New Roman" w:hAnsi="Times New Roman" w:eastAsia="仿宋_GB2312" w:cs="Times New Roman"/>
                <w:color w:val="auto"/>
                <w:sz w:val="22"/>
                <w:highlight w:val="none"/>
                <w:lang w:val="en-US" w:eastAsia="zh-CN"/>
              </w:rPr>
              <w:t>30</w:t>
            </w:r>
          </w:p>
        </w:tc>
        <w:tc>
          <w:tcPr>
            <w:tcW w:w="1858" w:type="dxa"/>
            <w:tcBorders>
              <w:top w:val="nil"/>
              <w:left w:val="nil"/>
              <w:bottom w:val="single" w:color="auto" w:sz="4" w:space="0"/>
              <w:right w:val="single" w:color="auto" w:sz="4" w:space="0"/>
            </w:tcBorders>
            <w:vAlign w:val="center"/>
          </w:tcPr>
          <w:p>
            <w:pPr>
              <w:jc w:val="both"/>
              <w:rPr>
                <w:rFonts w:hint="default" w:ascii="Times New Roman" w:hAnsi="Times New Roman" w:eastAsia="仿宋_GB2312" w:cs="Times New Roman"/>
                <w:color w:val="auto"/>
                <w:kern w:val="0"/>
                <w:sz w:val="22"/>
                <w:szCs w:val="24"/>
                <w:highlight w:val="none"/>
                <w:lang w:val="en-US" w:eastAsia="zh-CN"/>
              </w:rPr>
            </w:pPr>
            <w:r>
              <w:rPr>
                <w:rFonts w:hint="eastAsia" w:ascii="Times New Roman" w:hAnsi="Times New Roman" w:eastAsia="仿宋_GB2312" w:cs="Times New Roman"/>
                <w:color w:val="auto"/>
                <w:sz w:val="22"/>
                <w:highlight w:val="none"/>
                <w:lang w:val="en-US" w:eastAsia="zh-CN"/>
              </w:rPr>
              <w:t>29</w:t>
            </w:r>
          </w:p>
        </w:tc>
        <w:tc>
          <w:tcPr>
            <w:tcW w:w="2012" w:type="dxa"/>
            <w:tcBorders>
              <w:top w:val="nil"/>
              <w:left w:val="nil"/>
              <w:bottom w:val="single" w:color="auto" w:sz="4" w:space="0"/>
              <w:right w:val="single" w:color="auto" w:sz="4" w:space="0"/>
            </w:tcBorders>
            <w:vAlign w:val="center"/>
          </w:tcPr>
          <w:p>
            <w:pPr>
              <w:jc w:val="both"/>
              <w:rPr>
                <w:rFonts w:hint="default" w:ascii="Times New Roman" w:hAnsi="Times New Roman" w:eastAsia="仿宋_GB2312" w:cs="Times New Roman"/>
                <w:color w:val="auto"/>
                <w:sz w:val="22"/>
                <w:highlight w:val="none"/>
                <w:lang w:val="en-US" w:eastAsia="zh-CN"/>
              </w:rPr>
            </w:pPr>
            <w:r>
              <w:rPr>
                <w:rFonts w:hint="eastAsia" w:ascii="Times New Roman" w:hAnsi="Times New Roman" w:eastAsia="仿宋_GB2312" w:cs="Times New Roman"/>
                <w:color w:val="auto"/>
                <w:sz w:val="22"/>
                <w:highlight w:val="none"/>
                <w:lang w:val="en-US" w:eastAsia="zh-CN"/>
              </w:rPr>
              <w:t>96.67%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483" w:type="dxa"/>
            <w:tcBorders>
              <w:top w:val="nil"/>
              <w:left w:val="single" w:color="auto" w:sz="4" w:space="0"/>
              <w:bottom w:val="single" w:color="auto" w:sz="4" w:space="0"/>
              <w:right w:val="single" w:color="auto" w:sz="4" w:space="0"/>
            </w:tcBorders>
            <w:vAlign w:val="center"/>
          </w:tcPr>
          <w:p>
            <w:pPr>
              <w:jc w:val="both"/>
              <w:rPr>
                <w:rFonts w:hint="default" w:ascii="Times New Roman" w:hAnsi="Times New Roman" w:eastAsia="仿宋_GB2312" w:cs="Times New Roman"/>
                <w:color w:val="auto"/>
                <w:sz w:val="22"/>
                <w:highlight w:val="none"/>
              </w:rPr>
            </w:pPr>
            <w:r>
              <w:rPr>
                <w:rFonts w:hint="eastAsia" w:ascii="Times New Roman" w:hAnsi="Times New Roman" w:eastAsia="仿宋_GB2312" w:cs="Times New Roman"/>
                <w:color w:val="auto"/>
                <w:sz w:val="22"/>
                <w:highlight w:val="none"/>
                <w:lang w:val="en-US" w:eastAsia="zh-CN"/>
              </w:rPr>
              <w:t>部门</w:t>
            </w:r>
            <w:r>
              <w:rPr>
                <w:rFonts w:hint="default" w:ascii="Times New Roman" w:hAnsi="Times New Roman" w:eastAsia="仿宋_GB2312" w:cs="Times New Roman"/>
                <w:color w:val="auto"/>
                <w:sz w:val="22"/>
                <w:highlight w:val="none"/>
              </w:rPr>
              <w:t>绩效</w:t>
            </w:r>
          </w:p>
        </w:tc>
        <w:tc>
          <w:tcPr>
            <w:tcW w:w="2166" w:type="dxa"/>
            <w:tcBorders>
              <w:top w:val="nil"/>
              <w:left w:val="nil"/>
              <w:bottom w:val="single" w:color="auto" w:sz="4" w:space="0"/>
              <w:right w:val="single" w:color="auto" w:sz="4" w:space="0"/>
            </w:tcBorders>
            <w:vAlign w:val="center"/>
          </w:tcPr>
          <w:p>
            <w:pPr>
              <w:jc w:val="both"/>
              <w:rPr>
                <w:rFonts w:hint="default" w:ascii="Times New Roman" w:hAnsi="Times New Roman" w:eastAsia="仿宋_GB2312" w:cs="Times New Roman"/>
                <w:color w:val="auto"/>
                <w:sz w:val="22"/>
                <w:highlight w:val="none"/>
                <w:lang w:val="en-US" w:eastAsia="zh-CN"/>
              </w:rPr>
            </w:pPr>
            <w:r>
              <w:rPr>
                <w:rFonts w:hint="eastAsia" w:ascii="Times New Roman" w:hAnsi="Times New Roman" w:eastAsia="仿宋_GB2312" w:cs="Times New Roman"/>
                <w:color w:val="auto"/>
                <w:sz w:val="22"/>
                <w:highlight w:val="none"/>
                <w:lang w:val="en-US" w:eastAsia="zh-CN"/>
              </w:rPr>
              <w:t>50</w:t>
            </w:r>
          </w:p>
        </w:tc>
        <w:tc>
          <w:tcPr>
            <w:tcW w:w="1858" w:type="dxa"/>
            <w:tcBorders>
              <w:top w:val="nil"/>
              <w:left w:val="nil"/>
              <w:bottom w:val="single" w:color="auto" w:sz="4" w:space="0"/>
              <w:right w:val="single" w:color="auto" w:sz="4" w:space="0"/>
            </w:tcBorders>
            <w:vAlign w:val="center"/>
          </w:tcPr>
          <w:p>
            <w:pPr>
              <w:jc w:val="both"/>
              <w:rPr>
                <w:rFonts w:hint="default" w:ascii="Times New Roman" w:hAnsi="Times New Roman" w:eastAsia="仿宋_GB2312" w:cs="Times New Roman"/>
                <w:color w:val="auto"/>
                <w:kern w:val="0"/>
                <w:sz w:val="22"/>
                <w:szCs w:val="24"/>
                <w:highlight w:val="none"/>
                <w:lang w:val="en-US" w:eastAsia="zh-CN"/>
              </w:rPr>
            </w:pPr>
            <w:r>
              <w:rPr>
                <w:rFonts w:hint="eastAsia" w:ascii="Times New Roman" w:hAnsi="Times New Roman" w:eastAsia="仿宋_GB2312" w:cs="Times New Roman"/>
                <w:color w:val="auto"/>
                <w:sz w:val="22"/>
                <w:highlight w:val="none"/>
                <w:lang w:val="en-US" w:eastAsia="zh-CN"/>
              </w:rPr>
              <w:t>49.88</w:t>
            </w:r>
          </w:p>
        </w:tc>
        <w:tc>
          <w:tcPr>
            <w:tcW w:w="2012" w:type="dxa"/>
            <w:tcBorders>
              <w:top w:val="nil"/>
              <w:left w:val="nil"/>
              <w:bottom w:val="single" w:color="auto" w:sz="4" w:space="0"/>
              <w:right w:val="single" w:color="auto" w:sz="4" w:space="0"/>
            </w:tcBorders>
            <w:vAlign w:val="center"/>
          </w:tcPr>
          <w:p>
            <w:pPr>
              <w:jc w:val="both"/>
              <w:rPr>
                <w:rFonts w:hint="default" w:ascii="Times New Roman" w:hAnsi="Times New Roman" w:eastAsia="仿宋_GB2312" w:cs="Times New Roman"/>
                <w:color w:val="auto"/>
                <w:sz w:val="22"/>
                <w:highlight w:val="none"/>
                <w:lang w:val="en-US" w:eastAsia="zh-CN"/>
              </w:rPr>
            </w:pPr>
            <w:r>
              <w:rPr>
                <w:rFonts w:hint="eastAsia" w:ascii="Times New Roman" w:hAnsi="Times New Roman" w:eastAsia="仿宋_GB2312" w:cs="Times New Roman"/>
                <w:color w:val="auto"/>
                <w:sz w:val="22"/>
                <w:highlight w:val="none"/>
                <w:lang w:val="en-US" w:eastAsia="zh-CN"/>
              </w:rPr>
              <w:t>99.76%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483" w:type="dxa"/>
            <w:tcBorders>
              <w:top w:val="nil"/>
              <w:left w:val="single" w:color="auto" w:sz="4" w:space="0"/>
              <w:bottom w:val="single" w:color="auto" w:sz="4" w:space="0"/>
              <w:right w:val="single" w:color="auto" w:sz="4" w:space="0"/>
            </w:tcBorders>
            <w:vAlign w:val="center"/>
          </w:tcPr>
          <w:p>
            <w:pPr>
              <w:jc w:val="both"/>
              <w:rPr>
                <w:rFonts w:hint="default" w:ascii="Times New Roman" w:hAnsi="Times New Roman" w:eastAsia="仿宋_GB2312" w:cs="Times New Roman"/>
                <w:b/>
                <w:bCs/>
                <w:color w:val="auto"/>
                <w:sz w:val="22"/>
                <w:highlight w:val="none"/>
              </w:rPr>
            </w:pPr>
            <w:r>
              <w:rPr>
                <w:rFonts w:hint="default" w:ascii="Times New Roman" w:hAnsi="Times New Roman" w:eastAsia="仿宋_GB2312" w:cs="Times New Roman"/>
                <w:b/>
                <w:bCs/>
                <w:color w:val="auto"/>
                <w:sz w:val="22"/>
                <w:highlight w:val="none"/>
              </w:rPr>
              <w:t>合计</w:t>
            </w:r>
          </w:p>
        </w:tc>
        <w:tc>
          <w:tcPr>
            <w:tcW w:w="2166" w:type="dxa"/>
            <w:tcBorders>
              <w:top w:val="nil"/>
              <w:left w:val="nil"/>
              <w:bottom w:val="single" w:color="auto" w:sz="4" w:space="0"/>
              <w:right w:val="single" w:color="auto" w:sz="4" w:space="0"/>
            </w:tcBorders>
            <w:vAlign w:val="center"/>
          </w:tcPr>
          <w:p>
            <w:pPr>
              <w:jc w:val="both"/>
              <w:rPr>
                <w:rFonts w:hint="default" w:ascii="Times New Roman" w:hAnsi="Times New Roman" w:eastAsia="仿宋_GB2312" w:cs="Times New Roman"/>
                <w:color w:val="auto"/>
                <w:sz w:val="22"/>
                <w:highlight w:val="none"/>
                <w:lang w:val="en-US" w:eastAsia="zh-CN"/>
              </w:rPr>
            </w:pPr>
            <w:r>
              <w:rPr>
                <w:rFonts w:hint="eastAsia" w:ascii="Times New Roman" w:hAnsi="Times New Roman" w:eastAsia="仿宋_GB2312" w:cs="Times New Roman"/>
                <w:color w:val="auto"/>
                <w:sz w:val="22"/>
                <w:highlight w:val="none"/>
                <w:lang w:val="en-US" w:eastAsia="zh-CN"/>
              </w:rPr>
              <w:t>100</w:t>
            </w:r>
          </w:p>
        </w:tc>
        <w:tc>
          <w:tcPr>
            <w:tcW w:w="1858" w:type="dxa"/>
            <w:tcBorders>
              <w:top w:val="nil"/>
              <w:left w:val="nil"/>
              <w:bottom w:val="single" w:color="auto" w:sz="4" w:space="0"/>
              <w:right w:val="single" w:color="auto" w:sz="4" w:space="0"/>
            </w:tcBorders>
            <w:vAlign w:val="center"/>
          </w:tcPr>
          <w:p>
            <w:pPr>
              <w:jc w:val="both"/>
              <w:rPr>
                <w:rFonts w:hint="default" w:ascii="Times New Roman" w:hAnsi="Times New Roman" w:eastAsia="仿宋_GB2312" w:cs="Times New Roman"/>
                <w:color w:val="auto"/>
                <w:kern w:val="0"/>
                <w:sz w:val="22"/>
                <w:szCs w:val="24"/>
                <w:highlight w:val="none"/>
                <w:lang w:val="en-US" w:eastAsia="zh-CN"/>
              </w:rPr>
            </w:pPr>
            <w:r>
              <w:rPr>
                <w:rFonts w:hint="eastAsia" w:ascii="Times New Roman" w:hAnsi="Times New Roman" w:eastAsia="仿宋_GB2312" w:cs="Times New Roman"/>
                <w:color w:val="auto"/>
                <w:sz w:val="22"/>
                <w:highlight w:val="none"/>
                <w:lang w:val="en-US" w:eastAsia="zh-CN"/>
              </w:rPr>
              <w:t>98.88</w:t>
            </w:r>
          </w:p>
        </w:tc>
        <w:tc>
          <w:tcPr>
            <w:tcW w:w="2012" w:type="dxa"/>
            <w:tcBorders>
              <w:top w:val="nil"/>
              <w:left w:val="nil"/>
              <w:bottom w:val="single" w:color="auto" w:sz="4" w:space="0"/>
              <w:right w:val="single" w:color="auto" w:sz="4" w:space="0"/>
            </w:tcBorders>
            <w:vAlign w:val="center"/>
          </w:tcPr>
          <w:p>
            <w:pPr>
              <w:jc w:val="both"/>
              <w:rPr>
                <w:rFonts w:hint="default" w:ascii="Times New Roman" w:hAnsi="Times New Roman" w:eastAsia="仿宋_GB2312" w:cs="Times New Roman"/>
                <w:color w:val="auto"/>
                <w:sz w:val="22"/>
                <w:highlight w:val="none"/>
                <w:lang w:val="en-US" w:eastAsia="zh-CN"/>
              </w:rPr>
            </w:pPr>
            <w:r>
              <w:rPr>
                <w:rFonts w:hint="eastAsia" w:ascii="Times New Roman" w:hAnsi="Times New Roman" w:eastAsia="仿宋_GB2312" w:cs="Times New Roman"/>
                <w:color w:val="auto"/>
                <w:sz w:val="22"/>
                <w:highlight w:val="none"/>
                <w:lang w:val="en-US" w:eastAsia="zh-CN"/>
              </w:rPr>
              <w:t>98.88%</w:t>
            </w:r>
          </w:p>
        </w:tc>
      </w:tr>
      <w:bookmarkEnd w:id="68"/>
    </w:tbl>
    <w:p>
      <w:pPr>
        <w:keepNext w:val="0"/>
        <w:keepLines w:val="0"/>
        <w:pageBreakBefore w:val="0"/>
        <w:widowControl/>
        <w:kinsoku/>
        <w:wordWrap/>
        <w:overflowPunct/>
        <w:topLinePunct w:val="0"/>
        <w:autoSpaceDE/>
        <w:autoSpaceDN/>
        <w:bidi w:val="0"/>
        <w:adjustRightInd w:val="0"/>
        <w:snapToGrid w:val="0"/>
        <w:spacing w:line="570" w:lineRule="atLeast"/>
        <w:jc w:val="both"/>
        <w:textAlignment w:val="auto"/>
        <w:rPr>
          <w:rStyle w:val="13"/>
          <w:rFonts w:hint="eastAsia" w:ascii="方正仿宋_GBK" w:hAnsi="方正仿宋_GBK" w:eastAsia="方正仿宋_GBK" w:cs="方正仿宋_GBK"/>
          <w:b w:val="0"/>
          <w:color w:val="auto"/>
          <w:spacing w:val="6"/>
          <w:kern w:val="2"/>
          <w:sz w:val="32"/>
          <w:szCs w:val="32"/>
          <w:highlight w:val="yellow"/>
          <w:lang w:val="en-US" w:eastAsia="zh-CN"/>
        </w:rPr>
      </w:pPr>
    </w:p>
    <w:p>
      <w:pPr>
        <w:spacing w:line="500" w:lineRule="exact"/>
        <w:ind w:firstLine="643" w:firstLineChars="200"/>
        <w:jc w:val="both"/>
        <w:outlineLvl w:val="1"/>
        <w:rPr>
          <w:rFonts w:hint="eastAsia" w:ascii="方正楷体_GBK" w:hAnsi="方正楷体_GBK" w:eastAsia="方正楷体_GBK" w:cs="方正楷体_GBK"/>
          <w:b/>
          <w:color w:val="auto"/>
          <w:sz w:val="32"/>
          <w:szCs w:val="32"/>
          <w:highlight w:val="none"/>
        </w:rPr>
      </w:pPr>
      <w:bookmarkStart w:id="69" w:name="_Toc45010315"/>
      <w:bookmarkStart w:id="70" w:name="_Toc13269_WPSOffice_Level2"/>
      <w:bookmarkStart w:id="71" w:name="_Toc13923"/>
      <w:r>
        <w:rPr>
          <w:rFonts w:hint="eastAsia" w:ascii="方正楷体_GBK" w:hAnsi="方正楷体_GBK" w:eastAsia="方正楷体_GBK" w:cs="方正楷体_GBK"/>
          <w:b/>
          <w:color w:val="auto"/>
          <w:sz w:val="32"/>
          <w:szCs w:val="32"/>
          <w:highlight w:val="none"/>
        </w:rPr>
        <w:t>（三）组织管理情况分析</w:t>
      </w:r>
      <w:bookmarkEnd w:id="69"/>
      <w:bookmarkEnd w:id="70"/>
      <w:bookmarkEnd w:id="71"/>
    </w:p>
    <w:p>
      <w:pPr>
        <w:pStyle w:val="17"/>
        <w:keepNext w:val="0"/>
        <w:keepLines w:val="0"/>
        <w:pageBreakBefore w:val="0"/>
        <w:widowControl w:val="0"/>
        <w:kinsoku/>
        <w:wordWrap/>
        <w:overflowPunct/>
        <w:topLinePunct w:val="0"/>
        <w:autoSpaceDE/>
        <w:autoSpaceDN/>
        <w:bidi w:val="0"/>
        <w:adjustRightInd/>
        <w:snapToGrid w:val="0"/>
        <w:spacing w:line="570" w:lineRule="atLeast"/>
        <w:jc w:val="both"/>
        <w:textAlignment w:val="auto"/>
        <w:outlineLvl w:val="2"/>
        <w:rPr>
          <w:rStyle w:val="13"/>
          <w:rFonts w:hint="eastAsia" w:ascii="方正仿宋_GBK" w:hAnsi="方正仿宋_GBK" w:eastAsia="方正仿宋_GBK" w:cs="方正仿宋_GBK"/>
          <w:b/>
          <w:bCs/>
          <w:color w:val="auto"/>
          <w:spacing w:val="6"/>
          <w:sz w:val="32"/>
          <w:szCs w:val="32"/>
          <w:highlight w:val="none"/>
          <w:lang w:val="en-US" w:eastAsia="zh-CN"/>
        </w:rPr>
      </w:pPr>
      <w:r>
        <w:rPr>
          <w:rStyle w:val="13"/>
          <w:rFonts w:hint="eastAsia" w:ascii="方正仿宋_GBK" w:hAnsi="方正仿宋_GBK" w:eastAsia="方正仿宋_GBK" w:cs="方正仿宋_GBK"/>
          <w:b/>
          <w:bCs/>
          <w:color w:val="auto"/>
          <w:spacing w:val="6"/>
          <w:sz w:val="32"/>
          <w:szCs w:val="32"/>
          <w:highlight w:val="none"/>
          <w:lang w:val="en-US" w:eastAsia="zh-CN"/>
        </w:rPr>
        <w:t>1.前期准备</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4" w:firstLineChars="200"/>
        <w:jc w:val="both"/>
        <w:textAlignment w:val="auto"/>
        <w:rPr>
          <w:rStyle w:val="13"/>
          <w:rFonts w:hint="eastAsia" w:ascii="方正仿宋_GBK" w:hAnsi="方正仿宋_GBK" w:eastAsia="方正仿宋_GBK" w:cs="方正仿宋_GBK"/>
          <w:b w:val="0"/>
          <w:color w:val="auto"/>
          <w:spacing w:val="6"/>
          <w:sz w:val="32"/>
          <w:szCs w:val="32"/>
          <w:highlight w:val="none"/>
          <w:lang w:eastAsia="zh-CN"/>
        </w:rPr>
      </w:pPr>
      <w:r>
        <w:rPr>
          <w:rStyle w:val="13"/>
          <w:rFonts w:hint="eastAsia" w:ascii="方正仿宋_GBK" w:hAnsi="方正仿宋_GBK" w:eastAsia="方正仿宋_GBK" w:cs="方正仿宋_GBK"/>
          <w:b w:val="0"/>
          <w:color w:val="auto"/>
          <w:spacing w:val="6"/>
          <w:sz w:val="32"/>
          <w:szCs w:val="32"/>
          <w:highlight w:val="none"/>
          <w:lang w:val="en-US" w:eastAsia="zh-CN"/>
        </w:rPr>
        <w:t>市监局成立专项支出评价小组，</w:t>
      </w:r>
      <w:r>
        <w:rPr>
          <w:rStyle w:val="13"/>
          <w:rFonts w:hint="eastAsia" w:ascii="方正仿宋_GBK" w:hAnsi="方正仿宋_GBK" w:eastAsia="方正仿宋_GBK" w:cs="方正仿宋_GBK"/>
          <w:b w:val="0"/>
          <w:color w:val="auto"/>
          <w:spacing w:val="6"/>
          <w:sz w:val="32"/>
          <w:szCs w:val="32"/>
          <w:highlight w:val="none"/>
          <w:lang w:eastAsia="zh-CN"/>
        </w:rPr>
        <w:t>成员如下：</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4" w:firstLineChars="200"/>
        <w:jc w:val="both"/>
        <w:textAlignment w:val="auto"/>
        <w:rPr>
          <w:rStyle w:val="13"/>
          <w:rFonts w:hint="eastAsia" w:ascii="方正仿宋_GBK" w:hAnsi="方正仿宋_GBK" w:eastAsia="方正仿宋_GBK" w:cs="方正仿宋_GBK"/>
          <w:b w:val="0"/>
          <w:color w:val="auto"/>
          <w:spacing w:val="6"/>
          <w:sz w:val="32"/>
          <w:szCs w:val="32"/>
          <w:highlight w:val="none"/>
          <w:lang w:eastAsia="zh-CN"/>
        </w:rPr>
      </w:pPr>
      <w:r>
        <w:rPr>
          <w:rStyle w:val="13"/>
          <w:rFonts w:hint="eastAsia" w:ascii="方正仿宋_GBK" w:hAnsi="方正仿宋_GBK" w:eastAsia="方正仿宋_GBK" w:cs="方正仿宋_GBK"/>
          <w:b w:val="0"/>
          <w:color w:val="auto"/>
          <w:spacing w:val="6"/>
          <w:sz w:val="32"/>
          <w:szCs w:val="32"/>
          <w:highlight w:val="none"/>
          <w:lang w:val="en-US" w:eastAsia="zh-CN"/>
        </w:rPr>
        <w:t>穆永</w:t>
      </w:r>
      <w:r>
        <w:rPr>
          <w:rStyle w:val="13"/>
          <w:rFonts w:hint="eastAsia" w:ascii="方正仿宋_GBK" w:hAnsi="方正仿宋_GBK" w:eastAsia="方正仿宋_GBK" w:cs="方正仿宋_GBK"/>
          <w:b w:val="0"/>
          <w:color w:val="auto"/>
          <w:spacing w:val="6"/>
          <w:sz w:val="32"/>
          <w:szCs w:val="32"/>
          <w:highlight w:val="none"/>
          <w:lang w:eastAsia="zh-CN"/>
        </w:rPr>
        <w:t>任评价组组长，工作职责为负责全盘工作。</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4" w:firstLineChars="200"/>
        <w:jc w:val="both"/>
        <w:textAlignment w:val="auto"/>
        <w:rPr>
          <w:rStyle w:val="13"/>
          <w:rFonts w:hint="eastAsia" w:ascii="方正仿宋_GBK" w:hAnsi="方正仿宋_GBK" w:eastAsia="方正仿宋_GBK" w:cs="方正仿宋_GBK"/>
          <w:b w:val="0"/>
          <w:color w:val="auto"/>
          <w:spacing w:val="6"/>
          <w:sz w:val="32"/>
          <w:szCs w:val="32"/>
          <w:highlight w:val="none"/>
          <w:lang w:eastAsia="zh-CN"/>
        </w:rPr>
      </w:pPr>
      <w:r>
        <w:rPr>
          <w:rStyle w:val="13"/>
          <w:rFonts w:hint="eastAsia" w:ascii="方正仿宋_GBK" w:hAnsi="方正仿宋_GBK" w:eastAsia="方正仿宋_GBK" w:cs="方正仿宋_GBK"/>
          <w:b w:val="0"/>
          <w:color w:val="auto"/>
          <w:spacing w:val="6"/>
          <w:kern w:val="2"/>
          <w:sz w:val="32"/>
          <w:szCs w:val="32"/>
          <w:highlight w:val="none"/>
          <w:lang w:val="en-US" w:eastAsia="zh-CN"/>
        </w:rPr>
        <w:t>唐智文</w:t>
      </w:r>
      <w:r>
        <w:rPr>
          <w:rStyle w:val="13"/>
          <w:rFonts w:hint="eastAsia" w:ascii="方正仿宋_GBK" w:hAnsi="方正仿宋_GBK" w:eastAsia="方正仿宋_GBK" w:cs="方正仿宋_GBK"/>
          <w:b w:val="0"/>
          <w:color w:val="auto"/>
          <w:spacing w:val="6"/>
          <w:sz w:val="32"/>
          <w:szCs w:val="32"/>
          <w:highlight w:val="none"/>
          <w:lang w:eastAsia="zh-CN"/>
        </w:rPr>
        <w:t>任评价组副组长，工作职责为对项目实施情况进行实地调查。</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4" w:firstLineChars="200"/>
        <w:jc w:val="both"/>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val="0"/>
          <w:color w:val="auto"/>
          <w:spacing w:val="6"/>
          <w:kern w:val="2"/>
          <w:sz w:val="32"/>
          <w:szCs w:val="32"/>
          <w:highlight w:val="none"/>
          <w:lang w:val="en-US" w:eastAsia="zh-CN"/>
        </w:rPr>
        <w:t>黄新军、付新月</w:t>
      </w:r>
      <w:r>
        <w:rPr>
          <w:rStyle w:val="13"/>
          <w:rFonts w:hint="eastAsia" w:ascii="方正仿宋_GBK" w:hAnsi="方正仿宋_GBK" w:eastAsia="方正仿宋_GBK" w:cs="方正仿宋_GBK"/>
          <w:b w:val="0"/>
          <w:color w:val="auto"/>
          <w:spacing w:val="6"/>
          <w:sz w:val="32"/>
          <w:szCs w:val="32"/>
          <w:highlight w:val="none"/>
          <w:lang w:eastAsia="zh-CN"/>
        </w:rPr>
        <w:t>任评价组成员，工作职责为负责资料审核、填报等工作。</w:t>
      </w:r>
      <w:r>
        <w:rPr>
          <w:rStyle w:val="13"/>
          <w:rFonts w:hint="eastAsia" w:ascii="方正仿宋_GBK" w:hAnsi="方正仿宋_GBK" w:eastAsia="方正仿宋_GBK" w:cs="方正仿宋_GBK"/>
          <w:b w:val="0"/>
          <w:color w:val="auto"/>
          <w:spacing w:val="6"/>
          <w:sz w:val="32"/>
          <w:szCs w:val="32"/>
          <w:highlight w:val="none"/>
          <w:lang w:val="en-US" w:eastAsia="zh-CN"/>
        </w:rPr>
        <w:t>通过与相关成员前期沟通，制定文件清单，了解项目基本情况，确认部门整体的绩效指标，梳理部门内部管理制度，确定当年整体绩效评价重点。</w:t>
      </w:r>
    </w:p>
    <w:p>
      <w:pPr>
        <w:pStyle w:val="17"/>
        <w:keepNext w:val="0"/>
        <w:keepLines w:val="0"/>
        <w:pageBreakBefore w:val="0"/>
        <w:widowControl w:val="0"/>
        <w:kinsoku/>
        <w:wordWrap/>
        <w:overflowPunct/>
        <w:topLinePunct w:val="0"/>
        <w:autoSpaceDE/>
        <w:autoSpaceDN/>
        <w:bidi w:val="0"/>
        <w:adjustRightInd/>
        <w:snapToGrid w:val="0"/>
        <w:spacing w:line="570" w:lineRule="atLeast"/>
        <w:jc w:val="both"/>
        <w:textAlignment w:val="auto"/>
        <w:outlineLvl w:val="2"/>
        <w:rPr>
          <w:rStyle w:val="13"/>
          <w:rFonts w:hint="eastAsia" w:ascii="方正仿宋_GBK" w:hAnsi="方正仿宋_GBK" w:eastAsia="方正仿宋_GBK" w:cs="方正仿宋_GBK"/>
          <w:b/>
          <w:bCs/>
          <w:color w:val="auto"/>
          <w:spacing w:val="6"/>
          <w:sz w:val="32"/>
          <w:szCs w:val="32"/>
          <w:highlight w:val="none"/>
          <w:lang w:val="en-US" w:eastAsia="zh-CN"/>
        </w:rPr>
      </w:pPr>
      <w:r>
        <w:rPr>
          <w:rStyle w:val="13"/>
          <w:rFonts w:hint="eastAsia" w:ascii="方正仿宋_GBK" w:hAnsi="方正仿宋_GBK" w:eastAsia="方正仿宋_GBK" w:cs="方正仿宋_GBK"/>
          <w:b/>
          <w:bCs/>
          <w:color w:val="auto"/>
          <w:spacing w:val="6"/>
          <w:sz w:val="32"/>
          <w:szCs w:val="32"/>
          <w:highlight w:val="none"/>
          <w:lang w:val="en-US" w:eastAsia="zh-CN"/>
        </w:rPr>
        <w:t>2.组织实施</w:t>
      </w:r>
    </w:p>
    <w:p>
      <w:pPr>
        <w:pStyle w:val="17"/>
        <w:keepNext w:val="0"/>
        <w:keepLines w:val="0"/>
        <w:pageBreakBefore w:val="0"/>
        <w:widowControl w:val="0"/>
        <w:kinsoku/>
        <w:wordWrap/>
        <w:overflowPunct/>
        <w:topLinePunct w:val="0"/>
        <w:autoSpaceDE/>
        <w:autoSpaceDN/>
        <w:bidi w:val="0"/>
        <w:adjustRightInd/>
        <w:snapToGrid w:val="0"/>
        <w:spacing w:line="570" w:lineRule="atLeast"/>
        <w:jc w:val="both"/>
        <w:textAlignment w:val="auto"/>
        <w:outlineLvl w:val="1"/>
        <w:rPr>
          <w:rStyle w:val="13"/>
          <w:rFonts w:hint="eastAsia" w:ascii="方正仿宋_GBK" w:hAnsi="方正仿宋_GBK" w:eastAsia="方正仿宋_GBK" w:cs="方正仿宋_GBK"/>
          <w:b w:val="0"/>
          <w:color w:val="auto"/>
          <w:spacing w:val="6"/>
          <w:sz w:val="32"/>
          <w:szCs w:val="32"/>
          <w:highlight w:val="yellow"/>
          <w:lang w:val="en-US" w:eastAsia="zh-CN"/>
        </w:rPr>
      </w:pPr>
      <w:bookmarkStart w:id="72" w:name="_Toc6466"/>
      <w:bookmarkStart w:id="73" w:name="_Toc29270"/>
      <w:r>
        <w:rPr>
          <w:rStyle w:val="13"/>
          <w:rFonts w:hint="eastAsia" w:ascii="方正仿宋_GBK" w:hAnsi="方正仿宋_GBK" w:eastAsia="方正仿宋_GBK" w:cs="方正仿宋_GBK"/>
          <w:b w:val="0"/>
          <w:color w:val="auto"/>
          <w:spacing w:val="6"/>
          <w:sz w:val="32"/>
          <w:szCs w:val="32"/>
          <w:highlight w:val="none"/>
          <w:lang w:val="en-US" w:eastAsia="zh-CN"/>
        </w:rPr>
        <w:t>2022年以内控体系建设为抓手，进一步完善财务制度，规范收支流程，严格审批制度。严格执行各项财经制度和管理规定，对预算资金严格控制，规范使用，强化执行，年初下达预算需达到执行率100%。加强专项资金的管理和核算，专项资金严格按照项目实施方案执行。接受各项财务检查中未发现重大管理漏洞和问题，并通过检查推进财务规范化管理。</w:t>
      </w:r>
      <w:bookmarkEnd w:id="72"/>
      <w:bookmarkEnd w:id="73"/>
    </w:p>
    <w:p>
      <w:pPr>
        <w:spacing w:line="500" w:lineRule="exact"/>
        <w:ind w:firstLine="640" w:firstLineChars="200"/>
        <w:jc w:val="both"/>
        <w:outlineLvl w:val="0"/>
        <w:rPr>
          <w:rStyle w:val="13"/>
          <w:rFonts w:hint="eastAsia" w:ascii="方正仿宋_GBK" w:hAnsi="方正仿宋_GBK" w:eastAsia="方正仿宋_GBK" w:cs="方正仿宋_GBK"/>
          <w:b/>
          <w:bCs/>
          <w:color w:val="auto"/>
          <w:spacing w:val="6"/>
          <w:sz w:val="32"/>
          <w:szCs w:val="32"/>
          <w:highlight w:val="none"/>
          <w:lang w:val="en-US" w:eastAsia="zh-CN"/>
        </w:rPr>
      </w:pPr>
      <w:bookmarkStart w:id="74" w:name="_Toc17868"/>
      <w:bookmarkStart w:id="75" w:name="_Toc45010316"/>
      <w:bookmarkStart w:id="76" w:name="_Toc22230_WPSOffice_Level1"/>
      <w:r>
        <w:rPr>
          <w:rFonts w:hint="eastAsia" w:ascii="方正黑体_GBK" w:hAnsi="方正黑体_GBK" w:eastAsia="方正黑体_GBK" w:cs="方正黑体_GBK"/>
          <w:b w:val="0"/>
          <w:bCs/>
          <w:color w:val="auto"/>
          <w:sz w:val="32"/>
          <w:szCs w:val="32"/>
          <w:lang w:val="en-US" w:eastAsia="zh-CN"/>
        </w:rPr>
        <w:t>四、</w:t>
      </w:r>
      <w:r>
        <w:rPr>
          <w:rFonts w:hint="eastAsia" w:ascii="方正黑体_GBK" w:hAnsi="方正黑体_GBK" w:eastAsia="方正黑体_GBK" w:cs="方正黑体_GBK"/>
          <w:b w:val="0"/>
          <w:bCs/>
          <w:color w:val="auto"/>
          <w:sz w:val="32"/>
          <w:szCs w:val="32"/>
        </w:rPr>
        <w:t>绩效</w:t>
      </w:r>
      <w:r>
        <w:rPr>
          <w:rFonts w:hint="eastAsia" w:ascii="方正黑体_GBK" w:hAnsi="方正黑体_GBK" w:eastAsia="方正黑体_GBK" w:cs="方正黑体_GBK"/>
          <w:b w:val="0"/>
          <w:bCs/>
          <w:color w:val="auto"/>
          <w:sz w:val="32"/>
          <w:szCs w:val="32"/>
          <w:lang w:val="en-US" w:eastAsia="zh-CN"/>
        </w:rPr>
        <w:t>评价指标分</w:t>
      </w:r>
      <w:r>
        <w:rPr>
          <w:rFonts w:hint="eastAsia" w:ascii="方正黑体_GBK" w:hAnsi="方正黑体_GBK" w:eastAsia="方正黑体_GBK" w:cs="方正黑体_GBK"/>
          <w:b w:val="0"/>
          <w:bCs/>
          <w:color w:val="auto"/>
          <w:sz w:val="32"/>
          <w:szCs w:val="32"/>
        </w:rPr>
        <w:t>析</w:t>
      </w:r>
      <w:bookmarkEnd w:id="74"/>
      <w:bookmarkEnd w:id="75"/>
      <w:bookmarkEnd w:id="76"/>
    </w:p>
    <w:p>
      <w:pPr>
        <w:pStyle w:val="17"/>
        <w:keepNext w:val="0"/>
        <w:keepLines w:val="0"/>
        <w:pageBreakBefore w:val="0"/>
        <w:widowControl w:val="0"/>
        <w:kinsoku/>
        <w:wordWrap/>
        <w:overflowPunct/>
        <w:topLinePunct w:val="0"/>
        <w:autoSpaceDE/>
        <w:autoSpaceDN/>
        <w:bidi w:val="0"/>
        <w:adjustRightInd/>
        <w:snapToGrid w:val="0"/>
        <w:spacing w:line="570" w:lineRule="atLeast"/>
        <w:jc w:val="both"/>
        <w:textAlignment w:val="auto"/>
        <w:outlineLvl w:val="1"/>
        <w:rPr>
          <w:rStyle w:val="13"/>
          <w:rFonts w:hint="eastAsia" w:ascii="方正楷体_GBK" w:hAnsi="方正楷体_GBK" w:eastAsia="方正楷体_GBK" w:cs="方正楷体_GBK"/>
          <w:b/>
          <w:bCs/>
          <w:color w:val="auto"/>
          <w:spacing w:val="6"/>
          <w:sz w:val="32"/>
          <w:szCs w:val="32"/>
          <w:highlight w:val="none"/>
          <w:lang w:val="en-US" w:eastAsia="zh-CN"/>
        </w:rPr>
      </w:pPr>
      <w:bookmarkStart w:id="77" w:name="_Toc31452_WPSOffice_Level2"/>
      <w:bookmarkStart w:id="78" w:name="_Toc19373"/>
      <w:r>
        <w:rPr>
          <w:rStyle w:val="13"/>
          <w:rFonts w:hint="eastAsia" w:ascii="方正楷体_GBK" w:hAnsi="方正楷体_GBK" w:eastAsia="方正楷体_GBK" w:cs="方正楷体_GBK"/>
          <w:b/>
          <w:bCs/>
          <w:color w:val="auto"/>
          <w:spacing w:val="6"/>
          <w:sz w:val="32"/>
          <w:szCs w:val="32"/>
          <w:highlight w:val="none"/>
          <w:lang w:val="en-US" w:eastAsia="zh-CN"/>
        </w:rPr>
        <w:t>（一）项目决策情况</w:t>
      </w:r>
      <w:bookmarkEnd w:id="77"/>
      <w:bookmarkEnd w:id="78"/>
    </w:p>
    <w:p>
      <w:pPr>
        <w:pageBreakBefore w:val="0"/>
        <w:kinsoku/>
        <w:wordWrap/>
        <w:overflowPunct w:val="0"/>
        <w:topLinePunct w:val="0"/>
        <w:autoSpaceDE/>
        <w:bidi w:val="0"/>
        <w:spacing w:line="570" w:lineRule="exact"/>
        <w:ind w:firstLine="640" w:firstLineChars="200"/>
        <w:contextualSpacing/>
        <w:rPr>
          <w:rFonts w:hint="eastAsia" w:ascii="方正仿宋_GBK" w:hAnsi="方正仿宋_GBK" w:eastAsia="方正仿宋_GBK" w:cs="方正仿宋_GBK"/>
          <w:color w:val="auto"/>
          <w:sz w:val="32"/>
          <w:szCs w:val="32"/>
          <w:highlight w:val="none"/>
          <w:lang w:eastAsia="zh-CN"/>
        </w:rPr>
      </w:pPr>
      <w:r>
        <w:rPr>
          <w:rFonts w:hint="eastAsia" w:ascii="方正仿宋_GBK" w:hAnsi="方正仿宋_GBK" w:eastAsia="方正仿宋_GBK" w:cs="方正仿宋_GBK"/>
          <w:color w:val="auto"/>
          <w:sz w:val="32"/>
          <w:szCs w:val="32"/>
        </w:rPr>
        <w:t>项目决策类指标包括项目立项、绩效目标和资金投入三方面的内容，由</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个三级指标构成，权重分为 20 分，实际得分</w:t>
      </w:r>
      <w:r>
        <w:rPr>
          <w:rFonts w:hint="eastAsia" w:ascii="方正仿宋_GBK" w:hAnsi="方正仿宋_GBK" w:eastAsia="方正仿宋_GBK" w:cs="方正仿宋_GBK"/>
          <w:color w:val="auto"/>
          <w:sz w:val="32"/>
          <w:szCs w:val="32"/>
          <w:lang w:val="en-US" w:eastAsia="zh-CN"/>
        </w:rPr>
        <w:t>20</w:t>
      </w:r>
      <w:r>
        <w:rPr>
          <w:rFonts w:hint="eastAsia" w:ascii="方正仿宋_GBK" w:hAnsi="方正仿宋_GBK" w:eastAsia="方正仿宋_GBK" w:cs="方正仿宋_GBK"/>
          <w:color w:val="auto"/>
          <w:sz w:val="32"/>
          <w:szCs w:val="32"/>
        </w:rPr>
        <w:t>分，得分率为</w:t>
      </w:r>
      <w:r>
        <w:rPr>
          <w:rFonts w:hint="eastAsia" w:ascii="方正仿宋_GBK" w:hAnsi="方正仿宋_GBK" w:eastAsia="方正仿宋_GBK" w:cs="方正仿宋_GBK"/>
          <w:color w:val="auto"/>
          <w:sz w:val="32"/>
          <w:szCs w:val="32"/>
          <w:lang w:val="en-US" w:eastAsia="zh-CN"/>
        </w:rPr>
        <w:t>100</w:t>
      </w:r>
      <w:r>
        <w:rPr>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highlight w:val="none"/>
          <w:lang w:eastAsia="zh-CN"/>
        </w:rPr>
        <w:t>各指标业绩值和绩效分值如下表所示：</w:t>
      </w:r>
    </w:p>
    <w:p>
      <w:pPr>
        <w:pageBreakBefore w:val="0"/>
        <w:kinsoku/>
        <w:wordWrap/>
        <w:overflowPunct w:val="0"/>
        <w:topLinePunct w:val="0"/>
        <w:autoSpaceDE/>
        <w:bidi w:val="0"/>
        <w:spacing w:line="570" w:lineRule="exact"/>
        <w:contextualSpacing/>
        <w:jc w:val="center"/>
        <w:rPr>
          <w:rStyle w:val="13"/>
          <w:rFonts w:hint="eastAsia" w:ascii="方正仿宋_GBK" w:hAnsi="方正仿宋_GBK" w:eastAsia="方正仿宋_GBK" w:cs="方正仿宋_GBK"/>
          <w:b w:val="0"/>
          <w:color w:val="auto"/>
          <w:spacing w:val="6"/>
          <w:kern w:val="0"/>
          <w:sz w:val="32"/>
          <w:szCs w:val="32"/>
          <w:highlight w:val="none"/>
          <w:lang w:val="en-US" w:eastAsia="zh-CN"/>
        </w:rPr>
      </w:pPr>
      <w:r>
        <w:rPr>
          <w:rFonts w:hint="eastAsia" w:ascii="方正仿宋_GBK" w:hAnsi="方正仿宋_GBK" w:eastAsia="方正仿宋_GBK" w:cs="方正仿宋_GBK"/>
          <w:b/>
          <w:bCs/>
          <w:color w:val="auto"/>
          <w:sz w:val="32"/>
          <w:szCs w:val="32"/>
          <w:highlight w:val="none"/>
          <w:lang w:eastAsia="zh-CN"/>
        </w:rPr>
        <w:t>表4-1：项目决策类指标及分值</w:t>
      </w:r>
    </w:p>
    <w:tbl>
      <w:tblPr>
        <w:tblStyle w:val="11"/>
        <w:tblW w:w="45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575"/>
        <w:gridCol w:w="1460"/>
        <w:gridCol w:w="460"/>
        <w:gridCol w:w="610"/>
        <w:gridCol w:w="980"/>
        <w:gridCol w:w="83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blHeader/>
        </w:trPr>
        <w:tc>
          <w:tcPr>
            <w:tcW w:w="596" w:type="pct"/>
            <w:shd w:val="clear" w:color="auto" w:fill="D7D7D7"/>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一级指标</w:t>
            </w:r>
          </w:p>
        </w:tc>
        <w:tc>
          <w:tcPr>
            <w:tcW w:w="1025" w:type="pct"/>
            <w:shd w:val="clear" w:color="auto" w:fill="D7D7D7"/>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二级指标</w:t>
            </w:r>
          </w:p>
        </w:tc>
        <w:tc>
          <w:tcPr>
            <w:tcW w:w="950" w:type="pct"/>
            <w:shd w:val="clear" w:color="auto" w:fill="D7D7D7"/>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三级指标</w:t>
            </w:r>
          </w:p>
        </w:tc>
        <w:tc>
          <w:tcPr>
            <w:tcW w:w="299" w:type="pct"/>
            <w:shd w:val="clear" w:color="auto" w:fill="D7D7D7"/>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四级指标</w:t>
            </w:r>
          </w:p>
        </w:tc>
        <w:tc>
          <w:tcPr>
            <w:tcW w:w="397" w:type="pct"/>
            <w:shd w:val="clear" w:color="auto" w:fill="D7D7D7"/>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权重</w:t>
            </w:r>
          </w:p>
        </w:tc>
        <w:tc>
          <w:tcPr>
            <w:tcW w:w="637" w:type="pct"/>
            <w:shd w:val="clear" w:color="auto" w:fill="D7D7D7"/>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标杆值</w:t>
            </w:r>
          </w:p>
        </w:tc>
        <w:tc>
          <w:tcPr>
            <w:tcW w:w="540" w:type="pct"/>
            <w:shd w:val="clear" w:color="auto" w:fill="D7D7D7"/>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得分</w:t>
            </w:r>
          </w:p>
        </w:tc>
        <w:tc>
          <w:tcPr>
            <w:tcW w:w="553" w:type="pct"/>
            <w:shd w:val="clear" w:color="auto" w:fill="D7D7D7"/>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596" w:type="pct"/>
            <w:vMerge w:val="restar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A 部门决策（</w:t>
            </w:r>
            <w:r>
              <w:rPr>
                <w:rFonts w:hint="eastAsia" w:asciiTheme="minorEastAsia" w:hAnsiTheme="minorEastAsia" w:eastAsiaTheme="minorEastAsia" w:cstheme="minorEastAsia"/>
                <w:b/>
                <w:bCs/>
                <w:color w:val="auto"/>
                <w:kern w:val="0"/>
                <w:sz w:val="22"/>
                <w:szCs w:val="22"/>
                <w:lang w:val="en-US" w:eastAsia="zh-CN"/>
              </w:rPr>
              <w:t>20</w:t>
            </w:r>
            <w:r>
              <w:rPr>
                <w:rFonts w:hint="eastAsia" w:asciiTheme="minorEastAsia" w:hAnsiTheme="minorEastAsia" w:eastAsiaTheme="minorEastAsia" w:cstheme="minorEastAsia"/>
                <w:b/>
                <w:bCs/>
                <w:color w:val="auto"/>
                <w:kern w:val="0"/>
                <w:sz w:val="22"/>
                <w:szCs w:val="22"/>
              </w:rPr>
              <w:t>分）</w:t>
            </w:r>
          </w:p>
        </w:tc>
        <w:tc>
          <w:tcPr>
            <w:tcW w:w="1025" w:type="pct"/>
            <w:vMerge w:val="restar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A1 职能设置科学合理性（4分）</w:t>
            </w:r>
          </w:p>
        </w:tc>
        <w:tc>
          <w:tcPr>
            <w:tcW w:w="950"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A11 职能设定明确性</w:t>
            </w:r>
          </w:p>
        </w:tc>
        <w:tc>
          <w:tcPr>
            <w:tcW w:w="299"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w:t>
            </w:r>
          </w:p>
        </w:tc>
        <w:tc>
          <w:tcPr>
            <w:tcW w:w="397" w:type="pct"/>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2</w:t>
            </w:r>
          </w:p>
        </w:tc>
        <w:tc>
          <w:tcPr>
            <w:tcW w:w="637"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明确</w:t>
            </w:r>
          </w:p>
        </w:tc>
        <w:tc>
          <w:tcPr>
            <w:tcW w:w="540"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2</w:t>
            </w:r>
          </w:p>
        </w:tc>
        <w:tc>
          <w:tcPr>
            <w:tcW w:w="553"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596"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025"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950"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A12 人员岗位职责明确性</w:t>
            </w:r>
          </w:p>
        </w:tc>
        <w:tc>
          <w:tcPr>
            <w:tcW w:w="299"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w:t>
            </w:r>
          </w:p>
        </w:tc>
        <w:tc>
          <w:tcPr>
            <w:tcW w:w="397"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2</w:t>
            </w:r>
          </w:p>
        </w:tc>
        <w:tc>
          <w:tcPr>
            <w:tcW w:w="637"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明确</w:t>
            </w:r>
          </w:p>
        </w:tc>
        <w:tc>
          <w:tcPr>
            <w:tcW w:w="540"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2</w:t>
            </w:r>
          </w:p>
        </w:tc>
        <w:tc>
          <w:tcPr>
            <w:tcW w:w="553"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596"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025"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A2 部门中长期规划适应性（</w:t>
            </w:r>
            <w:r>
              <w:rPr>
                <w:rFonts w:hint="eastAsia" w:asciiTheme="minorEastAsia" w:hAnsiTheme="minorEastAsia" w:eastAsiaTheme="minorEastAsia" w:cstheme="minorEastAsia"/>
                <w:b/>
                <w:bCs/>
                <w:color w:val="auto"/>
                <w:kern w:val="0"/>
                <w:sz w:val="22"/>
                <w:szCs w:val="22"/>
                <w:lang w:val="en-US" w:eastAsia="zh-CN"/>
              </w:rPr>
              <w:t>4</w:t>
            </w:r>
            <w:r>
              <w:rPr>
                <w:rFonts w:hint="eastAsia" w:asciiTheme="minorEastAsia" w:hAnsiTheme="minorEastAsia" w:eastAsiaTheme="minorEastAsia" w:cstheme="minorEastAsia"/>
                <w:b/>
                <w:bCs/>
                <w:color w:val="auto"/>
                <w:kern w:val="0"/>
                <w:sz w:val="22"/>
                <w:szCs w:val="22"/>
              </w:rPr>
              <w:t>分）</w:t>
            </w:r>
          </w:p>
        </w:tc>
        <w:tc>
          <w:tcPr>
            <w:tcW w:w="950"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A21 中长期规划科学合理性</w:t>
            </w:r>
          </w:p>
        </w:tc>
        <w:tc>
          <w:tcPr>
            <w:tcW w:w="299"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w:t>
            </w:r>
          </w:p>
        </w:tc>
        <w:tc>
          <w:tcPr>
            <w:tcW w:w="397"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2</w:t>
            </w:r>
          </w:p>
        </w:tc>
        <w:tc>
          <w:tcPr>
            <w:tcW w:w="637"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合理</w:t>
            </w:r>
          </w:p>
        </w:tc>
        <w:tc>
          <w:tcPr>
            <w:tcW w:w="540"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2</w:t>
            </w:r>
          </w:p>
        </w:tc>
        <w:tc>
          <w:tcPr>
            <w:tcW w:w="553"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596"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025"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A3 年度工作计划科学完整性（</w:t>
            </w:r>
            <w:r>
              <w:rPr>
                <w:rFonts w:hint="eastAsia" w:asciiTheme="minorEastAsia" w:hAnsiTheme="minorEastAsia" w:eastAsiaTheme="minorEastAsia" w:cstheme="minorEastAsia"/>
                <w:b/>
                <w:bCs/>
                <w:color w:val="auto"/>
                <w:kern w:val="0"/>
                <w:sz w:val="22"/>
                <w:szCs w:val="22"/>
                <w:lang w:val="en-US" w:eastAsia="zh-CN"/>
              </w:rPr>
              <w:t>4</w:t>
            </w:r>
            <w:r>
              <w:rPr>
                <w:rFonts w:hint="eastAsia" w:asciiTheme="minorEastAsia" w:hAnsiTheme="minorEastAsia" w:eastAsiaTheme="minorEastAsia" w:cstheme="minorEastAsia"/>
                <w:b/>
                <w:bCs/>
                <w:color w:val="auto"/>
                <w:kern w:val="0"/>
                <w:sz w:val="22"/>
                <w:szCs w:val="22"/>
              </w:rPr>
              <w:t>分）</w:t>
            </w:r>
          </w:p>
        </w:tc>
        <w:tc>
          <w:tcPr>
            <w:tcW w:w="950"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A31工作计划的合理明确性</w:t>
            </w:r>
          </w:p>
        </w:tc>
        <w:tc>
          <w:tcPr>
            <w:tcW w:w="299"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w:t>
            </w:r>
          </w:p>
        </w:tc>
        <w:tc>
          <w:tcPr>
            <w:tcW w:w="397"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lang w:val="en-US" w:eastAsia="zh-CN"/>
              </w:rPr>
              <w:t>4</w:t>
            </w:r>
          </w:p>
        </w:tc>
        <w:tc>
          <w:tcPr>
            <w:tcW w:w="637"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合理、明确</w:t>
            </w:r>
          </w:p>
        </w:tc>
        <w:tc>
          <w:tcPr>
            <w:tcW w:w="540" w:type="pct"/>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4</w:t>
            </w:r>
          </w:p>
        </w:tc>
        <w:tc>
          <w:tcPr>
            <w:tcW w:w="553"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596"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025"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A4 年度绩效目标明确性（</w:t>
            </w:r>
            <w:r>
              <w:rPr>
                <w:rFonts w:hint="eastAsia" w:asciiTheme="minorEastAsia" w:hAnsiTheme="minorEastAsia" w:eastAsiaTheme="minorEastAsia" w:cstheme="minorEastAsia"/>
                <w:b/>
                <w:bCs/>
                <w:color w:val="auto"/>
                <w:kern w:val="0"/>
                <w:sz w:val="22"/>
                <w:szCs w:val="22"/>
                <w:lang w:val="en-US" w:eastAsia="zh-CN"/>
              </w:rPr>
              <w:t>4</w:t>
            </w:r>
            <w:r>
              <w:rPr>
                <w:rFonts w:hint="eastAsia" w:asciiTheme="minorEastAsia" w:hAnsiTheme="minorEastAsia" w:eastAsiaTheme="minorEastAsia" w:cstheme="minorEastAsia"/>
                <w:b/>
                <w:bCs/>
                <w:color w:val="auto"/>
                <w:kern w:val="0"/>
                <w:sz w:val="22"/>
                <w:szCs w:val="22"/>
              </w:rPr>
              <w:t>分）</w:t>
            </w:r>
          </w:p>
        </w:tc>
        <w:tc>
          <w:tcPr>
            <w:tcW w:w="950"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A41 部门绩效目标的合理性、明确性、量化度</w:t>
            </w:r>
          </w:p>
        </w:tc>
        <w:tc>
          <w:tcPr>
            <w:tcW w:w="299"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w:t>
            </w:r>
          </w:p>
        </w:tc>
        <w:tc>
          <w:tcPr>
            <w:tcW w:w="397" w:type="pct"/>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4</w:t>
            </w:r>
          </w:p>
        </w:tc>
        <w:tc>
          <w:tcPr>
            <w:tcW w:w="637"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合理、明确、量化</w:t>
            </w:r>
          </w:p>
        </w:tc>
        <w:tc>
          <w:tcPr>
            <w:tcW w:w="540" w:type="pct"/>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4</w:t>
            </w:r>
          </w:p>
        </w:tc>
        <w:tc>
          <w:tcPr>
            <w:tcW w:w="553"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596"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025" w:type="pct"/>
            <w:vMerge w:val="restart"/>
            <w:vAlign w:val="center"/>
          </w:tcPr>
          <w:p>
            <w:pPr>
              <w:widowControl/>
              <w:jc w:val="both"/>
              <w:rPr>
                <w:rFonts w:hint="eastAsia"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rPr>
              <w:t>A5 年度部门预算计划科学性（</w:t>
            </w:r>
            <w:r>
              <w:rPr>
                <w:rFonts w:hint="eastAsia" w:asciiTheme="minorEastAsia" w:hAnsiTheme="minorEastAsia" w:eastAsiaTheme="minorEastAsia" w:cstheme="minorEastAsia"/>
                <w:b/>
                <w:bCs/>
                <w:color w:val="auto"/>
                <w:kern w:val="0"/>
                <w:sz w:val="22"/>
                <w:szCs w:val="22"/>
                <w:lang w:val="en-US" w:eastAsia="zh-CN"/>
              </w:rPr>
              <w:t>6</w:t>
            </w:r>
            <w:r>
              <w:rPr>
                <w:rFonts w:hint="eastAsia" w:asciiTheme="minorEastAsia" w:hAnsiTheme="minorEastAsia" w:eastAsiaTheme="minorEastAsia" w:cstheme="minorEastAsia"/>
                <w:b/>
                <w:bCs/>
                <w:color w:val="auto"/>
                <w:kern w:val="0"/>
                <w:sz w:val="22"/>
                <w:szCs w:val="22"/>
              </w:rPr>
              <w:t>分）</w:t>
            </w:r>
          </w:p>
        </w:tc>
        <w:tc>
          <w:tcPr>
            <w:tcW w:w="950"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A51 年度部门预算计划完整合理性</w:t>
            </w:r>
          </w:p>
        </w:tc>
        <w:tc>
          <w:tcPr>
            <w:tcW w:w="299"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w:t>
            </w:r>
          </w:p>
        </w:tc>
        <w:tc>
          <w:tcPr>
            <w:tcW w:w="397" w:type="pct"/>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4</w:t>
            </w:r>
          </w:p>
        </w:tc>
        <w:tc>
          <w:tcPr>
            <w:tcW w:w="637"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合理</w:t>
            </w:r>
          </w:p>
        </w:tc>
        <w:tc>
          <w:tcPr>
            <w:tcW w:w="540" w:type="pct"/>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4</w:t>
            </w:r>
          </w:p>
        </w:tc>
        <w:tc>
          <w:tcPr>
            <w:tcW w:w="553"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596"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025"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950"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A52 年度部门预算计划规范性</w:t>
            </w:r>
          </w:p>
        </w:tc>
        <w:tc>
          <w:tcPr>
            <w:tcW w:w="299"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w:t>
            </w:r>
          </w:p>
        </w:tc>
        <w:tc>
          <w:tcPr>
            <w:tcW w:w="397"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2</w:t>
            </w:r>
          </w:p>
        </w:tc>
        <w:tc>
          <w:tcPr>
            <w:tcW w:w="637"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规范</w:t>
            </w:r>
          </w:p>
        </w:tc>
        <w:tc>
          <w:tcPr>
            <w:tcW w:w="540"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2</w:t>
            </w:r>
          </w:p>
        </w:tc>
        <w:tc>
          <w:tcPr>
            <w:tcW w:w="553"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871" w:type="pct"/>
            <w:gridSpan w:val="4"/>
            <w:vAlign w:val="center"/>
          </w:tcPr>
          <w:p>
            <w:pPr>
              <w:widowControl/>
              <w:jc w:val="center"/>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eastAsia="zh-CN"/>
              </w:rPr>
              <w:t>合计</w:t>
            </w:r>
          </w:p>
        </w:tc>
        <w:tc>
          <w:tcPr>
            <w:tcW w:w="397"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lang w:val="en-US" w:eastAsia="zh-CN"/>
              </w:rPr>
              <w:t>20</w:t>
            </w:r>
          </w:p>
        </w:tc>
        <w:tc>
          <w:tcPr>
            <w:tcW w:w="637" w:type="pct"/>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540"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lang w:val="en-US" w:eastAsia="zh-CN"/>
              </w:rPr>
              <w:t>20</w:t>
            </w:r>
          </w:p>
        </w:tc>
        <w:tc>
          <w:tcPr>
            <w:tcW w:w="553"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lang w:val="en-US" w:eastAsia="zh-CN"/>
              </w:rPr>
              <w:t>100%</w:t>
            </w:r>
          </w:p>
        </w:tc>
      </w:tr>
    </w:tbl>
    <w:p>
      <w:pPr>
        <w:keepNext w:val="0"/>
        <w:keepLines w:val="0"/>
        <w:pageBreakBefore w:val="0"/>
        <w:widowControl/>
        <w:kinsoku/>
        <w:wordWrap/>
        <w:overflowPunct/>
        <w:topLinePunct w:val="0"/>
        <w:autoSpaceDE/>
        <w:autoSpaceDN/>
        <w:bidi w:val="0"/>
        <w:adjustRightInd w:val="0"/>
        <w:snapToGrid w:val="0"/>
        <w:spacing w:line="570" w:lineRule="atLeast"/>
        <w:ind w:firstLine="643" w:firstLineChars="200"/>
        <w:textAlignment w:val="auto"/>
        <w:rPr>
          <w:rStyle w:val="13"/>
          <w:rFonts w:hint="eastAsia" w:ascii="方正仿宋_GBK" w:hAnsi="方正仿宋_GBK" w:eastAsia="方正仿宋_GBK" w:cs="方正仿宋_GBK"/>
          <w:b/>
          <w:bCs w:val="0"/>
          <w:color w:val="auto"/>
          <w:spacing w:val="6"/>
          <w:kern w:val="0"/>
          <w:sz w:val="32"/>
          <w:szCs w:val="32"/>
          <w:highlight w:val="none"/>
          <w:lang w:val="en-US" w:eastAsia="zh-CN"/>
        </w:rPr>
      </w:pPr>
      <w:r>
        <w:rPr>
          <w:rFonts w:hint="eastAsia" w:ascii="方正仿宋_GBK" w:hAnsi="方正仿宋_GBK" w:eastAsia="方正仿宋_GBK" w:cs="方正仿宋_GBK"/>
          <w:b/>
          <w:bCs/>
          <w:color w:val="auto"/>
          <w:kern w:val="0"/>
          <w:sz w:val="32"/>
          <w:szCs w:val="32"/>
        </w:rPr>
        <w:t>A1职能设置科学合理性</w:t>
      </w:r>
    </w:p>
    <w:p>
      <w:pPr>
        <w:keepNext w:val="0"/>
        <w:keepLines w:val="0"/>
        <w:pageBreakBefore w:val="0"/>
        <w:widowControl/>
        <w:kinsoku/>
        <w:wordWrap/>
        <w:overflowPunct/>
        <w:topLinePunct w:val="0"/>
        <w:autoSpaceDE/>
        <w:autoSpaceDN/>
        <w:bidi w:val="0"/>
        <w:adjustRightInd w:val="0"/>
        <w:snapToGrid w:val="0"/>
        <w:spacing w:line="570" w:lineRule="atLeast"/>
        <w:ind w:firstLine="667" w:firstLineChars="200"/>
        <w:textAlignment w:val="auto"/>
        <w:rPr>
          <w:rStyle w:val="13"/>
          <w:rFonts w:hint="eastAsia" w:ascii="方正仿宋_GBK" w:hAnsi="方正仿宋_GBK" w:eastAsia="方正仿宋_GBK" w:cs="方正仿宋_GBK"/>
          <w:b/>
          <w:bCs w:val="0"/>
          <w:color w:val="auto"/>
          <w:spacing w:val="6"/>
          <w:kern w:val="0"/>
          <w:sz w:val="32"/>
          <w:szCs w:val="32"/>
          <w:highlight w:val="none"/>
          <w:lang w:val="en-US" w:eastAsia="zh-CN"/>
        </w:rPr>
      </w:pPr>
      <w:r>
        <w:rPr>
          <w:rStyle w:val="13"/>
          <w:rFonts w:hint="eastAsia" w:ascii="方正仿宋_GBK" w:hAnsi="方正仿宋_GBK" w:eastAsia="方正仿宋_GBK" w:cs="方正仿宋_GBK"/>
          <w:b/>
          <w:bCs w:val="0"/>
          <w:color w:val="auto"/>
          <w:spacing w:val="6"/>
          <w:kern w:val="0"/>
          <w:sz w:val="32"/>
          <w:szCs w:val="32"/>
          <w:highlight w:val="none"/>
          <w:lang w:val="en-US" w:eastAsia="zh-CN"/>
        </w:rPr>
        <w:t>1.A11职能设定明确性</w:t>
      </w:r>
    </w:p>
    <w:p>
      <w:pPr>
        <w:keepNext w:val="0"/>
        <w:keepLines w:val="0"/>
        <w:pageBreakBefore w:val="0"/>
        <w:widowControl/>
        <w:kinsoku/>
        <w:wordWrap/>
        <w:overflowPunct/>
        <w:topLinePunct w:val="0"/>
        <w:autoSpaceDE/>
        <w:autoSpaceDN/>
        <w:bidi w:val="0"/>
        <w:adjustRightInd w:val="0"/>
        <w:snapToGrid w:val="0"/>
        <w:spacing w:line="570" w:lineRule="atLeast"/>
        <w:ind w:firstLine="664" w:firstLineChars="200"/>
        <w:textAlignment w:val="auto"/>
        <w:rPr>
          <w:rStyle w:val="13"/>
          <w:rFonts w:hint="eastAsia" w:ascii="方正仿宋_GBK" w:hAnsi="方正仿宋_GBK" w:eastAsia="方正仿宋_GBK" w:cs="方正仿宋_GBK"/>
          <w:b w:val="0"/>
          <w:color w:val="auto"/>
          <w:spacing w:val="6"/>
          <w:kern w:val="0"/>
          <w:sz w:val="32"/>
          <w:szCs w:val="32"/>
          <w:highlight w:val="none"/>
          <w:lang w:val="en-US" w:eastAsia="zh-CN"/>
        </w:rPr>
      </w:pPr>
      <w:r>
        <w:rPr>
          <w:rStyle w:val="13"/>
          <w:rFonts w:hint="eastAsia" w:ascii="方正仿宋_GBK" w:hAnsi="方正仿宋_GBK" w:eastAsia="方正仿宋_GBK" w:cs="方正仿宋_GBK"/>
          <w:b w:val="0"/>
          <w:color w:val="auto"/>
          <w:spacing w:val="6"/>
          <w:kern w:val="0"/>
          <w:sz w:val="32"/>
          <w:szCs w:val="32"/>
          <w:highlight w:val="none"/>
          <w:lang w:val="en-US" w:eastAsia="zh-CN"/>
        </w:rPr>
        <w:t>市监局职能设置与《关于印发〈伽师县市场监督管理局职能配置、内设机构和人员编制规定〉的通知》（伽党办字</w:t>
      </w:r>
      <w:r>
        <w:rPr>
          <w:rStyle w:val="13"/>
          <w:rFonts w:hint="eastAsia" w:ascii="宋体" w:hAnsi="宋体" w:eastAsia="宋体" w:cs="宋体"/>
          <w:b w:val="0"/>
          <w:color w:val="auto"/>
          <w:spacing w:val="6"/>
          <w:kern w:val="0"/>
          <w:sz w:val="32"/>
          <w:szCs w:val="32"/>
          <w:highlight w:val="none"/>
          <w:lang w:val="en-US" w:eastAsia="zh-CN"/>
        </w:rPr>
        <w:t>﹝</w:t>
      </w:r>
      <w:r>
        <w:rPr>
          <w:rStyle w:val="13"/>
          <w:rFonts w:hint="eastAsia" w:ascii="方正仿宋_GBK" w:hAnsi="方正仿宋_GBK" w:eastAsia="方正仿宋_GBK" w:cs="方正仿宋_GBK"/>
          <w:b w:val="0"/>
          <w:color w:val="auto"/>
          <w:spacing w:val="6"/>
          <w:kern w:val="0"/>
          <w:sz w:val="32"/>
          <w:szCs w:val="32"/>
          <w:highlight w:val="none"/>
          <w:lang w:val="en-US" w:eastAsia="zh-CN"/>
        </w:rPr>
        <w:t>2019</w:t>
      </w:r>
      <w:r>
        <w:rPr>
          <w:rStyle w:val="13"/>
          <w:rFonts w:hint="eastAsia" w:ascii="宋体" w:hAnsi="宋体" w:eastAsia="宋体" w:cs="宋体"/>
          <w:b w:val="0"/>
          <w:color w:val="auto"/>
          <w:spacing w:val="6"/>
          <w:kern w:val="0"/>
          <w:sz w:val="32"/>
          <w:szCs w:val="32"/>
          <w:highlight w:val="none"/>
          <w:lang w:val="en-US" w:eastAsia="zh-CN"/>
        </w:rPr>
        <w:t>﹞</w:t>
      </w:r>
      <w:r>
        <w:rPr>
          <w:rStyle w:val="13"/>
          <w:rFonts w:hint="eastAsia" w:ascii="方正仿宋_GBK" w:hAnsi="方正仿宋_GBK" w:eastAsia="方正仿宋_GBK" w:cs="方正仿宋_GBK"/>
          <w:b w:val="0"/>
          <w:color w:val="auto"/>
          <w:spacing w:val="6"/>
          <w:kern w:val="0"/>
          <w:sz w:val="32"/>
          <w:szCs w:val="32"/>
          <w:highlight w:val="none"/>
          <w:lang w:val="en-US" w:eastAsia="zh-CN"/>
        </w:rPr>
        <w:t>41号）一致，职能设定明确并分解到各部门。综上所述，该指标得满分</w:t>
      </w:r>
      <w:r>
        <w:rPr>
          <w:rStyle w:val="13"/>
          <w:rFonts w:hint="default" w:ascii="方正仿宋_GBK" w:hAnsi="方正仿宋_GBK" w:eastAsia="方正仿宋_GBK" w:cs="方正仿宋_GBK"/>
          <w:b w:val="0"/>
          <w:color w:val="auto"/>
          <w:spacing w:val="6"/>
          <w:kern w:val="0"/>
          <w:sz w:val="32"/>
          <w:szCs w:val="32"/>
          <w:highlight w:val="none"/>
          <w:lang w:val="en-US" w:eastAsia="zh-CN"/>
        </w:rPr>
        <w:t>2分</w:t>
      </w:r>
      <w:r>
        <w:rPr>
          <w:rStyle w:val="13"/>
          <w:rFonts w:hint="eastAsia" w:ascii="方正仿宋_GBK" w:hAnsi="方正仿宋_GBK" w:eastAsia="方正仿宋_GBK" w:cs="方正仿宋_GBK"/>
          <w:b w:val="0"/>
          <w:color w:val="auto"/>
          <w:spacing w:val="6"/>
          <w:kern w:val="0"/>
          <w:sz w:val="32"/>
          <w:szCs w:val="32"/>
          <w:highlight w:val="none"/>
          <w:lang w:val="en-US" w:eastAsia="zh-CN"/>
        </w:rPr>
        <w:t>。</w:t>
      </w:r>
      <w:r>
        <w:rPr>
          <w:rStyle w:val="13"/>
          <w:rFonts w:hint="eastAsia" w:ascii="方正仿宋_GBK" w:hAnsi="方正仿宋_GBK" w:eastAsia="方正仿宋_GBK" w:cs="方正仿宋_GBK"/>
          <w:b w:val="0"/>
          <w:color w:val="auto"/>
          <w:spacing w:val="6"/>
          <w:kern w:val="0"/>
          <w:sz w:val="32"/>
          <w:szCs w:val="32"/>
          <w:highlight w:val="none"/>
          <w:lang w:val="en-US" w:eastAsia="zh-CN"/>
        </w:rPr>
        <w:tab/>
      </w:r>
    </w:p>
    <w:p>
      <w:pPr>
        <w:keepNext w:val="0"/>
        <w:keepLines w:val="0"/>
        <w:pageBreakBefore w:val="0"/>
        <w:widowControl/>
        <w:numPr>
          <w:ilvl w:val="0"/>
          <w:numId w:val="0"/>
        </w:numPr>
        <w:kinsoku/>
        <w:wordWrap/>
        <w:overflowPunct/>
        <w:topLinePunct w:val="0"/>
        <w:autoSpaceDE/>
        <w:autoSpaceDN/>
        <w:bidi w:val="0"/>
        <w:adjustRightInd w:val="0"/>
        <w:snapToGrid w:val="0"/>
        <w:spacing w:line="570" w:lineRule="atLeast"/>
        <w:ind w:firstLine="667" w:firstLineChars="200"/>
        <w:textAlignment w:val="auto"/>
        <w:rPr>
          <w:rStyle w:val="13"/>
          <w:rFonts w:hint="eastAsia" w:ascii="方正仿宋_GBK" w:hAnsi="方正仿宋_GBK" w:eastAsia="方正仿宋_GBK" w:cs="方正仿宋_GBK"/>
          <w:b w:val="0"/>
          <w:color w:val="auto"/>
          <w:spacing w:val="6"/>
          <w:kern w:val="0"/>
          <w:sz w:val="32"/>
          <w:szCs w:val="32"/>
          <w:highlight w:val="none"/>
          <w:lang w:val="en-US" w:eastAsia="zh-CN"/>
        </w:rPr>
      </w:pPr>
      <w:r>
        <w:rPr>
          <w:rStyle w:val="13"/>
          <w:rFonts w:hint="eastAsia" w:ascii="方正仿宋_GBK" w:hAnsi="方正仿宋_GBK" w:eastAsia="方正仿宋_GBK" w:cs="方正仿宋_GBK"/>
          <w:b/>
          <w:bCs w:val="0"/>
          <w:color w:val="auto"/>
          <w:spacing w:val="6"/>
          <w:kern w:val="0"/>
          <w:sz w:val="32"/>
          <w:szCs w:val="32"/>
          <w:highlight w:val="none"/>
          <w:lang w:val="en-US" w:eastAsia="zh-CN"/>
        </w:rPr>
        <w:t>2.A12人员岗位职责明确性</w:t>
      </w:r>
      <w:r>
        <w:rPr>
          <w:rStyle w:val="13"/>
          <w:rFonts w:hint="eastAsia" w:ascii="方正仿宋_GBK" w:hAnsi="方正仿宋_GBK" w:eastAsia="方正仿宋_GBK" w:cs="方正仿宋_GBK"/>
          <w:b w:val="0"/>
          <w:color w:val="auto"/>
          <w:spacing w:val="6"/>
          <w:kern w:val="0"/>
          <w:sz w:val="32"/>
          <w:szCs w:val="32"/>
          <w:highlight w:val="none"/>
          <w:lang w:val="en-US" w:eastAsia="zh-CN"/>
        </w:rPr>
        <w:tab/>
      </w:r>
    </w:p>
    <w:p>
      <w:pPr>
        <w:keepNext w:val="0"/>
        <w:keepLines w:val="0"/>
        <w:pageBreakBefore w:val="0"/>
        <w:widowControl/>
        <w:numPr>
          <w:ilvl w:val="0"/>
          <w:numId w:val="0"/>
        </w:numPr>
        <w:kinsoku/>
        <w:wordWrap/>
        <w:overflowPunct/>
        <w:topLinePunct w:val="0"/>
        <w:autoSpaceDE/>
        <w:autoSpaceDN/>
        <w:bidi w:val="0"/>
        <w:adjustRightInd w:val="0"/>
        <w:snapToGrid w:val="0"/>
        <w:spacing w:line="570" w:lineRule="atLeast"/>
        <w:ind w:firstLine="664" w:firstLineChars="200"/>
        <w:textAlignment w:val="auto"/>
        <w:rPr>
          <w:rStyle w:val="13"/>
          <w:rFonts w:hint="eastAsia" w:ascii="方正仿宋_GBK" w:hAnsi="方正仿宋_GBK" w:eastAsia="方正仿宋_GBK" w:cs="方正仿宋_GBK"/>
          <w:b w:val="0"/>
          <w:color w:val="auto"/>
          <w:spacing w:val="6"/>
          <w:kern w:val="0"/>
          <w:sz w:val="32"/>
          <w:szCs w:val="32"/>
          <w:highlight w:val="none"/>
          <w:lang w:val="en-US" w:eastAsia="zh-CN"/>
        </w:rPr>
      </w:pPr>
      <w:r>
        <w:rPr>
          <w:rStyle w:val="13"/>
          <w:rFonts w:hint="eastAsia" w:ascii="方正仿宋_GBK" w:hAnsi="方正仿宋_GBK" w:eastAsia="方正仿宋_GBK" w:cs="方正仿宋_GBK"/>
          <w:b w:val="0"/>
          <w:color w:val="auto"/>
          <w:spacing w:val="6"/>
          <w:kern w:val="0"/>
          <w:sz w:val="32"/>
          <w:szCs w:val="32"/>
          <w:highlight w:val="none"/>
          <w:lang w:val="en-US" w:eastAsia="zh-CN"/>
        </w:rPr>
        <w:t>根据市监局干部职工花名册及《关于印发〈伽师县市场监督管理局职能配置、内设机构和人员编制规定〉的通知》（伽党办字</w:t>
      </w:r>
      <w:r>
        <w:rPr>
          <w:rStyle w:val="13"/>
          <w:rFonts w:hint="eastAsia" w:ascii="宋体" w:hAnsi="宋体" w:eastAsia="宋体" w:cs="宋体"/>
          <w:b w:val="0"/>
          <w:color w:val="auto"/>
          <w:spacing w:val="6"/>
          <w:kern w:val="0"/>
          <w:sz w:val="32"/>
          <w:szCs w:val="32"/>
          <w:highlight w:val="none"/>
          <w:lang w:val="en-US" w:eastAsia="zh-CN"/>
        </w:rPr>
        <w:t>﹝</w:t>
      </w:r>
      <w:r>
        <w:rPr>
          <w:rStyle w:val="13"/>
          <w:rFonts w:hint="eastAsia" w:ascii="方正仿宋_GBK" w:hAnsi="方正仿宋_GBK" w:eastAsia="方正仿宋_GBK" w:cs="方正仿宋_GBK"/>
          <w:b w:val="0"/>
          <w:color w:val="auto"/>
          <w:spacing w:val="6"/>
          <w:kern w:val="0"/>
          <w:sz w:val="32"/>
          <w:szCs w:val="32"/>
          <w:highlight w:val="none"/>
          <w:lang w:val="en-US" w:eastAsia="zh-CN"/>
        </w:rPr>
        <w:t>2019</w:t>
      </w:r>
      <w:r>
        <w:rPr>
          <w:rStyle w:val="13"/>
          <w:rFonts w:hint="eastAsia" w:ascii="宋体" w:hAnsi="宋体" w:eastAsia="宋体" w:cs="宋体"/>
          <w:b w:val="0"/>
          <w:color w:val="auto"/>
          <w:spacing w:val="6"/>
          <w:kern w:val="0"/>
          <w:sz w:val="32"/>
          <w:szCs w:val="32"/>
          <w:highlight w:val="none"/>
          <w:lang w:val="en-US" w:eastAsia="zh-CN"/>
        </w:rPr>
        <w:t>﹞</w:t>
      </w:r>
      <w:r>
        <w:rPr>
          <w:rStyle w:val="13"/>
          <w:rFonts w:hint="eastAsia" w:ascii="方正仿宋_GBK" w:hAnsi="方正仿宋_GBK" w:eastAsia="方正仿宋_GBK" w:cs="方正仿宋_GBK"/>
          <w:b w:val="0"/>
          <w:color w:val="auto"/>
          <w:spacing w:val="6"/>
          <w:kern w:val="0"/>
          <w:sz w:val="32"/>
          <w:szCs w:val="32"/>
          <w:highlight w:val="none"/>
          <w:lang w:val="en-US" w:eastAsia="zh-CN"/>
        </w:rPr>
        <w:t>41号）分析，部门职责细化落实到岗位和人员。综上所述，该指标得满分2分。</w:t>
      </w:r>
    </w:p>
    <w:p>
      <w:pPr>
        <w:keepNext w:val="0"/>
        <w:keepLines w:val="0"/>
        <w:pageBreakBefore w:val="0"/>
        <w:widowControl/>
        <w:numPr>
          <w:ilvl w:val="0"/>
          <w:numId w:val="0"/>
        </w:numPr>
        <w:kinsoku/>
        <w:wordWrap/>
        <w:overflowPunct/>
        <w:topLinePunct w:val="0"/>
        <w:autoSpaceDE/>
        <w:autoSpaceDN/>
        <w:bidi w:val="0"/>
        <w:adjustRightInd w:val="0"/>
        <w:snapToGrid w:val="0"/>
        <w:spacing w:line="570" w:lineRule="atLeast"/>
        <w:ind w:left="562" w:leftChars="0"/>
        <w:textAlignment w:val="auto"/>
        <w:rPr>
          <w:rStyle w:val="13"/>
          <w:rFonts w:hint="eastAsia" w:ascii="方正仿宋_GBK" w:hAnsi="方正仿宋_GBK" w:eastAsia="方正仿宋_GBK" w:cs="方正仿宋_GBK"/>
          <w:b/>
          <w:bCs w:val="0"/>
          <w:color w:val="auto"/>
          <w:spacing w:val="6"/>
          <w:kern w:val="0"/>
          <w:sz w:val="32"/>
          <w:szCs w:val="32"/>
          <w:highlight w:val="none"/>
          <w:lang w:val="en-US" w:eastAsia="zh-CN"/>
        </w:rPr>
      </w:pPr>
      <w:r>
        <w:rPr>
          <w:rFonts w:hint="eastAsia" w:ascii="方正仿宋_GBK" w:hAnsi="方正仿宋_GBK" w:eastAsia="方正仿宋_GBK" w:cs="方正仿宋_GBK"/>
          <w:b/>
          <w:bCs/>
          <w:color w:val="auto"/>
          <w:kern w:val="0"/>
          <w:sz w:val="32"/>
          <w:szCs w:val="32"/>
        </w:rPr>
        <w:t>A2部门中长期规划适应性</w:t>
      </w:r>
    </w:p>
    <w:p>
      <w:pPr>
        <w:keepNext w:val="0"/>
        <w:keepLines w:val="0"/>
        <w:pageBreakBefore w:val="0"/>
        <w:widowControl/>
        <w:numPr>
          <w:ilvl w:val="0"/>
          <w:numId w:val="0"/>
        </w:numPr>
        <w:kinsoku/>
        <w:wordWrap/>
        <w:overflowPunct/>
        <w:topLinePunct w:val="0"/>
        <w:autoSpaceDE/>
        <w:autoSpaceDN/>
        <w:bidi w:val="0"/>
        <w:adjustRightInd w:val="0"/>
        <w:snapToGrid w:val="0"/>
        <w:spacing w:line="570" w:lineRule="atLeast"/>
        <w:ind w:left="562" w:leftChars="0"/>
        <w:textAlignment w:val="auto"/>
        <w:rPr>
          <w:rStyle w:val="13"/>
          <w:rFonts w:hint="eastAsia" w:ascii="方正仿宋_GBK" w:hAnsi="方正仿宋_GBK" w:eastAsia="方正仿宋_GBK" w:cs="方正仿宋_GBK"/>
          <w:b w:val="0"/>
          <w:color w:val="auto"/>
          <w:spacing w:val="6"/>
          <w:kern w:val="0"/>
          <w:sz w:val="32"/>
          <w:szCs w:val="32"/>
          <w:highlight w:val="none"/>
          <w:lang w:val="en-US" w:eastAsia="zh-CN"/>
        </w:rPr>
      </w:pPr>
      <w:r>
        <w:rPr>
          <w:rStyle w:val="13"/>
          <w:rFonts w:hint="eastAsia" w:ascii="方正仿宋_GBK" w:hAnsi="方正仿宋_GBK" w:eastAsia="方正仿宋_GBK" w:cs="方正仿宋_GBK"/>
          <w:b/>
          <w:bCs w:val="0"/>
          <w:color w:val="auto"/>
          <w:spacing w:val="6"/>
          <w:kern w:val="0"/>
          <w:sz w:val="32"/>
          <w:szCs w:val="32"/>
          <w:highlight w:val="none"/>
          <w:lang w:val="en-US" w:eastAsia="zh-CN"/>
        </w:rPr>
        <w:t>1.A21中长期规划科学合理性</w:t>
      </w:r>
      <w:r>
        <w:rPr>
          <w:rStyle w:val="13"/>
          <w:rFonts w:hint="eastAsia" w:ascii="方正仿宋_GBK" w:hAnsi="方正仿宋_GBK" w:eastAsia="方正仿宋_GBK" w:cs="方正仿宋_GBK"/>
          <w:b w:val="0"/>
          <w:color w:val="auto"/>
          <w:spacing w:val="6"/>
          <w:kern w:val="0"/>
          <w:sz w:val="32"/>
          <w:szCs w:val="32"/>
          <w:highlight w:val="none"/>
          <w:lang w:val="en-US" w:eastAsia="zh-CN"/>
        </w:rPr>
        <w:tab/>
      </w:r>
    </w:p>
    <w:p>
      <w:pPr>
        <w:keepNext w:val="0"/>
        <w:keepLines w:val="0"/>
        <w:pageBreakBefore w:val="0"/>
        <w:widowControl/>
        <w:numPr>
          <w:ilvl w:val="0"/>
          <w:numId w:val="0"/>
        </w:numPr>
        <w:kinsoku/>
        <w:wordWrap/>
        <w:overflowPunct/>
        <w:topLinePunct w:val="0"/>
        <w:autoSpaceDE/>
        <w:autoSpaceDN/>
        <w:bidi w:val="0"/>
        <w:adjustRightInd w:val="0"/>
        <w:snapToGrid w:val="0"/>
        <w:spacing w:line="570" w:lineRule="atLeast"/>
        <w:ind w:firstLine="664" w:firstLineChars="200"/>
        <w:textAlignment w:val="auto"/>
        <w:rPr>
          <w:rStyle w:val="13"/>
          <w:rFonts w:hint="eastAsia" w:ascii="方正仿宋_GBK" w:hAnsi="方正仿宋_GBK" w:eastAsia="方正仿宋_GBK" w:cs="方正仿宋_GBK"/>
          <w:b w:val="0"/>
          <w:color w:val="auto"/>
          <w:spacing w:val="6"/>
          <w:kern w:val="0"/>
          <w:sz w:val="32"/>
          <w:szCs w:val="32"/>
          <w:highlight w:val="none"/>
          <w:lang w:val="en-US" w:eastAsia="zh-CN"/>
        </w:rPr>
      </w:pPr>
      <w:r>
        <w:rPr>
          <w:rStyle w:val="13"/>
          <w:rFonts w:hint="eastAsia" w:ascii="方正仿宋_GBK" w:hAnsi="方正仿宋_GBK" w:eastAsia="方正仿宋_GBK" w:cs="方正仿宋_GBK"/>
          <w:b w:val="0"/>
          <w:color w:val="auto"/>
          <w:spacing w:val="6"/>
          <w:kern w:val="0"/>
          <w:sz w:val="32"/>
          <w:szCs w:val="32"/>
          <w:highlight w:val="none"/>
          <w:lang w:val="en-US" w:eastAsia="zh-CN"/>
        </w:rPr>
        <w:t>根据对《关于印发〈喀什地区市场监管事业发展“十四五”规划〉的通知》（喀地市监〔2021〕32号）、《关于印发〈伽师县食品药品安全“十四五”规划〉的通知》分析，部门中长期规划清晰、全面、完整。综上所述，该指标得满分2分。</w:t>
      </w:r>
      <w:r>
        <w:rPr>
          <w:rStyle w:val="13"/>
          <w:rFonts w:hint="eastAsia" w:ascii="方正仿宋_GBK" w:hAnsi="方正仿宋_GBK" w:eastAsia="方正仿宋_GBK" w:cs="方正仿宋_GBK"/>
          <w:b w:val="0"/>
          <w:color w:val="auto"/>
          <w:spacing w:val="6"/>
          <w:kern w:val="0"/>
          <w:sz w:val="32"/>
          <w:szCs w:val="32"/>
          <w:highlight w:val="none"/>
          <w:lang w:val="en-US" w:eastAsia="zh-CN"/>
        </w:rPr>
        <w:tab/>
      </w:r>
    </w:p>
    <w:p>
      <w:pPr>
        <w:keepNext w:val="0"/>
        <w:keepLines w:val="0"/>
        <w:pageBreakBefore w:val="0"/>
        <w:widowControl/>
        <w:numPr>
          <w:ilvl w:val="0"/>
          <w:numId w:val="0"/>
        </w:numPr>
        <w:kinsoku/>
        <w:wordWrap/>
        <w:overflowPunct/>
        <w:topLinePunct w:val="0"/>
        <w:autoSpaceDE/>
        <w:autoSpaceDN/>
        <w:bidi w:val="0"/>
        <w:adjustRightInd w:val="0"/>
        <w:snapToGrid w:val="0"/>
        <w:spacing w:line="570" w:lineRule="atLeast"/>
        <w:ind w:firstLine="667" w:firstLineChars="200"/>
        <w:textAlignment w:val="auto"/>
        <w:rPr>
          <w:rStyle w:val="13"/>
          <w:rFonts w:hint="eastAsia" w:ascii="方正仿宋_GBK" w:hAnsi="方正仿宋_GBK" w:eastAsia="方正仿宋_GBK" w:cs="方正仿宋_GBK"/>
          <w:b/>
          <w:bCs w:val="0"/>
          <w:color w:val="auto"/>
          <w:spacing w:val="6"/>
          <w:kern w:val="0"/>
          <w:sz w:val="32"/>
          <w:szCs w:val="32"/>
          <w:highlight w:val="none"/>
          <w:lang w:val="en-US" w:eastAsia="zh-CN"/>
        </w:rPr>
      </w:pPr>
      <w:r>
        <w:rPr>
          <w:rStyle w:val="13"/>
          <w:rFonts w:hint="eastAsia" w:ascii="方正仿宋_GBK" w:hAnsi="方正仿宋_GBK" w:eastAsia="方正仿宋_GBK" w:cs="方正仿宋_GBK"/>
          <w:b/>
          <w:bCs w:val="0"/>
          <w:color w:val="auto"/>
          <w:spacing w:val="6"/>
          <w:kern w:val="0"/>
          <w:sz w:val="32"/>
          <w:szCs w:val="32"/>
          <w:highlight w:val="none"/>
          <w:lang w:val="en-US" w:eastAsia="zh-CN"/>
        </w:rPr>
        <w:t>A3年度工作计划科学完整性</w:t>
      </w:r>
    </w:p>
    <w:p>
      <w:pPr>
        <w:keepNext w:val="0"/>
        <w:keepLines w:val="0"/>
        <w:pageBreakBefore w:val="0"/>
        <w:widowControl/>
        <w:numPr>
          <w:ilvl w:val="0"/>
          <w:numId w:val="0"/>
        </w:numPr>
        <w:kinsoku/>
        <w:wordWrap/>
        <w:overflowPunct/>
        <w:topLinePunct w:val="0"/>
        <w:autoSpaceDE/>
        <w:autoSpaceDN/>
        <w:bidi w:val="0"/>
        <w:adjustRightInd w:val="0"/>
        <w:snapToGrid w:val="0"/>
        <w:spacing w:line="570" w:lineRule="atLeast"/>
        <w:ind w:firstLine="667" w:firstLineChars="200"/>
        <w:textAlignment w:val="auto"/>
        <w:rPr>
          <w:rStyle w:val="13"/>
          <w:rFonts w:hint="eastAsia" w:ascii="方正仿宋_GBK" w:hAnsi="方正仿宋_GBK" w:eastAsia="方正仿宋_GBK" w:cs="方正仿宋_GBK"/>
          <w:b w:val="0"/>
          <w:color w:val="auto"/>
          <w:spacing w:val="6"/>
          <w:kern w:val="0"/>
          <w:sz w:val="32"/>
          <w:szCs w:val="32"/>
          <w:highlight w:val="none"/>
          <w:lang w:val="en-US" w:eastAsia="zh-CN"/>
        </w:rPr>
      </w:pPr>
      <w:r>
        <w:rPr>
          <w:rStyle w:val="13"/>
          <w:rFonts w:hint="eastAsia" w:ascii="方正仿宋_GBK" w:hAnsi="方正仿宋_GBK" w:eastAsia="方正仿宋_GBK" w:cs="方正仿宋_GBK"/>
          <w:b/>
          <w:bCs w:val="0"/>
          <w:color w:val="auto"/>
          <w:spacing w:val="6"/>
          <w:kern w:val="0"/>
          <w:sz w:val="32"/>
          <w:szCs w:val="32"/>
          <w:highlight w:val="none"/>
          <w:lang w:val="en-US" w:eastAsia="zh-CN"/>
        </w:rPr>
        <w:t>1.A31工作计划的合理明确性</w:t>
      </w:r>
      <w:r>
        <w:rPr>
          <w:rStyle w:val="13"/>
          <w:rFonts w:hint="eastAsia" w:ascii="方正仿宋_GBK" w:hAnsi="方正仿宋_GBK" w:eastAsia="方正仿宋_GBK" w:cs="方正仿宋_GBK"/>
          <w:b/>
          <w:bCs w:val="0"/>
          <w:color w:val="auto"/>
          <w:spacing w:val="6"/>
          <w:kern w:val="0"/>
          <w:sz w:val="32"/>
          <w:szCs w:val="32"/>
          <w:highlight w:val="none"/>
          <w:lang w:val="en-US" w:eastAsia="zh-CN"/>
        </w:rPr>
        <w:tab/>
      </w:r>
    </w:p>
    <w:p>
      <w:pPr>
        <w:keepNext w:val="0"/>
        <w:keepLines w:val="0"/>
        <w:pageBreakBefore w:val="0"/>
        <w:widowControl/>
        <w:kinsoku/>
        <w:wordWrap/>
        <w:overflowPunct/>
        <w:topLinePunct w:val="0"/>
        <w:autoSpaceDE/>
        <w:autoSpaceDN/>
        <w:bidi w:val="0"/>
        <w:adjustRightInd w:val="0"/>
        <w:snapToGrid w:val="0"/>
        <w:spacing w:line="570" w:lineRule="atLeast"/>
        <w:ind w:firstLine="664" w:firstLineChars="200"/>
        <w:textAlignment w:val="auto"/>
        <w:rPr>
          <w:rStyle w:val="13"/>
          <w:rFonts w:hint="eastAsia" w:ascii="方正仿宋_GBK" w:hAnsi="方正仿宋_GBK" w:eastAsia="方正仿宋_GBK" w:cs="方正仿宋_GBK"/>
          <w:b w:val="0"/>
          <w:color w:val="auto"/>
          <w:spacing w:val="6"/>
          <w:kern w:val="0"/>
          <w:sz w:val="32"/>
          <w:szCs w:val="32"/>
          <w:highlight w:val="none"/>
          <w:lang w:val="en-US" w:eastAsia="zh-CN"/>
        </w:rPr>
      </w:pPr>
      <w:r>
        <w:rPr>
          <w:rStyle w:val="13"/>
          <w:rFonts w:hint="eastAsia" w:ascii="方正仿宋_GBK" w:hAnsi="方正仿宋_GBK" w:eastAsia="方正仿宋_GBK" w:cs="方正仿宋_GBK"/>
          <w:b w:val="0"/>
          <w:color w:val="auto"/>
          <w:spacing w:val="6"/>
          <w:kern w:val="0"/>
          <w:sz w:val="32"/>
          <w:szCs w:val="32"/>
          <w:highlight w:val="none"/>
          <w:lang w:val="en-US" w:eastAsia="zh-CN"/>
        </w:rPr>
        <w:t>市监局制定的《伽师县市场监督管理局2022年工作计划》内容全面合理、分工明确、计划可行，并经集体决策正式下发文件。综上所述，该指标得满分4分。</w:t>
      </w:r>
    </w:p>
    <w:p>
      <w:pPr>
        <w:keepNext w:val="0"/>
        <w:keepLines w:val="0"/>
        <w:pageBreakBefore w:val="0"/>
        <w:widowControl/>
        <w:kinsoku/>
        <w:wordWrap/>
        <w:overflowPunct/>
        <w:topLinePunct w:val="0"/>
        <w:autoSpaceDE/>
        <w:autoSpaceDN/>
        <w:bidi w:val="0"/>
        <w:adjustRightInd w:val="0"/>
        <w:snapToGrid w:val="0"/>
        <w:spacing w:line="570" w:lineRule="atLeast"/>
        <w:ind w:firstLine="667" w:firstLineChars="200"/>
        <w:textAlignment w:val="auto"/>
        <w:rPr>
          <w:rStyle w:val="13"/>
          <w:rFonts w:hint="eastAsia" w:ascii="方正仿宋_GBK" w:hAnsi="方正仿宋_GBK" w:eastAsia="方正仿宋_GBK" w:cs="方正仿宋_GBK"/>
          <w:b/>
          <w:bCs w:val="0"/>
          <w:color w:val="auto"/>
          <w:spacing w:val="6"/>
          <w:kern w:val="0"/>
          <w:sz w:val="32"/>
          <w:szCs w:val="32"/>
          <w:highlight w:val="none"/>
          <w:lang w:val="en-US" w:eastAsia="zh-CN"/>
        </w:rPr>
      </w:pPr>
      <w:r>
        <w:rPr>
          <w:rStyle w:val="13"/>
          <w:rFonts w:hint="eastAsia" w:ascii="方正仿宋_GBK" w:hAnsi="方正仿宋_GBK" w:eastAsia="方正仿宋_GBK" w:cs="方正仿宋_GBK"/>
          <w:b/>
          <w:bCs w:val="0"/>
          <w:color w:val="auto"/>
          <w:spacing w:val="6"/>
          <w:kern w:val="0"/>
          <w:sz w:val="32"/>
          <w:szCs w:val="32"/>
          <w:highlight w:val="none"/>
          <w:lang w:val="en-US" w:eastAsia="zh-CN"/>
        </w:rPr>
        <w:t>A4年度绩效目标明确性</w:t>
      </w:r>
    </w:p>
    <w:p>
      <w:pPr>
        <w:keepNext w:val="0"/>
        <w:keepLines w:val="0"/>
        <w:pageBreakBefore w:val="0"/>
        <w:widowControl/>
        <w:kinsoku/>
        <w:wordWrap/>
        <w:overflowPunct/>
        <w:topLinePunct w:val="0"/>
        <w:autoSpaceDE/>
        <w:autoSpaceDN/>
        <w:bidi w:val="0"/>
        <w:adjustRightInd w:val="0"/>
        <w:snapToGrid w:val="0"/>
        <w:spacing w:line="570" w:lineRule="atLeast"/>
        <w:ind w:firstLine="667" w:firstLineChars="200"/>
        <w:textAlignment w:val="auto"/>
        <w:rPr>
          <w:rStyle w:val="13"/>
          <w:rFonts w:hint="eastAsia" w:ascii="方正仿宋_GBK" w:hAnsi="方正仿宋_GBK" w:eastAsia="方正仿宋_GBK" w:cs="方正仿宋_GBK"/>
          <w:b/>
          <w:bCs w:val="0"/>
          <w:color w:val="auto"/>
          <w:spacing w:val="6"/>
          <w:kern w:val="0"/>
          <w:sz w:val="32"/>
          <w:szCs w:val="32"/>
          <w:highlight w:val="none"/>
          <w:lang w:val="en-US" w:eastAsia="zh-CN"/>
        </w:rPr>
      </w:pPr>
      <w:r>
        <w:rPr>
          <w:rStyle w:val="13"/>
          <w:rFonts w:hint="eastAsia" w:ascii="方正仿宋_GBK" w:hAnsi="方正仿宋_GBK" w:eastAsia="方正仿宋_GBK" w:cs="方正仿宋_GBK"/>
          <w:b/>
          <w:bCs w:val="0"/>
          <w:color w:val="auto"/>
          <w:spacing w:val="6"/>
          <w:kern w:val="0"/>
          <w:sz w:val="32"/>
          <w:szCs w:val="32"/>
          <w:highlight w:val="none"/>
          <w:lang w:val="en-US" w:eastAsia="zh-CN"/>
        </w:rPr>
        <w:t>1.A41部门绩效目标的合理性、明确性、量化度</w:t>
      </w:r>
    </w:p>
    <w:p>
      <w:pPr>
        <w:keepNext w:val="0"/>
        <w:keepLines w:val="0"/>
        <w:pageBreakBefore w:val="0"/>
        <w:widowControl/>
        <w:kinsoku/>
        <w:wordWrap/>
        <w:overflowPunct/>
        <w:topLinePunct w:val="0"/>
        <w:autoSpaceDE/>
        <w:autoSpaceDN/>
        <w:bidi w:val="0"/>
        <w:adjustRightInd w:val="0"/>
        <w:snapToGrid w:val="0"/>
        <w:spacing w:line="570" w:lineRule="atLeast"/>
        <w:ind w:firstLine="664" w:firstLineChars="200"/>
        <w:textAlignment w:val="auto"/>
        <w:rPr>
          <w:rStyle w:val="13"/>
          <w:rFonts w:hint="eastAsia" w:ascii="方正仿宋_GBK" w:hAnsi="方正仿宋_GBK" w:eastAsia="方正仿宋_GBK" w:cs="方正仿宋_GBK"/>
          <w:b w:val="0"/>
          <w:color w:val="auto"/>
          <w:spacing w:val="6"/>
          <w:kern w:val="0"/>
          <w:sz w:val="32"/>
          <w:szCs w:val="32"/>
          <w:highlight w:val="none"/>
          <w:lang w:val="en-US" w:eastAsia="zh-CN"/>
        </w:rPr>
      </w:pPr>
      <w:r>
        <w:rPr>
          <w:rStyle w:val="13"/>
          <w:rFonts w:hint="eastAsia" w:ascii="方正仿宋_GBK" w:hAnsi="方正仿宋_GBK" w:eastAsia="方正仿宋_GBK" w:cs="方正仿宋_GBK"/>
          <w:b w:val="0"/>
          <w:color w:val="auto"/>
          <w:spacing w:val="6"/>
          <w:kern w:val="0"/>
          <w:sz w:val="32"/>
          <w:szCs w:val="32"/>
          <w:highlight w:val="none"/>
          <w:lang w:val="en-US" w:eastAsia="zh-CN"/>
        </w:rPr>
        <w:t>根据评价组对《部门（单位）整体支出绩效目标表》进行分析后，各指标按照《伽师县市场监督管理局2022年工作计划》及《关于印发〈伽师县市场监督管理局职能配置、内设机构和人员编制规定〉的通知》（伽党办字</w:t>
      </w:r>
      <w:r>
        <w:rPr>
          <w:rStyle w:val="13"/>
          <w:rFonts w:hint="eastAsia" w:ascii="宋体" w:hAnsi="宋体" w:eastAsia="宋体" w:cs="宋体"/>
          <w:b w:val="0"/>
          <w:color w:val="auto"/>
          <w:spacing w:val="6"/>
          <w:kern w:val="0"/>
          <w:sz w:val="32"/>
          <w:szCs w:val="32"/>
          <w:highlight w:val="none"/>
          <w:lang w:val="en-US" w:eastAsia="zh-CN"/>
        </w:rPr>
        <w:t>﹝</w:t>
      </w:r>
      <w:r>
        <w:rPr>
          <w:rStyle w:val="13"/>
          <w:rFonts w:hint="eastAsia" w:ascii="方正仿宋_GBK" w:hAnsi="方正仿宋_GBK" w:eastAsia="方正仿宋_GBK" w:cs="方正仿宋_GBK"/>
          <w:b w:val="0"/>
          <w:color w:val="auto"/>
          <w:spacing w:val="6"/>
          <w:kern w:val="0"/>
          <w:sz w:val="32"/>
          <w:szCs w:val="32"/>
          <w:highlight w:val="none"/>
          <w:lang w:val="en-US" w:eastAsia="zh-CN"/>
        </w:rPr>
        <w:t>2019</w:t>
      </w:r>
      <w:r>
        <w:rPr>
          <w:rStyle w:val="13"/>
          <w:rFonts w:hint="eastAsia" w:ascii="宋体" w:hAnsi="宋体" w:eastAsia="宋体" w:cs="宋体"/>
          <w:b w:val="0"/>
          <w:color w:val="auto"/>
          <w:spacing w:val="6"/>
          <w:kern w:val="0"/>
          <w:sz w:val="32"/>
          <w:szCs w:val="32"/>
          <w:highlight w:val="none"/>
          <w:lang w:val="en-US" w:eastAsia="zh-CN"/>
        </w:rPr>
        <w:t>﹞</w:t>
      </w:r>
      <w:r>
        <w:rPr>
          <w:rStyle w:val="13"/>
          <w:rFonts w:hint="eastAsia" w:ascii="方正仿宋_GBK" w:hAnsi="方正仿宋_GBK" w:eastAsia="方正仿宋_GBK" w:cs="方正仿宋_GBK"/>
          <w:b w:val="0"/>
          <w:color w:val="auto"/>
          <w:spacing w:val="6"/>
          <w:kern w:val="0"/>
          <w:sz w:val="32"/>
          <w:szCs w:val="32"/>
          <w:highlight w:val="none"/>
          <w:lang w:val="en-US" w:eastAsia="zh-CN"/>
        </w:rPr>
        <w:t>41号）设定，绩效目标指标制定依据充分，绩效指标清晰、细化，符合客观实际。综上所述，该项指标得满分4分。</w:t>
      </w:r>
    </w:p>
    <w:p>
      <w:pPr>
        <w:keepNext w:val="0"/>
        <w:keepLines w:val="0"/>
        <w:pageBreakBefore w:val="0"/>
        <w:widowControl/>
        <w:numPr>
          <w:ilvl w:val="0"/>
          <w:numId w:val="0"/>
        </w:numPr>
        <w:kinsoku/>
        <w:wordWrap/>
        <w:overflowPunct/>
        <w:topLinePunct w:val="0"/>
        <w:autoSpaceDE/>
        <w:autoSpaceDN/>
        <w:bidi w:val="0"/>
        <w:adjustRightInd w:val="0"/>
        <w:snapToGrid w:val="0"/>
        <w:spacing w:line="570" w:lineRule="atLeast"/>
        <w:ind w:left="562" w:leftChars="0"/>
        <w:textAlignment w:val="auto"/>
        <w:rPr>
          <w:rStyle w:val="13"/>
          <w:rFonts w:hint="eastAsia" w:ascii="方正仿宋_GBK" w:hAnsi="方正仿宋_GBK" w:eastAsia="方正仿宋_GBK" w:cs="方正仿宋_GBK"/>
          <w:b/>
          <w:bCs w:val="0"/>
          <w:color w:val="auto"/>
          <w:spacing w:val="6"/>
          <w:kern w:val="0"/>
          <w:sz w:val="32"/>
          <w:szCs w:val="32"/>
          <w:highlight w:val="none"/>
          <w:lang w:val="en-US" w:eastAsia="zh-CN"/>
        </w:rPr>
      </w:pPr>
      <w:r>
        <w:rPr>
          <w:rStyle w:val="13"/>
          <w:rFonts w:hint="eastAsia" w:ascii="方正仿宋_GBK" w:hAnsi="方正仿宋_GBK" w:eastAsia="方正仿宋_GBK" w:cs="方正仿宋_GBK"/>
          <w:b/>
          <w:bCs w:val="0"/>
          <w:color w:val="auto"/>
          <w:spacing w:val="6"/>
          <w:kern w:val="0"/>
          <w:sz w:val="32"/>
          <w:szCs w:val="32"/>
          <w:highlight w:val="none"/>
          <w:lang w:val="en-US" w:eastAsia="zh-CN"/>
        </w:rPr>
        <w:t>A5年度部门预算计划科学性</w:t>
      </w:r>
    </w:p>
    <w:p>
      <w:pPr>
        <w:keepNext w:val="0"/>
        <w:keepLines w:val="0"/>
        <w:pageBreakBefore w:val="0"/>
        <w:widowControl/>
        <w:numPr>
          <w:ilvl w:val="0"/>
          <w:numId w:val="0"/>
        </w:numPr>
        <w:kinsoku/>
        <w:wordWrap/>
        <w:overflowPunct/>
        <w:topLinePunct w:val="0"/>
        <w:autoSpaceDE/>
        <w:autoSpaceDN/>
        <w:bidi w:val="0"/>
        <w:adjustRightInd w:val="0"/>
        <w:snapToGrid w:val="0"/>
        <w:spacing w:line="570" w:lineRule="atLeast"/>
        <w:ind w:left="562" w:leftChars="0"/>
        <w:textAlignment w:val="auto"/>
        <w:rPr>
          <w:rStyle w:val="13"/>
          <w:rFonts w:hint="eastAsia" w:ascii="方正仿宋_GBK" w:hAnsi="方正仿宋_GBK" w:eastAsia="方正仿宋_GBK" w:cs="方正仿宋_GBK"/>
          <w:b w:val="0"/>
          <w:color w:val="auto"/>
          <w:spacing w:val="6"/>
          <w:kern w:val="0"/>
          <w:sz w:val="32"/>
          <w:szCs w:val="32"/>
          <w:highlight w:val="none"/>
          <w:lang w:val="en-US" w:eastAsia="zh-CN"/>
        </w:rPr>
      </w:pPr>
      <w:r>
        <w:rPr>
          <w:rStyle w:val="13"/>
          <w:rFonts w:hint="eastAsia" w:ascii="方正仿宋_GBK" w:hAnsi="方正仿宋_GBK" w:eastAsia="方正仿宋_GBK" w:cs="方正仿宋_GBK"/>
          <w:b/>
          <w:bCs w:val="0"/>
          <w:color w:val="auto"/>
          <w:spacing w:val="6"/>
          <w:kern w:val="0"/>
          <w:sz w:val="32"/>
          <w:szCs w:val="32"/>
          <w:highlight w:val="none"/>
          <w:lang w:val="en-US" w:eastAsia="zh-CN"/>
        </w:rPr>
        <w:t>1.A51年度部门预算计划完整合理性</w:t>
      </w:r>
      <w:r>
        <w:rPr>
          <w:rStyle w:val="13"/>
          <w:rFonts w:hint="eastAsia" w:ascii="方正仿宋_GBK" w:hAnsi="方正仿宋_GBK" w:eastAsia="方正仿宋_GBK" w:cs="方正仿宋_GBK"/>
          <w:b w:val="0"/>
          <w:color w:val="auto"/>
          <w:spacing w:val="6"/>
          <w:kern w:val="0"/>
          <w:sz w:val="32"/>
          <w:szCs w:val="32"/>
          <w:highlight w:val="none"/>
          <w:lang w:val="en-US" w:eastAsia="zh-CN"/>
        </w:rPr>
        <w:tab/>
      </w:r>
    </w:p>
    <w:p>
      <w:pPr>
        <w:keepNext w:val="0"/>
        <w:keepLines w:val="0"/>
        <w:pageBreakBefore w:val="0"/>
        <w:widowControl/>
        <w:numPr>
          <w:ilvl w:val="0"/>
          <w:numId w:val="0"/>
        </w:numPr>
        <w:kinsoku/>
        <w:wordWrap/>
        <w:overflowPunct/>
        <w:topLinePunct w:val="0"/>
        <w:autoSpaceDE/>
        <w:autoSpaceDN/>
        <w:bidi w:val="0"/>
        <w:adjustRightInd w:val="0"/>
        <w:snapToGrid w:val="0"/>
        <w:spacing w:line="570" w:lineRule="atLeast"/>
        <w:ind w:firstLine="664" w:firstLineChars="200"/>
        <w:textAlignment w:val="auto"/>
        <w:rPr>
          <w:rStyle w:val="13"/>
          <w:rFonts w:hint="eastAsia" w:ascii="方正仿宋_GBK" w:hAnsi="方正仿宋_GBK" w:eastAsia="方正仿宋_GBK" w:cs="方正仿宋_GBK"/>
          <w:b w:val="0"/>
          <w:color w:val="auto"/>
          <w:spacing w:val="6"/>
          <w:kern w:val="0"/>
          <w:sz w:val="32"/>
          <w:szCs w:val="32"/>
          <w:highlight w:val="none"/>
          <w:lang w:val="en-US" w:eastAsia="zh-CN"/>
        </w:rPr>
      </w:pPr>
      <w:r>
        <w:rPr>
          <w:rStyle w:val="13"/>
          <w:rFonts w:hint="eastAsia" w:ascii="方正仿宋_GBK" w:hAnsi="方正仿宋_GBK" w:eastAsia="方正仿宋_GBK" w:cs="方正仿宋_GBK"/>
          <w:b w:val="0"/>
          <w:color w:val="auto"/>
          <w:spacing w:val="6"/>
          <w:kern w:val="0"/>
          <w:sz w:val="32"/>
          <w:szCs w:val="32"/>
          <w:highlight w:val="none"/>
          <w:lang w:val="en-US" w:eastAsia="zh-CN"/>
        </w:rPr>
        <w:t>市监局专项支出立项依据充分、支出内容与工作计划一一对应，部门预算计划依据充分，重点工作重点保障、遵循轻重缓急按序保障。综上所述，该指标得满分4分。</w:t>
      </w:r>
    </w:p>
    <w:p>
      <w:pPr>
        <w:keepNext w:val="0"/>
        <w:keepLines w:val="0"/>
        <w:pageBreakBefore w:val="0"/>
        <w:widowControl/>
        <w:numPr>
          <w:ilvl w:val="0"/>
          <w:numId w:val="0"/>
        </w:numPr>
        <w:kinsoku/>
        <w:wordWrap/>
        <w:overflowPunct/>
        <w:topLinePunct w:val="0"/>
        <w:autoSpaceDE/>
        <w:autoSpaceDN/>
        <w:bidi w:val="0"/>
        <w:adjustRightInd w:val="0"/>
        <w:snapToGrid w:val="0"/>
        <w:spacing w:line="570" w:lineRule="atLeast"/>
        <w:ind w:left="562" w:leftChars="0"/>
        <w:textAlignment w:val="auto"/>
        <w:rPr>
          <w:rStyle w:val="13"/>
          <w:rFonts w:hint="eastAsia" w:ascii="方正仿宋_GBK" w:hAnsi="方正仿宋_GBK" w:eastAsia="方正仿宋_GBK" w:cs="方正仿宋_GBK"/>
          <w:b/>
          <w:bCs w:val="0"/>
          <w:color w:val="auto"/>
          <w:spacing w:val="6"/>
          <w:kern w:val="0"/>
          <w:sz w:val="32"/>
          <w:szCs w:val="32"/>
          <w:highlight w:val="none"/>
          <w:lang w:val="en-US" w:eastAsia="zh-CN"/>
        </w:rPr>
      </w:pPr>
      <w:r>
        <w:rPr>
          <w:rStyle w:val="13"/>
          <w:rFonts w:hint="eastAsia" w:ascii="方正仿宋_GBK" w:hAnsi="方正仿宋_GBK" w:eastAsia="方正仿宋_GBK" w:cs="方正仿宋_GBK"/>
          <w:b/>
          <w:bCs w:val="0"/>
          <w:color w:val="auto"/>
          <w:spacing w:val="6"/>
          <w:kern w:val="0"/>
          <w:sz w:val="32"/>
          <w:szCs w:val="32"/>
          <w:highlight w:val="none"/>
          <w:lang w:val="en-US" w:eastAsia="zh-CN"/>
        </w:rPr>
        <w:t>2.A52年度部门预算计划规范性</w:t>
      </w:r>
      <w:r>
        <w:rPr>
          <w:rStyle w:val="13"/>
          <w:rFonts w:hint="eastAsia" w:ascii="方正仿宋_GBK" w:hAnsi="方正仿宋_GBK" w:eastAsia="方正仿宋_GBK" w:cs="方正仿宋_GBK"/>
          <w:b/>
          <w:bCs w:val="0"/>
          <w:color w:val="auto"/>
          <w:spacing w:val="6"/>
          <w:kern w:val="0"/>
          <w:sz w:val="32"/>
          <w:szCs w:val="32"/>
          <w:highlight w:val="none"/>
          <w:lang w:val="en-US" w:eastAsia="zh-CN"/>
        </w:rPr>
        <w:tab/>
      </w:r>
    </w:p>
    <w:p>
      <w:pPr>
        <w:keepNext w:val="0"/>
        <w:keepLines w:val="0"/>
        <w:pageBreakBefore w:val="0"/>
        <w:widowControl/>
        <w:numPr>
          <w:ilvl w:val="0"/>
          <w:numId w:val="0"/>
        </w:numPr>
        <w:kinsoku/>
        <w:wordWrap/>
        <w:overflowPunct/>
        <w:topLinePunct w:val="0"/>
        <w:autoSpaceDE/>
        <w:autoSpaceDN/>
        <w:bidi w:val="0"/>
        <w:adjustRightInd w:val="0"/>
        <w:snapToGrid w:val="0"/>
        <w:spacing w:line="570" w:lineRule="atLeast"/>
        <w:ind w:firstLine="664" w:firstLineChars="200"/>
        <w:textAlignment w:val="auto"/>
        <w:rPr>
          <w:rStyle w:val="13"/>
          <w:rFonts w:hint="eastAsia" w:ascii="方正仿宋_GBK" w:hAnsi="方正仿宋_GBK" w:eastAsia="方正仿宋_GBK" w:cs="方正仿宋_GBK"/>
          <w:b w:val="0"/>
          <w:color w:val="auto"/>
          <w:spacing w:val="6"/>
          <w:kern w:val="0"/>
          <w:sz w:val="32"/>
          <w:szCs w:val="32"/>
          <w:highlight w:val="none"/>
          <w:lang w:val="en-US" w:eastAsia="zh-CN"/>
        </w:rPr>
      </w:pPr>
      <w:r>
        <w:rPr>
          <w:rStyle w:val="13"/>
          <w:rFonts w:hint="eastAsia" w:ascii="方正仿宋_GBK" w:hAnsi="方正仿宋_GBK" w:eastAsia="方正仿宋_GBK" w:cs="方正仿宋_GBK"/>
          <w:b w:val="0"/>
          <w:color w:val="auto"/>
          <w:spacing w:val="6"/>
          <w:kern w:val="0"/>
          <w:sz w:val="32"/>
          <w:szCs w:val="32"/>
          <w:highlight w:val="none"/>
          <w:lang w:val="en-US" w:eastAsia="zh-CN"/>
        </w:rPr>
        <w:t>根据《2022年自治区本级部门预算编制管理工作规程》规定，部门预算经自下而上的申报，经过二上二下的预算程序，内容完整，预算申报程序程序规范，审批流程严谨，并经预算主管部门集体决策。综上所述，该指标得满分2分。</w:t>
      </w:r>
      <w:r>
        <w:rPr>
          <w:rStyle w:val="13"/>
          <w:rFonts w:hint="eastAsia" w:ascii="方正仿宋_GBK" w:hAnsi="方正仿宋_GBK" w:eastAsia="方正仿宋_GBK" w:cs="方正仿宋_GBK"/>
          <w:b w:val="0"/>
          <w:color w:val="auto"/>
          <w:spacing w:val="6"/>
          <w:kern w:val="0"/>
          <w:sz w:val="32"/>
          <w:szCs w:val="32"/>
          <w:highlight w:val="none"/>
          <w:lang w:val="en-US" w:eastAsia="zh-CN"/>
        </w:rPr>
        <w:tab/>
      </w:r>
    </w:p>
    <w:p>
      <w:pPr>
        <w:keepNext w:val="0"/>
        <w:keepLines w:val="0"/>
        <w:pageBreakBefore w:val="0"/>
        <w:widowControl/>
        <w:kinsoku/>
        <w:wordWrap/>
        <w:overflowPunct/>
        <w:topLinePunct w:val="0"/>
        <w:autoSpaceDE/>
        <w:autoSpaceDN/>
        <w:bidi w:val="0"/>
        <w:adjustRightInd w:val="0"/>
        <w:snapToGrid w:val="0"/>
        <w:spacing w:line="570" w:lineRule="atLeast"/>
        <w:ind w:firstLine="667" w:firstLineChars="200"/>
        <w:textAlignment w:val="auto"/>
        <w:outlineLvl w:val="1"/>
        <w:rPr>
          <w:rFonts w:hint="eastAsia" w:ascii="方正楷体_GBK" w:hAnsi="方正楷体_GBK" w:eastAsia="方正楷体_GBK" w:cs="方正楷体_GBK"/>
          <w:b/>
          <w:bCs/>
          <w:color w:val="auto"/>
          <w:spacing w:val="6"/>
          <w:sz w:val="32"/>
          <w:szCs w:val="32"/>
          <w:lang w:val="en-US" w:eastAsia="zh-CN"/>
        </w:rPr>
      </w:pPr>
      <w:bookmarkStart w:id="79" w:name="_Toc22582_WPSOffice_Level2"/>
      <w:bookmarkStart w:id="80" w:name="_Toc14017"/>
      <w:r>
        <w:rPr>
          <w:rFonts w:hint="eastAsia" w:ascii="方正楷体_GBK" w:hAnsi="方正楷体_GBK" w:eastAsia="方正楷体_GBK" w:cs="方正楷体_GBK"/>
          <w:b/>
          <w:bCs/>
          <w:color w:val="auto"/>
          <w:spacing w:val="6"/>
          <w:sz w:val="32"/>
          <w:szCs w:val="32"/>
          <w:lang w:val="en-US" w:eastAsia="zh-CN"/>
        </w:rPr>
        <w:t>（二）项目过程情况</w:t>
      </w:r>
      <w:bookmarkEnd w:id="79"/>
      <w:bookmarkEnd w:id="80"/>
    </w:p>
    <w:p>
      <w:pPr>
        <w:pageBreakBefore w:val="0"/>
        <w:kinsoku/>
        <w:wordWrap/>
        <w:topLinePunct w:val="0"/>
        <w:autoSpaceDE/>
        <w:bidi w:val="0"/>
        <w:spacing w:line="570" w:lineRule="exact"/>
        <w:ind w:firstLine="640" w:firstLineChars="200"/>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rPr>
        <w:t>项目过程类指标包括资金管理和组织实施两方面的内容，由</w:t>
      </w:r>
      <w:r>
        <w:rPr>
          <w:rFonts w:hint="eastAsia" w:ascii="方正仿宋_GBK" w:hAnsi="方正仿宋_GBK" w:eastAsia="方正仿宋_GBK" w:cs="方正仿宋_GBK"/>
          <w:color w:val="auto"/>
          <w:sz w:val="32"/>
          <w:szCs w:val="32"/>
          <w:lang w:val="en-US" w:eastAsia="zh-CN"/>
        </w:rPr>
        <w:t>18</w:t>
      </w:r>
      <w:r>
        <w:rPr>
          <w:rFonts w:hint="eastAsia" w:ascii="方正仿宋_GBK" w:hAnsi="方正仿宋_GBK" w:eastAsia="方正仿宋_GBK" w:cs="方正仿宋_GBK"/>
          <w:color w:val="auto"/>
          <w:sz w:val="32"/>
          <w:szCs w:val="32"/>
        </w:rPr>
        <w:t>个三级指标构成，权重分为</w:t>
      </w:r>
      <w:r>
        <w:rPr>
          <w:rFonts w:hint="eastAsia" w:ascii="方正仿宋_GBK" w:hAnsi="方正仿宋_GBK" w:eastAsia="方正仿宋_GBK" w:cs="方正仿宋_GBK"/>
          <w:color w:val="auto"/>
          <w:sz w:val="32"/>
          <w:szCs w:val="32"/>
          <w:lang w:val="en-US" w:eastAsia="zh-CN"/>
        </w:rPr>
        <w:t>30</w:t>
      </w:r>
      <w:r>
        <w:rPr>
          <w:rFonts w:hint="eastAsia" w:ascii="方正仿宋_GBK" w:hAnsi="方正仿宋_GBK" w:eastAsia="方正仿宋_GBK" w:cs="方正仿宋_GBK"/>
          <w:color w:val="auto"/>
          <w:sz w:val="32"/>
          <w:szCs w:val="32"/>
        </w:rPr>
        <w:t>分，实际得分</w:t>
      </w:r>
      <w:r>
        <w:rPr>
          <w:rFonts w:hint="eastAsia" w:ascii="方正仿宋_GBK" w:hAnsi="方正仿宋_GBK" w:eastAsia="方正仿宋_GBK" w:cs="方正仿宋_GBK"/>
          <w:color w:val="auto"/>
          <w:sz w:val="32"/>
          <w:szCs w:val="32"/>
          <w:lang w:val="en-US" w:eastAsia="zh-CN"/>
        </w:rPr>
        <w:t>29</w:t>
      </w:r>
      <w:r>
        <w:rPr>
          <w:rFonts w:hint="eastAsia" w:ascii="方正仿宋_GBK" w:hAnsi="方正仿宋_GBK" w:eastAsia="方正仿宋_GBK" w:cs="方正仿宋_GBK"/>
          <w:color w:val="auto"/>
          <w:sz w:val="32"/>
          <w:szCs w:val="32"/>
        </w:rPr>
        <w:t>分，得分率为</w:t>
      </w:r>
      <w:r>
        <w:rPr>
          <w:rFonts w:hint="eastAsia" w:ascii="方正仿宋_GBK" w:hAnsi="方正仿宋_GBK" w:eastAsia="方正仿宋_GBK" w:cs="方正仿宋_GBK"/>
          <w:color w:val="auto"/>
          <w:sz w:val="32"/>
          <w:szCs w:val="32"/>
          <w:lang w:val="en-US" w:eastAsia="zh-CN"/>
        </w:rPr>
        <w:t>96.67</w:t>
      </w:r>
      <w:r>
        <w:rPr>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highlight w:val="none"/>
        </w:rPr>
        <w:t>各指标业绩值和绩效分值如下表所示</w:t>
      </w:r>
    </w:p>
    <w:p>
      <w:pPr>
        <w:pageBreakBefore w:val="0"/>
        <w:kinsoku/>
        <w:wordWrap/>
        <w:topLinePunct w:val="0"/>
        <w:autoSpaceDE/>
        <w:bidi w:val="0"/>
        <w:spacing w:line="570" w:lineRule="exact"/>
        <w:jc w:val="center"/>
        <w:rPr>
          <w:rFonts w:hint="eastAsia" w:ascii="方正仿宋_GBK" w:hAnsi="方正仿宋_GBK" w:eastAsia="方正仿宋_GBK" w:cs="方正仿宋_GBK"/>
          <w:b/>
          <w:bCs/>
          <w:color w:val="auto"/>
          <w:sz w:val="32"/>
          <w:szCs w:val="32"/>
          <w:highlight w:val="none"/>
        </w:rPr>
      </w:pPr>
      <w:r>
        <w:rPr>
          <w:rFonts w:hint="eastAsia" w:ascii="方正仿宋_GBK" w:hAnsi="方正仿宋_GBK" w:eastAsia="方正仿宋_GBK" w:cs="方正仿宋_GBK"/>
          <w:b/>
          <w:bCs/>
          <w:color w:val="auto"/>
          <w:sz w:val="32"/>
          <w:szCs w:val="32"/>
          <w:highlight w:val="none"/>
        </w:rPr>
        <w:t>表4-2：项目过程类指标及分值</w:t>
      </w:r>
    </w:p>
    <w:p>
      <w:pPr>
        <w:pStyle w:val="30"/>
        <w:rPr>
          <w:rFonts w:hint="eastAsia"/>
        </w:rPr>
      </w:pPr>
    </w:p>
    <w:tbl>
      <w:tblPr>
        <w:tblStyle w:val="11"/>
        <w:tblW w:w="45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1189"/>
        <w:gridCol w:w="1361"/>
        <w:gridCol w:w="972"/>
        <w:gridCol w:w="690"/>
        <w:gridCol w:w="779"/>
        <w:gridCol w:w="740"/>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blHeader/>
        </w:trPr>
        <w:tc>
          <w:tcPr>
            <w:tcW w:w="588" w:type="pct"/>
            <w:shd w:val="clear" w:color="auto" w:fill="D7D7D7"/>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一级指标</w:t>
            </w:r>
          </w:p>
        </w:tc>
        <w:tc>
          <w:tcPr>
            <w:tcW w:w="759" w:type="pct"/>
            <w:shd w:val="clear" w:color="auto" w:fill="D7D7D7"/>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二级指标</w:t>
            </w:r>
          </w:p>
        </w:tc>
        <w:tc>
          <w:tcPr>
            <w:tcW w:w="868" w:type="pct"/>
            <w:shd w:val="clear" w:color="auto" w:fill="D7D7D7"/>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三级指标</w:t>
            </w:r>
          </w:p>
        </w:tc>
        <w:tc>
          <w:tcPr>
            <w:tcW w:w="618" w:type="pct"/>
            <w:shd w:val="clear" w:color="auto" w:fill="D7D7D7"/>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四级指标</w:t>
            </w:r>
          </w:p>
        </w:tc>
        <w:tc>
          <w:tcPr>
            <w:tcW w:w="440" w:type="pct"/>
            <w:shd w:val="clear" w:color="auto" w:fill="D7D7D7"/>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权重</w:t>
            </w:r>
          </w:p>
        </w:tc>
        <w:tc>
          <w:tcPr>
            <w:tcW w:w="497" w:type="pct"/>
            <w:shd w:val="clear" w:color="auto" w:fill="D7D7D7"/>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标杆值</w:t>
            </w:r>
          </w:p>
        </w:tc>
        <w:tc>
          <w:tcPr>
            <w:tcW w:w="472" w:type="pct"/>
            <w:shd w:val="clear" w:color="auto" w:fill="D7D7D7"/>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得分</w:t>
            </w:r>
          </w:p>
        </w:tc>
        <w:tc>
          <w:tcPr>
            <w:tcW w:w="753" w:type="pct"/>
            <w:shd w:val="clear" w:color="auto" w:fill="D7D7D7"/>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588" w:type="pct"/>
            <w:vMerge w:val="restar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B 部门管理（3</w:t>
            </w:r>
            <w:r>
              <w:rPr>
                <w:rFonts w:hint="eastAsia" w:asciiTheme="minorEastAsia" w:hAnsiTheme="minorEastAsia" w:eastAsiaTheme="minorEastAsia" w:cstheme="minorEastAsia"/>
                <w:b/>
                <w:bCs/>
                <w:color w:val="auto"/>
                <w:kern w:val="0"/>
                <w:sz w:val="22"/>
                <w:szCs w:val="22"/>
                <w:lang w:val="en-US" w:eastAsia="zh-CN"/>
              </w:rPr>
              <w:t>0</w:t>
            </w:r>
            <w:r>
              <w:rPr>
                <w:rFonts w:hint="eastAsia" w:asciiTheme="minorEastAsia" w:hAnsiTheme="minorEastAsia" w:eastAsiaTheme="minorEastAsia" w:cstheme="minorEastAsia"/>
                <w:b/>
                <w:bCs/>
                <w:color w:val="auto"/>
                <w:kern w:val="0"/>
                <w:sz w:val="22"/>
                <w:szCs w:val="22"/>
              </w:rPr>
              <w:t>分）</w:t>
            </w:r>
          </w:p>
        </w:tc>
        <w:tc>
          <w:tcPr>
            <w:tcW w:w="759" w:type="pct"/>
            <w:vMerge w:val="restar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B1 部门预算执行管理（1</w:t>
            </w:r>
            <w:r>
              <w:rPr>
                <w:rFonts w:hint="eastAsia" w:asciiTheme="minorEastAsia" w:hAnsiTheme="minorEastAsia" w:eastAsiaTheme="minorEastAsia" w:cstheme="minorEastAsia"/>
                <w:b/>
                <w:bCs/>
                <w:color w:val="auto"/>
                <w:kern w:val="0"/>
                <w:sz w:val="22"/>
                <w:szCs w:val="22"/>
                <w:lang w:val="en-US" w:eastAsia="zh-CN"/>
              </w:rPr>
              <w:t>0</w:t>
            </w:r>
            <w:r>
              <w:rPr>
                <w:rFonts w:hint="eastAsia" w:asciiTheme="minorEastAsia" w:hAnsiTheme="minorEastAsia" w:eastAsiaTheme="minorEastAsia" w:cstheme="minorEastAsia"/>
                <w:b/>
                <w:bCs/>
                <w:color w:val="auto"/>
                <w:kern w:val="0"/>
                <w:sz w:val="22"/>
                <w:szCs w:val="22"/>
              </w:rPr>
              <w:t>分）</w:t>
            </w:r>
          </w:p>
        </w:tc>
        <w:tc>
          <w:tcPr>
            <w:tcW w:w="868"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B11 基本支出预算执行率</w:t>
            </w:r>
          </w:p>
        </w:tc>
        <w:tc>
          <w:tcPr>
            <w:tcW w:w="618"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w:t>
            </w:r>
          </w:p>
        </w:tc>
        <w:tc>
          <w:tcPr>
            <w:tcW w:w="440"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2</w:t>
            </w:r>
          </w:p>
        </w:tc>
        <w:tc>
          <w:tcPr>
            <w:tcW w:w="497"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c>
          <w:tcPr>
            <w:tcW w:w="472" w:type="pct"/>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2</w:t>
            </w:r>
          </w:p>
        </w:tc>
        <w:tc>
          <w:tcPr>
            <w:tcW w:w="753"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lang w:val="en-US" w:eastAsia="zh-CN"/>
              </w:rPr>
              <w:t>100</w:t>
            </w:r>
            <w:r>
              <w:rPr>
                <w:rFonts w:hint="eastAsia" w:asciiTheme="minorEastAsia" w:hAnsiTheme="minorEastAsia" w:eastAsiaTheme="minorEastAsia" w:cstheme="minorEastAsia"/>
                <w:b/>
                <w:bCs/>
                <w:color w:val="auto"/>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588"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759"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868"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B12 项目支出预算执行率</w:t>
            </w:r>
          </w:p>
        </w:tc>
        <w:tc>
          <w:tcPr>
            <w:tcW w:w="618"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w:t>
            </w:r>
          </w:p>
        </w:tc>
        <w:tc>
          <w:tcPr>
            <w:tcW w:w="440"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lang w:val="en-US" w:eastAsia="zh-CN"/>
              </w:rPr>
              <w:t>2</w:t>
            </w:r>
          </w:p>
        </w:tc>
        <w:tc>
          <w:tcPr>
            <w:tcW w:w="497"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c>
          <w:tcPr>
            <w:tcW w:w="472" w:type="pct"/>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2</w:t>
            </w:r>
          </w:p>
        </w:tc>
        <w:tc>
          <w:tcPr>
            <w:tcW w:w="753"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588"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759"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868"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B13 三公经费控制情况</w:t>
            </w:r>
          </w:p>
        </w:tc>
        <w:tc>
          <w:tcPr>
            <w:tcW w:w="618"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w:t>
            </w:r>
          </w:p>
        </w:tc>
        <w:tc>
          <w:tcPr>
            <w:tcW w:w="440" w:type="pct"/>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1</w:t>
            </w:r>
          </w:p>
        </w:tc>
        <w:tc>
          <w:tcPr>
            <w:tcW w:w="497"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rPr>
              <w:t>＜</w:t>
            </w:r>
            <w:r>
              <w:rPr>
                <w:rFonts w:hint="eastAsia" w:asciiTheme="minorEastAsia" w:hAnsiTheme="minorEastAsia" w:eastAsiaTheme="minorEastAsia" w:cstheme="minorEastAsia"/>
                <w:b/>
                <w:bCs/>
                <w:color w:val="auto"/>
                <w:kern w:val="0"/>
                <w:sz w:val="22"/>
                <w:szCs w:val="22"/>
                <w:lang w:val="en-US" w:eastAsia="zh-CN"/>
              </w:rPr>
              <w:t>16.57万元</w:t>
            </w:r>
          </w:p>
        </w:tc>
        <w:tc>
          <w:tcPr>
            <w:tcW w:w="472" w:type="pct"/>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1</w:t>
            </w:r>
          </w:p>
        </w:tc>
        <w:tc>
          <w:tcPr>
            <w:tcW w:w="753"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588"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759"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868"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B14 预算调整率</w:t>
            </w:r>
          </w:p>
        </w:tc>
        <w:tc>
          <w:tcPr>
            <w:tcW w:w="618"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w:t>
            </w:r>
          </w:p>
        </w:tc>
        <w:tc>
          <w:tcPr>
            <w:tcW w:w="440" w:type="pct"/>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1</w:t>
            </w:r>
          </w:p>
        </w:tc>
        <w:tc>
          <w:tcPr>
            <w:tcW w:w="497"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±10%以内</w:t>
            </w:r>
          </w:p>
        </w:tc>
        <w:tc>
          <w:tcPr>
            <w:tcW w:w="472"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0</w:t>
            </w:r>
          </w:p>
        </w:tc>
        <w:tc>
          <w:tcPr>
            <w:tcW w:w="753"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8"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759"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868"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B15 资金使用合规性</w:t>
            </w:r>
          </w:p>
        </w:tc>
        <w:tc>
          <w:tcPr>
            <w:tcW w:w="618"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w:t>
            </w:r>
          </w:p>
        </w:tc>
        <w:tc>
          <w:tcPr>
            <w:tcW w:w="440"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2</w:t>
            </w:r>
          </w:p>
        </w:tc>
        <w:tc>
          <w:tcPr>
            <w:tcW w:w="497"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合规</w:t>
            </w:r>
          </w:p>
        </w:tc>
        <w:tc>
          <w:tcPr>
            <w:tcW w:w="472"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2</w:t>
            </w:r>
          </w:p>
        </w:tc>
        <w:tc>
          <w:tcPr>
            <w:tcW w:w="753"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8"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759"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868"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B16 存量资金控制情况</w:t>
            </w:r>
          </w:p>
        </w:tc>
        <w:tc>
          <w:tcPr>
            <w:tcW w:w="618"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w:t>
            </w:r>
          </w:p>
        </w:tc>
        <w:tc>
          <w:tcPr>
            <w:tcW w:w="440"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2</w:t>
            </w:r>
          </w:p>
        </w:tc>
        <w:tc>
          <w:tcPr>
            <w:tcW w:w="497"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可控</w:t>
            </w:r>
          </w:p>
        </w:tc>
        <w:tc>
          <w:tcPr>
            <w:tcW w:w="472"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2</w:t>
            </w:r>
          </w:p>
        </w:tc>
        <w:tc>
          <w:tcPr>
            <w:tcW w:w="753"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trPr>
        <w:tc>
          <w:tcPr>
            <w:tcW w:w="588" w:type="pct"/>
            <w:vMerge w:val="restar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B 部门管理（3</w:t>
            </w:r>
            <w:r>
              <w:rPr>
                <w:rFonts w:hint="eastAsia" w:asciiTheme="minorEastAsia" w:hAnsiTheme="minorEastAsia" w:eastAsiaTheme="minorEastAsia" w:cstheme="minorEastAsia"/>
                <w:b/>
                <w:bCs/>
                <w:color w:val="auto"/>
                <w:kern w:val="0"/>
                <w:sz w:val="22"/>
                <w:szCs w:val="22"/>
                <w:lang w:val="en-US" w:eastAsia="zh-CN"/>
              </w:rPr>
              <w:t>0</w:t>
            </w:r>
            <w:r>
              <w:rPr>
                <w:rFonts w:hint="eastAsia" w:asciiTheme="minorEastAsia" w:hAnsiTheme="minorEastAsia" w:eastAsiaTheme="minorEastAsia" w:cstheme="minorEastAsia"/>
                <w:b/>
                <w:bCs/>
                <w:color w:val="auto"/>
                <w:kern w:val="0"/>
                <w:sz w:val="22"/>
                <w:szCs w:val="22"/>
              </w:rPr>
              <w:t>分）</w:t>
            </w:r>
          </w:p>
        </w:tc>
        <w:tc>
          <w:tcPr>
            <w:tcW w:w="759" w:type="pct"/>
            <w:vMerge w:val="restar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B2内部制度管理（2</w:t>
            </w:r>
            <w:r>
              <w:rPr>
                <w:rFonts w:hint="eastAsia" w:asciiTheme="minorEastAsia" w:hAnsiTheme="minorEastAsia" w:eastAsiaTheme="minorEastAsia" w:cstheme="minorEastAsia"/>
                <w:b/>
                <w:bCs/>
                <w:color w:val="auto"/>
                <w:kern w:val="0"/>
                <w:sz w:val="22"/>
                <w:szCs w:val="22"/>
                <w:lang w:val="en-US" w:eastAsia="zh-CN"/>
              </w:rPr>
              <w:t>0</w:t>
            </w:r>
            <w:r>
              <w:rPr>
                <w:rFonts w:hint="eastAsia" w:asciiTheme="minorEastAsia" w:hAnsiTheme="minorEastAsia" w:eastAsiaTheme="minorEastAsia" w:cstheme="minorEastAsia"/>
                <w:b/>
                <w:bCs/>
                <w:color w:val="auto"/>
                <w:kern w:val="0"/>
                <w:sz w:val="22"/>
                <w:szCs w:val="22"/>
              </w:rPr>
              <w:t>分）</w:t>
            </w:r>
          </w:p>
        </w:tc>
        <w:tc>
          <w:tcPr>
            <w:tcW w:w="868" w:type="pct"/>
            <w:vMerge w:val="restar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B21 项目管理制度</w:t>
            </w:r>
          </w:p>
        </w:tc>
        <w:tc>
          <w:tcPr>
            <w:tcW w:w="618"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B211 项目管理制度健全性</w:t>
            </w:r>
          </w:p>
        </w:tc>
        <w:tc>
          <w:tcPr>
            <w:tcW w:w="440"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2</w:t>
            </w:r>
          </w:p>
        </w:tc>
        <w:tc>
          <w:tcPr>
            <w:tcW w:w="497"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健全</w:t>
            </w:r>
          </w:p>
        </w:tc>
        <w:tc>
          <w:tcPr>
            <w:tcW w:w="472"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2</w:t>
            </w:r>
          </w:p>
        </w:tc>
        <w:tc>
          <w:tcPr>
            <w:tcW w:w="753"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588"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759"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868"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618"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B212 项目管理制度执行有效性</w:t>
            </w:r>
          </w:p>
        </w:tc>
        <w:tc>
          <w:tcPr>
            <w:tcW w:w="440"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2</w:t>
            </w:r>
          </w:p>
        </w:tc>
        <w:tc>
          <w:tcPr>
            <w:tcW w:w="497"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有效</w:t>
            </w:r>
          </w:p>
        </w:tc>
        <w:tc>
          <w:tcPr>
            <w:tcW w:w="472"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2</w:t>
            </w:r>
          </w:p>
        </w:tc>
        <w:tc>
          <w:tcPr>
            <w:tcW w:w="753"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588"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759"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868" w:type="pct"/>
            <w:vMerge w:val="restar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B22 财务管理制度</w:t>
            </w:r>
          </w:p>
        </w:tc>
        <w:tc>
          <w:tcPr>
            <w:tcW w:w="618"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B221 财务制度健全性</w:t>
            </w:r>
          </w:p>
        </w:tc>
        <w:tc>
          <w:tcPr>
            <w:tcW w:w="440"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2</w:t>
            </w:r>
          </w:p>
        </w:tc>
        <w:tc>
          <w:tcPr>
            <w:tcW w:w="497"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健全</w:t>
            </w:r>
          </w:p>
        </w:tc>
        <w:tc>
          <w:tcPr>
            <w:tcW w:w="472"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2</w:t>
            </w:r>
          </w:p>
        </w:tc>
        <w:tc>
          <w:tcPr>
            <w:tcW w:w="753"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588"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759"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868"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618"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B222 财务制度执行有效性</w:t>
            </w:r>
          </w:p>
        </w:tc>
        <w:tc>
          <w:tcPr>
            <w:tcW w:w="440"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2</w:t>
            </w:r>
          </w:p>
        </w:tc>
        <w:tc>
          <w:tcPr>
            <w:tcW w:w="497"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有效</w:t>
            </w:r>
          </w:p>
        </w:tc>
        <w:tc>
          <w:tcPr>
            <w:tcW w:w="472"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2</w:t>
            </w:r>
          </w:p>
        </w:tc>
        <w:tc>
          <w:tcPr>
            <w:tcW w:w="753"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trPr>
        <w:tc>
          <w:tcPr>
            <w:tcW w:w="588"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759"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868" w:type="pct"/>
            <w:vMerge w:val="restar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B23 内部控制制度</w:t>
            </w:r>
          </w:p>
        </w:tc>
        <w:tc>
          <w:tcPr>
            <w:tcW w:w="618"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B231 内部控制制度健全性</w:t>
            </w:r>
          </w:p>
        </w:tc>
        <w:tc>
          <w:tcPr>
            <w:tcW w:w="440"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2</w:t>
            </w:r>
          </w:p>
        </w:tc>
        <w:tc>
          <w:tcPr>
            <w:tcW w:w="497"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健全</w:t>
            </w:r>
          </w:p>
        </w:tc>
        <w:tc>
          <w:tcPr>
            <w:tcW w:w="472"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2</w:t>
            </w:r>
          </w:p>
        </w:tc>
        <w:tc>
          <w:tcPr>
            <w:tcW w:w="753"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588"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759"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868"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618"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B232 内部控制制度执行有效性</w:t>
            </w:r>
          </w:p>
        </w:tc>
        <w:tc>
          <w:tcPr>
            <w:tcW w:w="440"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w:t>
            </w:r>
          </w:p>
        </w:tc>
        <w:tc>
          <w:tcPr>
            <w:tcW w:w="497"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有效</w:t>
            </w:r>
          </w:p>
        </w:tc>
        <w:tc>
          <w:tcPr>
            <w:tcW w:w="472"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w:t>
            </w:r>
          </w:p>
        </w:tc>
        <w:tc>
          <w:tcPr>
            <w:tcW w:w="753"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588"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759"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868" w:type="pct"/>
            <w:vMerge w:val="restar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B24 资产管理制度</w:t>
            </w:r>
          </w:p>
        </w:tc>
        <w:tc>
          <w:tcPr>
            <w:tcW w:w="618"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B241 资产管理制度健全性</w:t>
            </w:r>
          </w:p>
        </w:tc>
        <w:tc>
          <w:tcPr>
            <w:tcW w:w="440"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w:t>
            </w:r>
          </w:p>
        </w:tc>
        <w:tc>
          <w:tcPr>
            <w:tcW w:w="497"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健全</w:t>
            </w:r>
          </w:p>
        </w:tc>
        <w:tc>
          <w:tcPr>
            <w:tcW w:w="472"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w:t>
            </w:r>
          </w:p>
        </w:tc>
        <w:tc>
          <w:tcPr>
            <w:tcW w:w="753"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588"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759"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868"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618"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B242 固定资产利用率</w:t>
            </w:r>
          </w:p>
        </w:tc>
        <w:tc>
          <w:tcPr>
            <w:tcW w:w="440"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2</w:t>
            </w:r>
          </w:p>
        </w:tc>
        <w:tc>
          <w:tcPr>
            <w:tcW w:w="497"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≥95%</w:t>
            </w:r>
          </w:p>
        </w:tc>
        <w:tc>
          <w:tcPr>
            <w:tcW w:w="472"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2</w:t>
            </w:r>
          </w:p>
        </w:tc>
        <w:tc>
          <w:tcPr>
            <w:tcW w:w="753"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588"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759"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868"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B25 政府采购制度</w:t>
            </w:r>
          </w:p>
        </w:tc>
        <w:tc>
          <w:tcPr>
            <w:tcW w:w="618"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B251 政府采购制度执行有效性</w:t>
            </w:r>
          </w:p>
        </w:tc>
        <w:tc>
          <w:tcPr>
            <w:tcW w:w="440"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2</w:t>
            </w:r>
          </w:p>
        </w:tc>
        <w:tc>
          <w:tcPr>
            <w:tcW w:w="497"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有效</w:t>
            </w:r>
          </w:p>
        </w:tc>
        <w:tc>
          <w:tcPr>
            <w:tcW w:w="472"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2</w:t>
            </w:r>
          </w:p>
        </w:tc>
        <w:tc>
          <w:tcPr>
            <w:tcW w:w="753"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trPr>
        <w:tc>
          <w:tcPr>
            <w:tcW w:w="588"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759"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868"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B26 预算绩效管理制度</w:t>
            </w:r>
          </w:p>
        </w:tc>
        <w:tc>
          <w:tcPr>
            <w:tcW w:w="618"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B261 预算绩效管理制度执健全性</w:t>
            </w:r>
          </w:p>
        </w:tc>
        <w:tc>
          <w:tcPr>
            <w:tcW w:w="440"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2</w:t>
            </w:r>
          </w:p>
        </w:tc>
        <w:tc>
          <w:tcPr>
            <w:tcW w:w="497"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健全</w:t>
            </w:r>
          </w:p>
        </w:tc>
        <w:tc>
          <w:tcPr>
            <w:tcW w:w="472"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2</w:t>
            </w:r>
          </w:p>
        </w:tc>
        <w:tc>
          <w:tcPr>
            <w:tcW w:w="753"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588"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759"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868"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B27 档案管理制度</w:t>
            </w:r>
          </w:p>
        </w:tc>
        <w:tc>
          <w:tcPr>
            <w:tcW w:w="618"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B271 档案管理制度执行有效性</w:t>
            </w:r>
          </w:p>
        </w:tc>
        <w:tc>
          <w:tcPr>
            <w:tcW w:w="440" w:type="pct"/>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1</w:t>
            </w:r>
          </w:p>
        </w:tc>
        <w:tc>
          <w:tcPr>
            <w:tcW w:w="497"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有效</w:t>
            </w:r>
          </w:p>
        </w:tc>
        <w:tc>
          <w:tcPr>
            <w:tcW w:w="472" w:type="pct"/>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1</w:t>
            </w:r>
          </w:p>
        </w:tc>
        <w:tc>
          <w:tcPr>
            <w:tcW w:w="753"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588"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759" w:type="pct"/>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868"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B28 信息公开制度</w:t>
            </w:r>
          </w:p>
        </w:tc>
        <w:tc>
          <w:tcPr>
            <w:tcW w:w="618"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B281 信息公开制度执行有效性</w:t>
            </w:r>
          </w:p>
        </w:tc>
        <w:tc>
          <w:tcPr>
            <w:tcW w:w="440" w:type="pct"/>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1</w:t>
            </w:r>
          </w:p>
        </w:tc>
        <w:tc>
          <w:tcPr>
            <w:tcW w:w="497"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有效</w:t>
            </w:r>
          </w:p>
        </w:tc>
        <w:tc>
          <w:tcPr>
            <w:tcW w:w="472" w:type="pct"/>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1</w:t>
            </w:r>
          </w:p>
        </w:tc>
        <w:tc>
          <w:tcPr>
            <w:tcW w:w="753" w:type="pc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2835" w:type="pct"/>
            <w:gridSpan w:val="4"/>
            <w:vAlign w:val="center"/>
          </w:tcPr>
          <w:p>
            <w:pPr>
              <w:widowControl/>
              <w:jc w:val="center"/>
              <w:rPr>
                <w:rFonts w:hint="eastAsia"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lang w:val="en-US" w:eastAsia="zh-CN"/>
              </w:rPr>
              <w:t>合计</w:t>
            </w:r>
          </w:p>
        </w:tc>
        <w:tc>
          <w:tcPr>
            <w:tcW w:w="440"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lang w:val="en-US" w:eastAsia="zh-CN"/>
              </w:rPr>
              <w:t>30</w:t>
            </w:r>
          </w:p>
        </w:tc>
        <w:tc>
          <w:tcPr>
            <w:tcW w:w="497" w:type="pct"/>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472"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lang w:val="en-US" w:eastAsia="zh-CN"/>
              </w:rPr>
              <w:t>29</w:t>
            </w:r>
          </w:p>
        </w:tc>
        <w:tc>
          <w:tcPr>
            <w:tcW w:w="753" w:type="pct"/>
            <w:vAlign w:val="center"/>
          </w:tcPr>
          <w:p>
            <w:pPr>
              <w:widowControl/>
              <w:jc w:val="both"/>
              <w:rPr>
                <w:rFonts w:hint="eastAsia"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lang w:val="en-US" w:eastAsia="zh-CN"/>
              </w:rPr>
              <w:t>96.67%</w:t>
            </w:r>
          </w:p>
        </w:tc>
      </w:tr>
    </w:tbl>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43" w:firstLineChars="200"/>
        <w:jc w:val="both"/>
        <w:textAlignment w:val="auto"/>
        <w:outlineLvl w:val="2"/>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b/>
          <w:bCs/>
          <w:color w:val="auto"/>
          <w:kern w:val="0"/>
          <w:sz w:val="32"/>
          <w:szCs w:val="32"/>
        </w:rPr>
        <w:t>B</w:t>
      </w:r>
      <w:r>
        <w:rPr>
          <w:rFonts w:hint="eastAsia" w:ascii="方正仿宋_GBK" w:hAnsi="方正仿宋_GBK" w:eastAsia="方正仿宋_GBK" w:cs="方正仿宋_GBK"/>
          <w:b/>
          <w:bCs/>
          <w:color w:val="auto"/>
          <w:kern w:val="0"/>
          <w:sz w:val="32"/>
          <w:szCs w:val="32"/>
          <w:lang w:val="en-US" w:eastAsia="zh-CN"/>
        </w:rPr>
        <w:t>1</w:t>
      </w:r>
      <w:r>
        <w:rPr>
          <w:rFonts w:hint="eastAsia" w:ascii="方正仿宋_GBK" w:hAnsi="方正仿宋_GBK" w:eastAsia="方正仿宋_GBK" w:cs="方正仿宋_GBK"/>
          <w:b/>
          <w:bCs/>
          <w:color w:val="auto"/>
          <w:kern w:val="0"/>
          <w:sz w:val="32"/>
          <w:szCs w:val="32"/>
        </w:rPr>
        <w:t>部门预算执行管理</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7" w:firstLineChars="200"/>
        <w:jc w:val="both"/>
        <w:textAlignment w:val="auto"/>
        <w:outlineLvl w:val="2"/>
        <w:rPr>
          <w:rStyle w:val="13"/>
          <w:rFonts w:hint="eastAsia" w:ascii="方正仿宋_GBK" w:hAnsi="方正仿宋_GBK" w:eastAsia="方正仿宋_GBK" w:cs="方正仿宋_GBK"/>
          <w:b/>
          <w:bCs w:val="0"/>
          <w:color w:val="333333"/>
          <w:spacing w:val="6"/>
          <w:sz w:val="32"/>
          <w:szCs w:val="32"/>
          <w:highlight w:val="none"/>
          <w:lang w:val="en-US" w:eastAsia="zh-CN"/>
        </w:rPr>
      </w:pPr>
      <w:r>
        <w:rPr>
          <w:rStyle w:val="13"/>
          <w:rFonts w:hint="eastAsia" w:ascii="方正仿宋_GBK" w:hAnsi="方正仿宋_GBK" w:eastAsia="方正仿宋_GBK" w:cs="方正仿宋_GBK"/>
          <w:b/>
          <w:bCs w:val="0"/>
          <w:color w:val="333333"/>
          <w:spacing w:val="6"/>
          <w:sz w:val="32"/>
          <w:szCs w:val="32"/>
          <w:highlight w:val="none"/>
          <w:lang w:val="en-US" w:eastAsia="zh-CN"/>
        </w:rPr>
        <w:t>1.B11基本支出预算执行率</w:t>
      </w:r>
      <w:r>
        <w:rPr>
          <w:rStyle w:val="13"/>
          <w:rFonts w:hint="eastAsia" w:ascii="方正仿宋_GBK" w:hAnsi="方正仿宋_GBK" w:eastAsia="方正仿宋_GBK" w:cs="方正仿宋_GBK"/>
          <w:b/>
          <w:bCs w:val="0"/>
          <w:color w:val="333333"/>
          <w:spacing w:val="6"/>
          <w:sz w:val="32"/>
          <w:szCs w:val="32"/>
          <w:highlight w:val="none"/>
          <w:lang w:val="en-US" w:eastAsia="zh-CN"/>
        </w:rPr>
        <w:tab/>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4" w:firstLineChars="200"/>
        <w:jc w:val="both"/>
        <w:textAlignment w:val="auto"/>
        <w:outlineLvl w:val="2"/>
        <w:rPr>
          <w:rStyle w:val="13"/>
          <w:rFonts w:hint="eastAsia" w:ascii="方正仿宋_GBK" w:hAnsi="方正仿宋_GBK" w:eastAsia="方正仿宋_GBK" w:cs="方正仿宋_GBK"/>
          <w:b w:val="0"/>
          <w:bCs/>
          <w:color w:val="333333"/>
          <w:spacing w:val="6"/>
          <w:sz w:val="32"/>
          <w:szCs w:val="32"/>
          <w:highlight w:val="none"/>
          <w:lang w:val="en-US" w:eastAsia="zh-CN"/>
        </w:rPr>
      </w:pPr>
      <w:r>
        <w:rPr>
          <w:rStyle w:val="13"/>
          <w:rFonts w:hint="eastAsia" w:ascii="方正仿宋_GBK" w:hAnsi="方正仿宋_GBK" w:eastAsia="方正仿宋_GBK" w:cs="方正仿宋_GBK"/>
          <w:b w:val="0"/>
          <w:bCs/>
          <w:color w:val="333333"/>
          <w:spacing w:val="6"/>
          <w:sz w:val="32"/>
          <w:szCs w:val="32"/>
          <w:highlight w:val="none"/>
          <w:lang w:val="en-US" w:eastAsia="zh-CN"/>
        </w:rPr>
        <w:t>根据市监局2022年收入支出决算表，调整后基本支出预算数为833.33万元，实际基本支出833.33万元，其中人员经费支出804.4万元，公用经费支出28.93万元，基本支出预算执行率100%，综上所述，该指标得满分2分。</w:t>
      </w:r>
    </w:p>
    <w:p>
      <w:pPr>
        <w:pStyle w:val="17"/>
        <w:keepNext w:val="0"/>
        <w:keepLines w:val="0"/>
        <w:pageBreakBefore w:val="0"/>
        <w:widowControl w:val="0"/>
        <w:numPr>
          <w:ilvl w:val="0"/>
          <w:numId w:val="0"/>
        </w:numPr>
        <w:kinsoku/>
        <w:wordWrap/>
        <w:overflowPunct/>
        <w:topLinePunct w:val="0"/>
        <w:autoSpaceDE/>
        <w:autoSpaceDN/>
        <w:bidi w:val="0"/>
        <w:adjustRightInd/>
        <w:snapToGrid w:val="0"/>
        <w:spacing w:line="570" w:lineRule="atLeast"/>
        <w:ind w:firstLine="667" w:firstLineChars="200"/>
        <w:jc w:val="both"/>
        <w:textAlignment w:val="auto"/>
        <w:outlineLvl w:val="2"/>
        <w:rPr>
          <w:rStyle w:val="13"/>
          <w:rFonts w:hint="eastAsia" w:ascii="方正仿宋_GBK" w:hAnsi="方正仿宋_GBK" w:eastAsia="方正仿宋_GBK" w:cs="方正仿宋_GBK"/>
          <w:b w:val="0"/>
          <w:bCs/>
          <w:color w:val="333333"/>
          <w:spacing w:val="6"/>
          <w:sz w:val="32"/>
          <w:szCs w:val="32"/>
          <w:highlight w:val="none"/>
          <w:lang w:val="en-US" w:eastAsia="zh-CN"/>
        </w:rPr>
      </w:pPr>
      <w:r>
        <w:rPr>
          <w:rStyle w:val="13"/>
          <w:rFonts w:hint="eastAsia" w:ascii="方正仿宋_GBK" w:hAnsi="方正仿宋_GBK" w:eastAsia="方正仿宋_GBK" w:cs="方正仿宋_GBK"/>
          <w:b/>
          <w:bCs w:val="0"/>
          <w:color w:val="333333"/>
          <w:spacing w:val="6"/>
          <w:sz w:val="32"/>
          <w:szCs w:val="32"/>
          <w:highlight w:val="none"/>
          <w:lang w:val="en-US" w:eastAsia="zh-CN"/>
        </w:rPr>
        <w:t>2.B12项目支出预算执行率</w:t>
      </w:r>
      <w:r>
        <w:rPr>
          <w:rStyle w:val="13"/>
          <w:rFonts w:hint="eastAsia" w:ascii="方正仿宋_GBK" w:hAnsi="方正仿宋_GBK" w:eastAsia="方正仿宋_GBK" w:cs="方正仿宋_GBK"/>
          <w:b w:val="0"/>
          <w:bCs/>
          <w:color w:val="333333"/>
          <w:spacing w:val="6"/>
          <w:sz w:val="32"/>
          <w:szCs w:val="32"/>
          <w:highlight w:val="none"/>
          <w:lang w:val="en-US" w:eastAsia="zh-CN"/>
        </w:rPr>
        <w:tab/>
      </w:r>
    </w:p>
    <w:p>
      <w:pPr>
        <w:pStyle w:val="17"/>
        <w:keepNext w:val="0"/>
        <w:keepLines w:val="0"/>
        <w:pageBreakBefore w:val="0"/>
        <w:widowControl w:val="0"/>
        <w:numPr>
          <w:ilvl w:val="0"/>
          <w:numId w:val="0"/>
        </w:numPr>
        <w:kinsoku/>
        <w:wordWrap/>
        <w:overflowPunct/>
        <w:topLinePunct w:val="0"/>
        <w:autoSpaceDE/>
        <w:autoSpaceDN/>
        <w:bidi w:val="0"/>
        <w:adjustRightInd/>
        <w:snapToGrid w:val="0"/>
        <w:spacing w:line="570" w:lineRule="atLeast"/>
        <w:ind w:firstLine="664" w:firstLineChars="200"/>
        <w:jc w:val="both"/>
        <w:textAlignment w:val="auto"/>
        <w:outlineLvl w:val="2"/>
        <w:rPr>
          <w:rStyle w:val="13"/>
          <w:rFonts w:hint="eastAsia" w:ascii="方正仿宋_GBK" w:hAnsi="方正仿宋_GBK" w:eastAsia="方正仿宋_GBK" w:cs="方正仿宋_GBK"/>
          <w:b w:val="0"/>
          <w:bCs/>
          <w:color w:val="333333"/>
          <w:spacing w:val="6"/>
          <w:sz w:val="32"/>
          <w:szCs w:val="32"/>
          <w:highlight w:val="none"/>
          <w:lang w:val="en-US" w:eastAsia="zh-CN"/>
        </w:rPr>
      </w:pPr>
      <w:r>
        <w:rPr>
          <w:rStyle w:val="13"/>
          <w:rFonts w:hint="eastAsia" w:ascii="方正仿宋_GBK" w:hAnsi="方正仿宋_GBK" w:eastAsia="方正仿宋_GBK" w:cs="方正仿宋_GBK"/>
          <w:b w:val="0"/>
          <w:bCs/>
          <w:color w:val="333333"/>
          <w:spacing w:val="6"/>
          <w:sz w:val="32"/>
          <w:szCs w:val="32"/>
          <w:highlight w:val="none"/>
          <w:lang w:val="en-US" w:eastAsia="zh-CN"/>
        </w:rPr>
        <w:t>市监局2022年调整后项目预算数为119.1万元，实际支出数为119.1万元，项目资金执行率为100%。根据部门重点项目情况统计表，重点项目完成率为100%。综上所述，该指标得满分2分。</w:t>
      </w:r>
    </w:p>
    <w:p>
      <w:pPr>
        <w:pStyle w:val="17"/>
        <w:keepNext w:val="0"/>
        <w:keepLines w:val="0"/>
        <w:pageBreakBefore w:val="0"/>
        <w:widowControl w:val="0"/>
        <w:numPr>
          <w:ilvl w:val="0"/>
          <w:numId w:val="0"/>
        </w:numPr>
        <w:kinsoku/>
        <w:wordWrap/>
        <w:overflowPunct/>
        <w:topLinePunct w:val="0"/>
        <w:autoSpaceDE/>
        <w:autoSpaceDN/>
        <w:bidi w:val="0"/>
        <w:adjustRightInd/>
        <w:snapToGrid w:val="0"/>
        <w:spacing w:line="570" w:lineRule="atLeast"/>
        <w:ind w:leftChars="200" w:firstLine="333" w:firstLineChars="100"/>
        <w:jc w:val="both"/>
        <w:textAlignment w:val="auto"/>
        <w:outlineLvl w:val="2"/>
        <w:rPr>
          <w:rStyle w:val="13"/>
          <w:rFonts w:hint="eastAsia" w:ascii="方正仿宋_GBK" w:hAnsi="方正仿宋_GBK" w:eastAsia="方正仿宋_GBK" w:cs="方正仿宋_GBK"/>
          <w:b/>
          <w:bCs w:val="0"/>
          <w:color w:val="333333"/>
          <w:spacing w:val="6"/>
          <w:sz w:val="32"/>
          <w:szCs w:val="32"/>
          <w:highlight w:val="none"/>
          <w:lang w:val="en-US" w:eastAsia="zh-CN"/>
        </w:rPr>
      </w:pPr>
      <w:r>
        <w:rPr>
          <w:rStyle w:val="13"/>
          <w:rFonts w:hint="eastAsia" w:ascii="方正仿宋_GBK" w:hAnsi="方正仿宋_GBK" w:eastAsia="方正仿宋_GBK" w:cs="方正仿宋_GBK"/>
          <w:b/>
          <w:bCs w:val="0"/>
          <w:color w:val="333333"/>
          <w:spacing w:val="6"/>
          <w:sz w:val="32"/>
          <w:szCs w:val="32"/>
          <w:highlight w:val="none"/>
          <w:lang w:val="en-US" w:eastAsia="zh-CN"/>
        </w:rPr>
        <w:t>3.B13“三公”经费控制情况</w:t>
      </w:r>
      <w:r>
        <w:rPr>
          <w:rStyle w:val="13"/>
          <w:rFonts w:hint="eastAsia" w:ascii="方正仿宋_GBK" w:hAnsi="方正仿宋_GBK" w:eastAsia="方正仿宋_GBK" w:cs="方正仿宋_GBK"/>
          <w:b/>
          <w:bCs w:val="0"/>
          <w:color w:val="333333"/>
          <w:spacing w:val="6"/>
          <w:sz w:val="32"/>
          <w:szCs w:val="32"/>
          <w:highlight w:val="none"/>
          <w:lang w:val="en-US" w:eastAsia="zh-CN"/>
        </w:rPr>
        <w:tab/>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4" w:firstLineChars="200"/>
        <w:jc w:val="both"/>
        <w:textAlignment w:val="auto"/>
        <w:outlineLvl w:val="2"/>
        <w:rPr>
          <w:rStyle w:val="13"/>
          <w:rFonts w:hint="eastAsia" w:ascii="方正仿宋_GBK" w:hAnsi="方正仿宋_GBK" w:eastAsia="方正仿宋_GBK" w:cs="方正仿宋_GBK"/>
          <w:b w:val="0"/>
          <w:bCs/>
          <w:color w:val="333333"/>
          <w:spacing w:val="6"/>
          <w:sz w:val="32"/>
          <w:szCs w:val="32"/>
          <w:highlight w:val="none"/>
          <w:lang w:val="en-US" w:eastAsia="zh-CN"/>
        </w:rPr>
      </w:pPr>
      <w:r>
        <w:rPr>
          <w:rStyle w:val="13"/>
          <w:rFonts w:hint="eastAsia" w:ascii="方正仿宋_GBK" w:hAnsi="方正仿宋_GBK" w:eastAsia="方正仿宋_GBK" w:cs="方正仿宋_GBK"/>
          <w:b w:val="0"/>
          <w:bCs/>
          <w:color w:val="333333"/>
          <w:spacing w:val="6"/>
          <w:sz w:val="32"/>
          <w:szCs w:val="32"/>
          <w:highlight w:val="none"/>
          <w:lang w:val="en-US" w:eastAsia="zh-CN"/>
        </w:rPr>
        <w:t>根据2022年部门决算中“机构运行信息表”“三公”经费使用情况统计，当年度支出数16.57万元与当年度的预算数16.57万元一致，</w:t>
      </w:r>
      <w:r>
        <w:rPr>
          <w:rStyle w:val="13"/>
          <w:rFonts w:hint="eastAsia" w:ascii="方正仿宋_GBK" w:hAnsi="方正仿宋_GBK" w:eastAsia="方正仿宋_GBK" w:cs="方正仿宋_GBK"/>
          <w:b w:val="0"/>
          <w:color w:val="auto"/>
          <w:spacing w:val="6"/>
          <w:sz w:val="32"/>
          <w:szCs w:val="32"/>
          <w:highlight w:val="none"/>
          <w:lang w:eastAsia="zh-CN" w:bidi="ar"/>
        </w:rPr>
        <w:t>“三公”经费控制率为</w:t>
      </w:r>
      <w:r>
        <w:rPr>
          <w:rStyle w:val="13"/>
          <w:rFonts w:hint="eastAsia" w:ascii="方正仿宋_GBK" w:hAnsi="方正仿宋_GBK" w:eastAsia="方正仿宋_GBK" w:cs="方正仿宋_GBK"/>
          <w:b w:val="0"/>
          <w:color w:val="auto"/>
          <w:spacing w:val="6"/>
          <w:sz w:val="32"/>
          <w:szCs w:val="32"/>
          <w:highlight w:val="none"/>
          <w:lang w:val="en-US" w:eastAsia="zh-CN" w:bidi="ar"/>
        </w:rPr>
        <w:t>100</w:t>
      </w:r>
      <w:r>
        <w:rPr>
          <w:rStyle w:val="13"/>
          <w:rFonts w:hint="eastAsia" w:ascii="方正仿宋_GBK" w:hAnsi="方正仿宋_GBK" w:eastAsia="方正仿宋_GBK" w:cs="方正仿宋_GBK"/>
          <w:b w:val="0"/>
          <w:color w:val="auto"/>
          <w:spacing w:val="6"/>
          <w:sz w:val="32"/>
          <w:szCs w:val="32"/>
          <w:highlight w:val="none"/>
          <w:lang w:eastAsia="zh-CN" w:bidi="ar"/>
        </w:rPr>
        <w:t>%</w:t>
      </w:r>
      <w:r>
        <w:rPr>
          <w:rStyle w:val="13"/>
          <w:rFonts w:hint="eastAsia" w:ascii="方正仿宋_GBK" w:hAnsi="方正仿宋_GBK" w:eastAsia="方正仿宋_GBK" w:cs="方正仿宋_GBK"/>
          <w:b w:val="0"/>
          <w:bCs/>
          <w:color w:val="333333"/>
          <w:spacing w:val="6"/>
          <w:sz w:val="32"/>
          <w:szCs w:val="32"/>
          <w:highlight w:val="none"/>
          <w:lang w:val="en-US" w:eastAsia="zh-CN"/>
        </w:rPr>
        <w:t>。综上所述，该指标得满分1分。</w:t>
      </w:r>
      <w:r>
        <w:rPr>
          <w:rStyle w:val="13"/>
          <w:rFonts w:hint="eastAsia" w:ascii="方正仿宋_GBK" w:hAnsi="方正仿宋_GBK" w:eastAsia="方正仿宋_GBK" w:cs="方正仿宋_GBK"/>
          <w:b w:val="0"/>
          <w:bCs/>
          <w:color w:val="333333"/>
          <w:spacing w:val="6"/>
          <w:sz w:val="32"/>
          <w:szCs w:val="32"/>
          <w:highlight w:val="none"/>
          <w:lang w:val="en-US" w:eastAsia="zh-CN"/>
        </w:rPr>
        <w:tab/>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7" w:firstLineChars="200"/>
        <w:jc w:val="both"/>
        <w:textAlignment w:val="auto"/>
        <w:outlineLvl w:val="2"/>
        <w:rPr>
          <w:rStyle w:val="13"/>
          <w:rFonts w:hint="eastAsia" w:ascii="方正仿宋_GBK" w:hAnsi="方正仿宋_GBK" w:eastAsia="方正仿宋_GBK" w:cs="方正仿宋_GBK"/>
          <w:b/>
          <w:bCs w:val="0"/>
          <w:color w:val="333333"/>
          <w:spacing w:val="6"/>
          <w:sz w:val="32"/>
          <w:szCs w:val="32"/>
          <w:highlight w:val="none"/>
          <w:lang w:val="en-US" w:eastAsia="zh-CN"/>
        </w:rPr>
      </w:pPr>
      <w:r>
        <w:rPr>
          <w:rStyle w:val="13"/>
          <w:rFonts w:hint="eastAsia" w:ascii="方正仿宋_GBK" w:hAnsi="方正仿宋_GBK" w:eastAsia="方正仿宋_GBK" w:cs="方正仿宋_GBK"/>
          <w:b/>
          <w:bCs w:val="0"/>
          <w:color w:val="333333"/>
          <w:spacing w:val="6"/>
          <w:sz w:val="32"/>
          <w:szCs w:val="32"/>
          <w:highlight w:val="none"/>
          <w:lang w:val="en-US" w:eastAsia="zh-CN"/>
        </w:rPr>
        <w:t>4.B14预算调整率</w:t>
      </w:r>
      <w:r>
        <w:rPr>
          <w:rStyle w:val="13"/>
          <w:rFonts w:hint="eastAsia" w:ascii="方正仿宋_GBK" w:hAnsi="方正仿宋_GBK" w:eastAsia="方正仿宋_GBK" w:cs="方正仿宋_GBK"/>
          <w:b/>
          <w:bCs w:val="0"/>
          <w:color w:val="333333"/>
          <w:spacing w:val="6"/>
          <w:sz w:val="32"/>
          <w:szCs w:val="32"/>
          <w:highlight w:val="none"/>
          <w:lang w:val="en-US" w:eastAsia="zh-CN"/>
        </w:rPr>
        <w:tab/>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4" w:firstLineChars="200"/>
        <w:jc w:val="both"/>
        <w:textAlignment w:val="auto"/>
        <w:outlineLvl w:val="2"/>
        <w:rPr>
          <w:rStyle w:val="13"/>
          <w:rFonts w:hint="eastAsia" w:ascii="方正仿宋_GBK" w:hAnsi="方正仿宋_GBK" w:eastAsia="方正仿宋_GBK" w:cs="方正仿宋_GBK"/>
          <w:b w:val="0"/>
          <w:bCs/>
          <w:color w:val="333333"/>
          <w:spacing w:val="6"/>
          <w:sz w:val="32"/>
          <w:szCs w:val="32"/>
          <w:highlight w:val="none"/>
          <w:lang w:val="en-US" w:eastAsia="zh-CN"/>
        </w:rPr>
      </w:pPr>
      <w:r>
        <w:rPr>
          <w:rStyle w:val="13"/>
          <w:rFonts w:hint="eastAsia" w:ascii="方正仿宋_GBK" w:hAnsi="方正仿宋_GBK" w:eastAsia="方正仿宋_GBK" w:cs="方正仿宋_GBK"/>
          <w:b w:val="0"/>
          <w:bCs/>
          <w:color w:val="333333"/>
          <w:spacing w:val="6"/>
          <w:sz w:val="32"/>
          <w:szCs w:val="32"/>
          <w:highlight w:val="none"/>
          <w:lang w:val="en-US" w:eastAsia="zh-CN"/>
        </w:rPr>
        <w:t>根据2022年部门决算年收入支出决算表，年初预算数729.44万元，决算数952.43万元，预算调整率为30.57%，综上所述，该项指标不得分，得0分。</w:t>
      </w:r>
    </w:p>
    <w:p>
      <w:pPr>
        <w:pStyle w:val="17"/>
        <w:keepNext w:val="0"/>
        <w:keepLines w:val="0"/>
        <w:pageBreakBefore w:val="0"/>
        <w:widowControl w:val="0"/>
        <w:numPr>
          <w:ilvl w:val="0"/>
          <w:numId w:val="0"/>
        </w:numPr>
        <w:kinsoku/>
        <w:wordWrap/>
        <w:overflowPunct/>
        <w:topLinePunct w:val="0"/>
        <w:autoSpaceDE/>
        <w:autoSpaceDN/>
        <w:bidi w:val="0"/>
        <w:adjustRightInd/>
        <w:snapToGrid w:val="0"/>
        <w:spacing w:line="570" w:lineRule="atLeast"/>
        <w:ind w:left="562" w:leftChars="0"/>
        <w:jc w:val="both"/>
        <w:textAlignment w:val="auto"/>
        <w:outlineLvl w:val="2"/>
        <w:rPr>
          <w:rStyle w:val="13"/>
          <w:rFonts w:hint="eastAsia" w:ascii="方正仿宋_GBK" w:hAnsi="方正仿宋_GBK" w:eastAsia="方正仿宋_GBK" w:cs="方正仿宋_GBK"/>
          <w:b/>
          <w:bCs w:val="0"/>
          <w:color w:val="333333"/>
          <w:spacing w:val="6"/>
          <w:sz w:val="32"/>
          <w:szCs w:val="32"/>
          <w:highlight w:val="none"/>
          <w:lang w:val="en-US" w:eastAsia="zh-CN"/>
        </w:rPr>
      </w:pPr>
      <w:r>
        <w:rPr>
          <w:rStyle w:val="13"/>
          <w:rFonts w:hint="eastAsia" w:ascii="方正仿宋_GBK" w:hAnsi="方正仿宋_GBK" w:eastAsia="方正仿宋_GBK" w:cs="方正仿宋_GBK"/>
          <w:b/>
          <w:bCs w:val="0"/>
          <w:color w:val="333333"/>
          <w:spacing w:val="6"/>
          <w:sz w:val="32"/>
          <w:szCs w:val="32"/>
          <w:highlight w:val="none"/>
          <w:lang w:val="en-US" w:eastAsia="zh-CN"/>
        </w:rPr>
        <w:t>5.B15资金使用合规性</w:t>
      </w:r>
      <w:r>
        <w:rPr>
          <w:rStyle w:val="13"/>
          <w:rFonts w:hint="eastAsia" w:ascii="方正仿宋_GBK" w:hAnsi="方正仿宋_GBK" w:eastAsia="方正仿宋_GBK" w:cs="方正仿宋_GBK"/>
          <w:b/>
          <w:bCs w:val="0"/>
          <w:color w:val="333333"/>
          <w:spacing w:val="6"/>
          <w:sz w:val="32"/>
          <w:szCs w:val="32"/>
          <w:highlight w:val="none"/>
          <w:lang w:val="en-US" w:eastAsia="zh-CN"/>
        </w:rPr>
        <w:tab/>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4" w:firstLineChars="200"/>
        <w:jc w:val="both"/>
        <w:textAlignment w:val="auto"/>
        <w:outlineLvl w:val="2"/>
        <w:rPr>
          <w:rStyle w:val="13"/>
          <w:rFonts w:hint="eastAsia" w:ascii="方正仿宋_GBK" w:hAnsi="方正仿宋_GBK" w:eastAsia="方正仿宋_GBK" w:cs="方正仿宋_GBK"/>
          <w:b w:val="0"/>
          <w:bCs/>
          <w:color w:val="333333"/>
          <w:spacing w:val="6"/>
          <w:sz w:val="32"/>
          <w:szCs w:val="32"/>
          <w:highlight w:val="none"/>
          <w:lang w:val="en-US" w:eastAsia="zh-CN"/>
        </w:rPr>
      </w:pPr>
      <w:r>
        <w:rPr>
          <w:rStyle w:val="13"/>
          <w:rFonts w:hint="eastAsia" w:ascii="方正仿宋_GBK" w:hAnsi="方正仿宋_GBK" w:eastAsia="方正仿宋_GBK" w:cs="方正仿宋_GBK"/>
          <w:b w:val="0"/>
          <w:bCs/>
          <w:color w:val="333333"/>
          <w:spacing w:val="6"/>
          <w:sz w:val="32"/>
          <w:szCs w:val="32"/>
          <w:highlight w:val="none"/>
          <w:lang w:val="en-US" w:eastAsia="zh-CN"/>
        </w:rPr>
        <w:t>根据《关于2022年度伽师县部门预算的批复》（伽财行预〔2022〕01号）、2022年部门决算收入支出决算表、访谈调研，资金使用符合市监局预算管理办法及财务管理制度，资金的拨付审批程序完整、项目的重大开支经集体决策程序、资金实际用途与预算批复相一致、不存在截留、挤占、挪用、虚列支出。综上所述，该项指标得满分2分。</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7" w:firstLineChars="200"/>
        <w:jc w:val="both"/>
        <w:textAlignment w:val="auto"/>
        <w:outlineLvl w:val="2"/>
        <w:rPr>
          <w:rStyle w:val="13"/>
          <w:rFonts w:hint="eastAsia" w:ascii="方正仿宋_GBK" w:hAnsi="方正仿宋_GBK" w:eastAsia="方正仿宋_GBK" w:cs="方正仿宋_GBK"/>
          <w:b/>
          <w:bCs w:val="0"/>
          <w:color w:val="333333"/>
          <w:spacing w:val="6"/>
          <w:sz w:val="32"/>
          <w:szCs w:val="32"/>
          <w:highlight w:val="none"/>
          <w:lang w:val="en-US" w:eastAsia="zh-CN"/>
        </w:rPr>
      </w:pPr>
      <w:r>
        <w:rPr>
          <w:rStyle w:val="13"/>
          <w:rFonts w:hint="eastAsia" w:ascii="方正仿宋_GBK" w:hAnsi="方正仿宋_GBK" w:eastAsia="方正仿宋_GBK" w:cs="方正仿宋_GBK"/>
          <w:b/>
          <w:bCs w:val="0"/>
          <w:color w:val="333333"/>
          <w:spacing w:val="6"/>
          <w:sz w:val="32"/>
          <w:szCs w:val="32"/>
          <w:highlight w:val="none"/>
          <w:lang w:val="en-US" w:eastAsia="zh-CN"/>
        </w:rPr>
        <w:t>6.B16存量资金控制情况</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4" w:firstLineChars="200"/>
        <w:jc w:val="both"/>
        <w:textAlignment w:val="auto"/>
        <w:outlineLvl w:val="2"/>
        <w:rPr>
          <w:rStyle w:val="13"/>
          <w:rFonts w:hint="eastAsia" w:ascii="方正仿宋_GBK" w:hAnsi="方正仿宋_GBK" w:eastAsia="方正仿宋_GBK" w:cs="方正仿宋_GBK"/>
          <w:b w:val="0"/>
          <w:bCs/>
          <w:color w:val="333333"/>
          <w:spacing w:val="6"/>
          <w:sz w:val="32"/>
          <w:szCs w:val="32"/>
          <w:highlight w:val="none"/>
          <w:lang w:val="en-US" w:eastAsia="zh-CN"/>
        </w:rPr>
      </w:pPr>
      <w:r>
        <w:rPr>
          <w:rStyle w:val="13"/>
          <w:rFonts w:hint="eastAsia" w:ascii="方正仿宋_GBK" w:hAnsi="方正仿宋_GBK" w:eastAsia="方正仿宋_GBK" w:cs="方正仿宋_GBK"/>
          <w:b w:val="0"/>
          <w:bCs/>
          <w:color w:val="333333"/>
          <w:spacing w:val="6"/>
          <w:sz w:val="32"/>
          <w:szCs w:val="32"/>
          <w:highlight w:val="none"/>
          <w:lang w:val="en-US" w:eastAsia="zh-CN"/>
        </w:rPr>
        <w:t>2022年市监局无结余结转资金、存量资金。综上所述，该项指标得满分2分。</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43" w:firstLineChars="200"/>
        <w:jc w:val="both"/>
        <w:textAlignment w:val="auto"/>
        <w:outlineLvl w:val="2"/>
        <w:rPr>
          <w:rFonts w:hint="eastAsia" w:ascii="方正仿宋_GBK" w:hAnsi="方正仿宋_GBK" w:eastAsia="方正仿宋_GBK" w:cs="方正仿宋_GBK"/>
          <w:b/>
          <w:bCs/>
          <w:color w:val="auto"/>
          <w:kern w:val="0"/>
          <w:sz w:val="32"/>
          <w:szCs w:val="32"/>
        </w:rPr>
      </w:pPr>
      <w:r>
        <w:rPr>
          <w:rFonts w:hint="eastAsia" w:ascii="方正仿宋_GBK" w:hAnsi="方正仿宋_GBK" w:eastAsia="方正仿宋_GBK" w:cs="方正仿宋_GBK"/>
          <w:b/>
          <w:bCs/>
          <w:color w:val="auto"/>
          <w:kern w:val="0"/>
          <w:sz w:val="32"/>
          <w:szCs w:val="32"/>
        </w:rPr>
        <w:t>B2内部制度管理</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43" w:firstLineChars="200"/>
        <w:jc w:val="both"/>
        <w:textAlignment w:val="auto"/>
        <w:outlineLvl w:val="2"/>
        <w:rPr>
          <w:rStyle w:val="13"/>
          <w:rFonts w:hint="eastAsia" w:ascii="方正仿宋_GBK" w:hAnsi="方正仿宋_GBK" w:eastAsia="方正仿宋_GBK" w:cs="方正仿宋_GBK"/>
          <w:b/>
          <w:bCs w:val="0"/>
          <w:color w:val="333333"/>
          <w:spacing w:val="6"/>
          <w:sz w:val="32"/>
          <w:szCs w:val="32"/>
          <w:highlight w:val="none"/>
          <w:lang w:val="en-US" w:eastAsia="zh-CN"/>
        </w:rPr>
      </w:pPr>
      <w:r>
        <w:rPr>
          <w:rFonts w:hint="eastAsia" w:ascii="方正仿宋_GBK" w:hAnsi="方正仿宋_GBK" w:eastAsia="方正仿宋_GBK" w:cs="方正仿宋_GBK"/>
          <w:b/>
          <w:bCs/>
          <w:color w:val="auto"/>
          <w:kern w:val="0"/>
          <w:sz w:val="32"/>
          <w:szCs w:val="32"/>
        </w:rPr>
        <w:t>B21项目管理制度</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7" w:firstLineChars="200"/>
        <w:jc w:val="both"/>
        <w:textAlignment w:val="auto"/>
        <w:outlineLvl w:val="2"/>
        <w:rPr>
          <w:rStyle w:val="13"/>
          <w:rFonts w:hint="eastAsia" w:ascii="方正仿宋_GBK" w:hAnsi="方正仿宋_GBK" w:eastAsia="方正仿宋_GBK" w:cs="方正仿宋_GBK"/>
          <w:b/>
          <w:bCs w:val="0"/>
          <w:color w:val="333333"/>
          <w:spacing w:val="6"/>
          <w:sz w:val="32"/>
          <w:szCs w:val="32"/>
          <w:highlight w:val="none"/>
          <w:lang w:val="en-US" w:eastAsia="zh-CN"/>
        </w:rPr>
      </w:pPr>
      <w:r>
        <w:rPr>
          <w:rStyle w:val="13"/>
          <w:rFonts w:hint="eastAsia" w:ascii="方正仿宋_GBK" w:hAnsi="方正仿宋_GBK" w:eastAsia="方正仿宋_GBK" w:cs="方正仿宋_GBK"/>
          <w:b/>
          <w:bCs w:val="0"/>
          <w:color w:val="333333"/>
          <w:spacing w:val="6"/>
          <w:sz w:val="32"/>
          <w:szCs w:val="32"/>
          <w:highlight w:val="none"/>
          <w:lang w:val="en-US" w:eastAsia="zh-CN"/>
        </w:rPr>
        <w:t>1.B211项目管理制度健全性</w:t>
      </w:r>
      <w:r>
        <w:rPr>
          <w:rStyle w:val="13"/>
          <w:rFonts w:hint="eastAsia" w:ascii="方正仿宋_GBK" w:hAnsi="方正仿宋_GBK" w:eastAsia="方正仿宋_GBK" w:cs="方正仿宋_GBK"/>
          <w:b/>
          <w:bCs w:val="0"/>
          <w:color w:val="333333"/>
          <w:spacing w:val="6"/>
          <w:sz w:val="32"/>
          <w:szCs w:val="32"/>
          <w:highlight w:val="none"/>
          <w:lang w:val="en-US" w:eastAsia="zh-CN"/>
        </w:rPr>
        <w:tab/>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4" w:firstLineChars="200"/>
        <w:jc w:val="both"/>
        <w:textAlignment w:val="auto"/>
        <w:outlineLvl w:val="2"/>
        <w:rPr>
          <w:rStyle w:val="13"/>
          <w:rFonts w:hint="eastAsia" w:ascii="方正仿宋_GBK" w:hAnsi="方正仿宋_GBK" w:eastAsia="方正仿宋_GBK" w:cs="方正仿宋_GBK"/>
          <w:b w:val="0"/>
          <w:bCs/>
          <w:color w:val="333333"/>
          <w:spacing w:val="6"/>
          <w:sz w:val="32"/>
          <w:szCs w:val="32"/>
          <w:highlight w:val="none"/>
          <w:lang w:val="en-US" w:eastAsia="zh-CN"/>
        </w:rPr>
      </w:pPr>
      <w:r>
        <w:rPr>
          <w:rStyle w:val="13"/>
          <w:rFonts w:hint="eastAsia" w:ascii="方正仿宋_GBK" w:hAnsi="方正仿宋_GBK" w:eastAsia="方正仿宋_GBK" w:cs="方正仿宋_GBK"/>
          <w:b w:val="0"/>
          <w:bCs/>
          <w:color w:val="333333"/>
          <w:spacing w:val="6"/>
          <w:sz w:val="32"/>
          <w:szCs w:val="32"/>
          <w:highlight w:val="none"/>
          <w:lang w:val="en-US" w:eastAsia="zh-CN"/>
        </w:rPr>
        <w:t>市监局管理制度健全，内容完整，具体制度为《伽师县市场监督管理局部门单位预算绩效管理工作实施办法》，《伽师县市场监督管理局单位财务管理制度》经查阅分析，以上制度符合单位实际情况，且有针对性。综上所述，该项指标得满分2分。</w:t>
      </w:r>
      <w:r>
        <w:rPr>
          <w:rStyle w:val="13"/>
          <w:rFonts w:hint="eastAsia" w:ascii="方正仿宋_GBK" w:hAnsi="方正仿宋_GBK" w:eastAsia="方正仿宋_GBK" w:cs="方正仿宋_GBK"/>
          <w:b w:val="0"/>
          <w:bCs/>
          <w:color w:val="333333"/>
          <w:spacing w:val="6"/>
          <w:sz w:val="32"/>
          <w:szCs w:val="32"/>
          <w:highlight w:val="none"/>
          <w:lang w:val="en-US" w:eastAsia="zh-CN"/>
        </w:rPr>
        <w:tab/>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7" w:firstLineChars="200"/>
        <w:jc w:val="both"/>
        <w:textAlignment w:val="auto"/>
        <w:outlineLvl w:val="2"/>
        <w:rPr>
          <w:rStyle w:val="13"/>
          <w:rFonts w:hint="eastAsia" w:ascii="方正仿宋_GBK" w:hAnsi="方正仿宋_GBK" w:eastAsia="方正仿宋_GBK" w:cs="方正仿宋_GBK"/>
          <w:b/>
          <w:bCs w:val="0"/>
          <w:color w:val="333333"/>
          <w:spacing w:val="6"/>
          <w:sz w:val="32"/>
          <w:szCs w:val="32"/>
          <w:highlight w:val="none"/>
          <w:lang w:val="en-US" w:eastAsia="zh-CN"/>
        </w:rPr>
      </w:pPr>
      <w:r>
        <w:rPr>
          <w:rStyle w:val="13"/>
          <w:rFonts w:hint="eastAsia" w:ascii="方正仿宋_GBK" w:hAnsi="方正仿宋_GBK" w:eastAsia="方正仿宋_GBK" w:cs="方正仿宋_GBK"/>
          <w:b/>
          <w:bCs w:val="0"/>
          <w:color w:val="333333"/>
          <w:spacing w:val="6"/>
          <w:sz w:val="32"/>
          <w:szCs w:val="32"/>
          <w:highlight w:val="none"/>
          <w:lang w:val="en-US" w:eastAsia="zh-CN"/>
        </w:rPr>
        <w:t>2.B212项目管理制度执行有效性</w:t>
      </w:r>
      <w:r>
        <w:rPr>
          <w:rStyle w:val="13"/>
          <w:rFonts w:hint="eastAsia" w:ascii="方正仿宋_GBK" w:hAnsi="方正仿宋_GBK" w:eastAsia="方正仿宋_GBK" w:cs="方正仿宋_GBK"/>
          <w:b/>
          <w:bCs w:val="0"/>
          <w:color w:val="333333"/>
          <w:spacing w:val="6"/>
          <w:sz w:val="32"/>
          <w:szCs w:val="32"/>
          <w:highlight w:val="none"/>
          <w:lang w:val="en-US" w:eastAsia="zh-CN"/>
        </w:rPr>
        <w:tab/>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4" w:firstLineChars="200"/>
        <w:jc w:val="both"/>
        <w:textAlignment w:val="auto"/>
        <w:outlineLvl w:val="2"/>
        <w:rPr>
          <w:rStyle w:val="13"/>
          <w:rFonts w:hint="eastAsia" w:ascii="方正仿宋_GBK" w:hAnsi="方正仿宋_GBK" w:eastAsia="方正仿宋_GBK" w:cs="方正仿宋_GBK"/>
          <w:b w:val="0"/>
          <w:bCs/>
          <w:color w:val="333333"/>
          <w:spacing w:val="6"/>
          <w:sz w:val="32"/>
          <w:szCs w:val="32"/>
          <w:highlight w:val="none"/>
          <w:lang w:val="en-US" w:eastAsia="zh-CN"/>
        </w:rPr>
      </w:pPr>
      <w:r>
        <w:rPr>
          <w:rStyle w:val="13"/>
          <w:rFonts w:hint="eastAsia" w:ascii="方正仿宋_GBK" w:hAnsi="方正仿宋_GBK" w:eastAsia="方正仿宋_GBK" w:cs="方正仿宋_GBK"/>
          <w:b w:val="0"/>
          <w:bCs/>
          <w:color w:val="333333"/>
          <w:spacing w:val="6"/>
          <w:sz w:val="32"/>
          <w:szCs w:val="32"/>
          <w:highlight w:val="none"/>
          <w:lang w:val="en-US" w:eastAsia="zh-CN"/>
        </w:rPr>
        <w:t>据访谈调研及部门提供的相关资料核实分析，部门项目严格按照管理制度有效执行、管理记录清晰完整。综上所述，该项指标得满分2分。</w:t>
      </w:r>
      <w:r>
        <w:rPr>
          <w:rStyle w:val="13"/>
          <w:rFonts w:hint="eastAsia" w:ascii="方正仿宋_GBK" w:hAnsi="方正仿宋_GBK" w:eastAsia="方正仿宋_GBK" w:cs="方正仿宋_GBK"/>
          <w:b w:val="0"/>
          <w:bCs/>
          <w:color w:val="333333"/>
          <w:spacing w:val="6"/>
          <w:sz w:val="32"/>
          <w:szCs w:val="32"/>
          <w:highlight w:val="none"/>
          <w:lang w:val="en-US" w:eastAsia="zh-CN"/>
        </w:rPr>
        <w:tab/>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7" w:firstLineChars="200"/>
        <w:jc w:val="both"/>
        <w:textAlignment w:val="auto"/>
        <w:outlineLvl w:val="2"/>
        <w:rPr>
          <w:rStyle w:val="13"/>
          <w:rFonts w:hint="eastAsia" w:ascii="方正仿宋_GBK" w:hAnsi="方正仿宋_GBK" w:eastAsia="方正仿宋_GBK" w:cs="方正仿宋_GBK"/>
          <w:b/>
          <w:bCs w:val="0"/>
          <w:color w:val="333333"/>
          <w:spacing w:val="6"/>
          <w:sz w:val="32"/>
          <w:szCs w:val="32"/>
          <w:highlight w:val="none"/>
          <w:lang w:val="en-US" w:eastAsia="zh-CN"/>
        </w:rPr>
      </w:pPr>
      <w:r>
        <w:rPr>
          <w:rStyle w:val="13"/>
          <w:rFonts w:hint="eastAsia" w:ascii="方正仿宋_GBK" w:hAnsi="方正仿宋_GBK" w:eastAsia="方正仿宋_GBK" w:cs="方正仿宋_GBK"/>
          <w:b/>
          <w:bCs w:val="0"/>
          <w:color w:val="333333"/>
          <w:spacing w:val="6"/>
          <w:sz w:val="32"/>
          <w:szCs w:val="32"/>
          <w:highlight w:val="none"/>
          <w:lang w:val="en-US" w:eastAsia="zh-CN"/>
        </w:rPr>
        <w:tab/>
      </w:r>
      <w:r>
        <w:rPr>
          <w:rFonts w:hint="eastAsia" w:ascii="方正仿宋_GBK" w:hAnsi="方正仿宋_GBK" w:eastAsia="方正仿宋_GBK" w:cs="方正仿宋_GBK"/>
          <w:b/>
          <w:bCs/>
          <w:color w:val="auto"/>
          <w:kern w:val="0"/>
          <w:sz w:val="32"/>
          <w:szCs w:val="32"/>
        </w:rPr>
        <w:t>B22财务管理制度</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7" w:firstLineChars="200"/>
        <w:jc w:val="both"/>
        <w:textAlignment w:val="auto"/>
        <w:outlineLvl w:val="2"/>
        <w:rPr>
          <w:rStyle w:val="13"/>
          <w:rFonts w:hint="eastAsia" w:ascii="方正仿宋_GBK" w:hAnsi="方正仿宋_GBK" w:eastAsia="方正仿宋_GBK" w:cs="方正仿宋_GBK"/>
          <w:b/>
          <w:bCs w:val="0"/>
          <w:color w:val="333333"/>
          <w:spacing w:val="6"/>
          <w:sz w:val="32"/>
          <w:szCs w:val="32"/>
          <w:highlight w:val="none"/>
          <w:lang w:val="en-US" w:eastAsia="zh-CN"/>
        </w:rPr>
      </w:pPr>
      <w:r>
        <w:rPr>
          <w:rStyle w:val="13"/>
          <w:rFonts w:hint="eastAsia" w:ascii="方正仿宋_GBK" w:hAnsi="方正仿宋_GBK" w:eastAsia="方正仿宋_GBK" w:cs="方正仿宋_GBK"/>
          <w:b/>
          <w:bCs w:val="0"/>
          <w:color w:val="333333"/>
          <w:spacing w:val="6"/>
          <w:sz w:val="32"/>
          <w:szCs w:val="32"/>
          <w:highlight w:val="none"/>
          <w:lang w:val="en-US" w:eastAsia="zh-CN"/>
        </w:rPr>
        <w:t>1.B221财务制度健全性</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4" w:firstLineChars="200"/>
        <w:jc w:val="both"/>
        <w:textAlignment w:val="auto"/>
        <w:outlineLvl w:val="2"/>
        <w:rPr>
          <w:rStyle w:val="13"/>
          <w:rFonts w:hint="eastAsia" w:ascii="方正仿宋_GBK" w:hAnsi="方正仿宋_GBK" w:eastAsia="方正仿宋_GBK" w:cs="方正仿宋_GBK"/>
          <w:b w:val="0"/>
          <w:bCs/>
          <w:color w:val="333333"/>
          <w:spacing w:val="6"/>
          <w:sz w:val="32"/>
          <w:szCs w:val="32"/>
          <w:highlight w:val="none"/>
          <w:lang w:val="en-US" w:eastAsia="zh-CN"/>
        </w:rPr>
      </w:pPr>
      <w:r>
        <w:rPr>
          <w:rStyle w:val="13"/>
          <w:rFonts w:hint="eastAsia" w:ascii="方正仿宋_GBK" w:hAnsi="方正仿宋_GBK" w:eastAsia="方正仿宋_GBK" w:cs="方正仿宋_GBK"/>
          <w:b w:val="0"/>
          <w:bCs/>
          <w:color w:val="333333"/>
          <w:spacing w:val="6"/>
          <w:sz w:val="32"/>
          <w:szCs w:val="32"/>
          <w:highlight w:val="none"/>
          <w:lang w:val="en-US" w:eastAsia="zh-CN"/>
        </w:rPr>
        <w:tab/>
      </w:r>
      <w:r>
        <w:rPr>
          <w:rStyle w:val="13"/>
          <w:rFonts w:hint="eastAsia" w:ascii="方正仿宋_GBK" w:hAnsi="方正仿宋_GBK" w:eastAsia="方正仿宋_GBK" w:cs="方正仿宋_GBK"/>
          <w:b w:val="0"/>
          <w:bCs/>
          <w:color w:val="333333"/>
          <w:spacing w:val="6"/>
          <w:sz w:val="32"/>
          <w:szCs w:val="32"/>
          <w:highlight w:val="none"/>
          <w:lang w:val="en-US" w:eastAsia="zh-CN"/>
        </w:rPr>
        <w:t>根据访谈调研及对《伽师县市场监督管理局单位财务管理制度》等财务管理制度进行分析，确认部门建立了完善的财务管理制度，且以上制度无明显缺失缺陷。综上所述，该项指标得满分2分。</w:t>
      </w:r>
      <w:r>
        <w:rPr>
          <w:rStyle w:val="13"/>
          <w:rFonts w:hint="eastAsia" w:ascii="方正仿宋_GBK" w:hAnsi="方正仿宋_GBK" w:eastAsia="方正仿宋_GBK" w:cs="方正仿宋_GBK"/>
          <w:b w:val="0"/>
          <w:bCs/>
          <w:color w:val="333333"/>
          <w:spacing w:val="6"/>
          <w:sz w:val="32"/>
          <w:szCs w:val="32"/>
          <w:highlight w:val="none"/>
          <w:lang w:val="en-US" w:eastAsia="zh-CN"/>
        </w:rPr>
        <w:tab/>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7" w:firstLineChars="200"/>
        <w:jc w:val="both"/>
        <w:textAlignment w:val="auto"/>
        <w:outlineLvl w:val="2"/>
        <w:rPr>
          <w:rStyle w:val="13"/>
          <w:rFonts w:hint="eastAsia" w:ascii="方正仿宋_GBK" w:hAnsi="方正仿宋_GBK" w:eastAsia="方正仿宋_GBK" w:cs="方正仿宋_GBK"/>
          <w:b/>
          <w:bCs w:val="0"/>
          <w:color w:val="333333"/>
          <w:spacing w:val="6"/>
          <w:sz w:val="32"/>
          <w:szCs w:val="32"/>
          <w:highlight w:val="none"/>
          <w:lang w:val="en-US" w:eastAsia="zh-CN"/>
        </w:rPr>
      </w:pPr>
      <w:r>
        <w:rPr>
          <w:rStyle w:val="13"/>
          <w:rFonts w:hint="eastAsia" w:ascii="方正仿宋_GBK" w:hAnsi="方正仿宋_GBK" w:eastAsia="方正仿宋_GBK" w:cs="方正仿宋_GBK"/>
          <w:b/>
          <w:bCs w:val="0"/>
          <w:color w:val="333333"/>
          <w:spacing w:val="6"/>
          <w:sz w:val="32"/>
          <w:szCs w:val="32"/>
          <w:highlight w:val="none"/>
          <w:lang w:val="en-US" w:eastAsia="zh-CN"/>
        </w:rPr>
        <w:t>2.B222财务制度执行有效性</w:t>
      </w:r>
      <w:r>
        <w:rPr>
          <w:rStyle w:val="13"/>
          <w:rFonts w:hint="eastAsia" w:ascii="方正仿宋_GBK" w:hAnsi="方正仿宋_GBK" w:eastAsia="方正仿宋_GBK" w:cs="方正仿宋_GBK"/>
          <w:b/>
          <w:bCs w:val="0"/>
          <w:color w:val="333333"/>
          <w:spacing w:val="6"/>
          <w:sz w:val="32"/>
          <w:szCs w:val="32"/>
          <w:highlight w:val="none"/>
          <w:lang w:val="en-US" w:eastAsia="zh-CN"/>
        </w:rPr>
        <w:tab/>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4" w:firstLineChars="200"/>
        <w:jc w:val="both"/>
        <w:textAlignment w:val="auto"/>
        <w:outlineLvl w:val="2"/>
        <w:rPr>
          <w:rStyle w:val="13"/>
          <w:rFonts w:hint="eastAsia" w:ascii="方正仿宋_GBK" w:hAnsi="方正仿宋_GBK" w:eastAsia="方正仿宋_GBK" w:cs="方正仿宋_GBK"/>
          <w:b w:val="0"/>
          <w:bCs/>
          <w:color w:val="333333"/>
          <w:spacing w:val="6"/>
          <w:sz w:val="32"/>
          <w:szCs w:val="32"/>
          <w:highlight w:val="none"/>
          <w:lang w:val="en-US" w:eastAsia="zh-CN"/>
        </w:rPr>
      </w:pPr>
      <w:r>
        <w:rPr>
          <w:rStyle w:val="13"/>
          <w:rFonts w:hint="eastAsia" w:ascii="方正仿宋_GBK" w:hAnsi="方正仿宋_GBK" w:eastAsia="方正仿宋_GBK" w:cs="方正仿宋_GBK"/>
          <w:b w:val="0"/>
          <w:bCs/>
          <w:color w:val="333333"/>
          <w:spacing w:val="6"/>
          <w:sz w:val="32"/>
          <w:szCs w:val="32"/>
          <w:highlight w:val="none"/>
          <w:lang w:val="en-US" w:eastAsia="zh-CN"/>
        </w:rPr>
        <w:t>根据访谈调研及对部门日常财务资料现场核查分析后，确认部门严格按照财务管理制度有效执行各项财务相关工作。综上所述，该项指标得满分2分。</w:t>
      </w:r>
      <w:r>
        <w:rPr>
          <w:rStyle w:val="13"/>
          <w:rFonts w:hint="eastAsia" w:ascii="方正仿宋_GBK" w:hAnsi="方正仿宋_GBK" w:eastAsia="方正仿宋_GBK" w:cs="方正仿宋_GBK"/>
          <w:b w:val="0"/>
          <w:bCs/>
          <w:color w:val="333333"/>
          <w:spacing w:val="6"/>
          <w:sz w:val="32"/>
          <w:szCs w:val="32"/>
          <w:highlight w:val="none"/>
          <w:lang w:val="en-US" w:eastAsia="zh-CN"/>
        </w:rPr>
        <w:tab/>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43" w:firstLineChars="200"/>
        <w:jc w:val="both"/>
        <w:textAlignment w:val="auto"/>
        <w:outlineLvl w:val="2"/>
        <w:rPr>
          <w:rStyle w:val="13"/>
          <w:rFonts w:hint="eastAsia" w:ascii="方正仿宋_GBK" w:hAnsi="方正仿宋_GBK" w:eastAsia="方正仿宋_GBK" w:cs="方正仿宋_GBK"/>
          <w:b/>
          <w:bCs w:val="0"/>
          <w:color w:val="333333"/>
          <w:spacing w:val="6"/>
          <w:sz w:val="32"/>
          <w:szCs w:val="32"/>
          <w:highlight w:val="none"/>
          <w:lang w:val="en-US" w:eastAsia="zh-CN"/>
        </w:rPr>
      </w:pPr>
      <w:r>
        <w:rPr>
          <w:rFonts w:hint="eastAsia" w:ascii="方正仿宋_GBK" w:hAnsi="方正仿宋_GBK" w:eastAsia="方正仿宋_GBK" w:cs="方正仿宋_GBK"/>
          <w:b/>
          <w:bCs/>
          <w:color w:val="auto"/>
          <w:kern w:val="0"/>
          <w:sz w:val="32"/>
          <w:szCs w:val="32"/>
          <w:lang w:val="en-US" w:eastAsia="zh-CN"/>
        </w:rPr>
        <w:t>B23</w:t>
      </w:r>
      <w:r>
        <w:rPr>
          <w:rFonts w:hint="eastAsia" w:ascii="方正仿宋_GBK" w:hAnsi="方正仿宋_GBK" w:eastAsia="方正仿宋_GBK" w:cs="方正仿宋_GBK"/>
          <w:b/>
          <w:bCs/>
          <w:color w:val="auto"/>
          <w:kern w:val="0"/>
          <w:sz w:val="32"/>
          <w:szCs w:val="32"/>
        </w:rPr>
        <w:t>内部控制制度</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7" w:firstLineChars="200"/>
        <w:jc w:val="both"/>
        <w:textAlignment w:val="auto"/>
        <w:outlineLvl w:val="2"/>
        <w:rPr>
          <w:rStyle w:val="13"/>
          <w:rFonts w:hint="eastAsia" w:ascii="方正仿宋_GBK" w:hAnsi="方正仿宋_GBK" w:eastAsia="方正仿宋_GBK" w:cs="方正仿宋_GBK"/>
          <w:b/>
          <w:bCs w:val="0"/>
          <w:color w:val="333333"/>
          <w:spacing w:val="6"/>
          <w:sz w:val="32"/>
          <w:szCs w:val="32"/>
          <w:highlight w:val="none"/>
          <w:lang w:val="en-US" w:eastAsia="zh-CN"/>
        </w:rPr>
      </w:pPr>
      <w:r>
        <w:rPr>
          <w:rStyle w:val="13"/>
          <w:rFonts w:hint="eastAsia" w:ascii="方正仿宋_GBK" w:hAnsi="方正仿宋_GBK" w:eastAsia="方正仿宋_GBK" w:cs="方正仿宋_GBK"/>
          <w:b/>
          <w:bCs w:val="0"/>
          <w:color w:val="333333"/>
          <w:spacing w:val="6"/>
          <w:sz w:val="32"/>
          <w:szCs w:val="32"/>
          <w:highlight w:val="none"/>
          <w:lang w:val="en-US" w:eastAsia="zh-CN"/>
        </w:rPr>
        <w:t>1.</w:t>
      </w:r>
      <w:r>
        <w:rPr>
          <w:rFonts w:hint="eastAsia" w:ascii="方正仿宋_GBK" w:hAnsi="方正仿宋_GBK" w:eastAsia="方正仿宋_GBK" w:cs="方正仿宋_GBK"/>
          <w:b/>
          <w:bCs/>
          <w:color w:val="auto"/>
          <w:kern w:val="0"/>
          <w:sz w:val="32"/>
          <w:szCs w:val="32"/>
          <w:lang w:val="en-US" w:eastAsia="zh-CN"/>
        </w:rPr>
        <w:t>B231</w:t>
      </w:r>
      <w:r>
        <w:rPr>
          <w:rStyle w:val="13"/>
          <w:rFonts w:hint="eastAsia" w:ascii="方正仿宋_GBK" w:hAnsi="方正仿宋_GBK" w:eastAsia="方正仿宋_GBK" w:cs="方正仿宋_GBK"/>
          <w:b/>
          <w:bCs w:val="0"/>
          <w:color w:val="333333"/>
          <w:spacing w:val="6"/>
          <w:sz w:val="32"/>
          <w:szCs w:val="32"/>
          <w:highlight w:val="none"/>
          <w:lang w:val="en-US" w:eastAsia="zh-CN"/>
        </w:rPr>
        <w:t>内部控制制度健全性</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4" w:firstLineChars="200"/>
        <w:jc w:val="both"/>
        <w:textAlignment w:val="auto"/>
        <w:outlineLvl w:val="2"/>
        <w:rPr>
          <w:rStyle w:val="13"/>
          <w:rFonts w:hint="eastAsia" w:ascii="方正仿宋_GBK" w:hAnsi="方正仿宋_GBK" w:eastAsia="方正仿宋_GBK" w:cs="方正仿宋_GBK"/>
          <w:b w:val="0"/>
          <w:bCs/>
          <w:color w:val="333333"/>
          <w:spacing w:val="6"/>
          <w:sz w:val="32"/>
          <w:szCs w:val="32"/>
          <w:highlight w:val="none"/>
          <w:lang w:val="en-US" w:eastAsia="zh-CN"/>
        </w:rPr>
      </w:pPr>
      <w:r>
        <w:rPr>
          <w:rStyle w:val="13"/>
          <w:rFonts w:hint="eastAsia" w:ascii="方正仿宋_GBK" w:hAnsi="方正仿宋_GBK" w:eastAsia="方正仿宋_GBK" w:cs="方正仿宋_GBK"/>
          <w:b w:val="0"/>
          <w:bCs/>
          <w:color w:val="333333"/>
          <w:spacing w:val="6"/>
          <w:sz w:val="32"/>
          <w:szCs w:val="32"/>
          <w:highlight w:val="none"/>
          <w:lang w:val="en-US" w:eastAsia="zh-CN"/>
        </w:rPr>
        <w:t>根据单位提供的《伽师县市场监督管理局部门单位预算绩效管理工作实施办法》《伽师县市场监督管理局单位财务管理制度》</w:t>
      </w:r>
      <w:r>
        <w:rPr>
          <w:rStyle w:val="13"/>
          <w:rFonts w:hint="eastAsia" w:ascii="方正仿宋_GBK" w:hAnsi="方正仿宋_GBK" w:eastAsia="方正仿宋_GBK" w:cs="方正仿宋_GBK"/>
          <w:b w:val="0"/>
          <w:color w:val="auto"/>
          <w:spacing w:val="6"/>
          <w:sz w:val="32"/>
          <w:szCs w:val="32"/>
          <w:highlight w:val="none"/>
          <w:lang w:val="en-US" w:eastAsia="zh-CN" w:bidi="ar"/>
        </w:rPr>
        <w:t>《内控规范》</w:t>
      </w:r>
      <w:r>
        <w:rPr>
          <w:rStyle w:val="13"/>
          <w:rFonts w:hint="eastAsia" w:ascii="方正仿宋_GBK" w:hAnsi="方正仿宋_GBK" w:eastAsia="方正仿宋_GBK" w:cs="方正仿宋_GBK"/>
          <w:b w:val="0"/>
          <w:bCs/>
          <w:color w:val="333333"/>
          <w:spacing w:val="6"/>
          <w:sz w:val="32"/>
          <w:szCs w:val="32"/>
          <w:highlight w:val="none"/>
          <w:lang w:val="en-US" w:eastAsia="zh-CN"/>
        </w:rPr>
        <w:t>等制度文件核查分析，部门内部控制制度完善。综上所述，该项指标得满分2分。</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7" w:firstLineChars="200"/>
        <w:jc w:val="both"/>
        <w:textAlignment w:val="auto"/>
        <w:outlineLvl w:val="2"/>
        <w:rPr>
          <w:rStyle w:val="13"/>
          <w:rFonts w:hint="eastAsia" w:ascii="方正仿宋_GBK" w:hAnsi="方正仿宋_GBK" w:eastAsia="方正仿宋_GBK" w:cs="方正仿宋_GBK"/>
          <w:b w:val="0"/>
          <w:bCs/>
          <w:color w:val="333333"/>
          <w:spacing w:val="6"/>
          <w:sz w:val="32"/>
          <w:szCs w:val="32"/>
          <w:highlight w:val="none"/>
          <w:lang w:val="en-US" w:eastAsia="zh-CN"/>
        </w:rPr>
      </w:pPr>
      <w:r>
        <w:rPr>
          <w:rStyle w:val="13"/>
          <w:rFonts w:hint="eastAsia" w:ascii="方正仿宋_GBK" w:hAnsi="方正仿宋_GBK" w:eastAsia="方正仿宋_GBK" w:cs="方正仿宋_GBK"/>
          <w:b/>
          <w:bCs w:val="0"/>
          <w:color w:val="333333"/>
          <w:spacing w:val="6"/>
          <w:sz w:val="32"/>
          <w:szCs w:val="32"/>
          <w:highlight w:val="none"/>
          <w:lang w:val="en-US" w:eastAsia="zh-CN"/>
        </w:rPr>
        <w:t>2.</w:t>
      </w:r>
      <w:r>
        <w:rPr>
          <w:rFonts w:hint="eastAsia" w:ascii="方正仿宋_GBK" w:hAnsi="方正仿宋_GBK" w:eastAsia="方正仿宋_GBK" w:cs="方正仿宋_GBK"/>
          <w:b/>
          <w:bCs/>
          <w:color w:val="auto"/>
          <w:kern w:val="0"/>
          <w:sz w:val="32"/>
          <w:szCs w:val="32"/>
          <w:lang w:val="en-US" w:eastAsia="zh-CN"/>
        </w:rPr>
        <w:t>B232</w:t>
      </w:r>
      <w:r>
        <w:rPr>
          <w:rStyle w:val="13"/>
          <w:rFonts w:hint="eastAsia" w:ascii="方正仿宋_GBK" w:hAnsi="方正仿宋_GBK" w:eastAsia="方正仿宋_GBK" w:cs="方正仿宋_GBK"/>
          <w:b/>
          <w:bCs w:val="0"/>
          <w:color w:val="333333"/>
          <w:spacing w:val="6"/>
          <w:sz w:val="32"/>
          <w:szCs w:val="32"/>
          <w:highlight w:val="none"/>
          <w:lang w:val="en-US" w:eastAsia="zh-CN"/>
        </w:rPr>
        <w:t>内部控制制度执行有效性</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4" w:firstLineChars="200"/>
        <w:jc w:val="both"/>
        <w:textAlignment w:val="auto"/>
        <w:outlineLvl w:val="2"/>
        <w:rPr>
          <w:rStyle w:val="13"/>
          <w:rFonts w:hint="eastAsia" w:ascii="方正仿宋_GBK" w:hAnsi="方正仿宋_GBK" w:eastAsia="方正仿宋_GBK" w:cs="方正仿宋_GBK"/>
          <w:b w:val="0"/>
          <w:bCs/>
          <w:color w:val="333333"/>
          <w:spacing w:val="6"/>
          <w:sz w:val="32"/>
          <w:szCs w:val="32"/>
          <w:highlight w:val="none"/>
          <w:lang w:val="en-US" w:eastAsia="zh-CN"/>
        </w:rPr>
      </w:pPr>
      <w:r>
        <w:rPr>
          <w:rStyle w:val="13"/>
          <w:rFonts w:hint="eastAsia" w:ascii="方正仿宋_GBK" w:hAnsi="方正仿宋_GBK" w:eastAsia="方正仿宋_GBK" w:cs="方正仿宋_GBK"/>
          <w:b w:val="0"/>
          <w:bCs/>
          <w:color w:val="333333"/>
          <w:spacing w:val="6"/>
          <w:sz w:val="32"/>
          <w:szCs w:val="32"/>
          <w:highlight w:val="none"/>
          <w:lang w:val="en-US" w:eastAsia="zh-CN"/>
        </w:rPr>
        <w:tab/>
      </w:r>
      <w:r>
        <w:rPr>
          <w:rStyle w:val="13"/>
          <w:rFonts w:hint="eastAsia" w:ascii="方正仿宋_GBK" w:hAnsi="方正仿宋_GBK" w:eastAsia="方正仿宋_GBK" w:cs="方正仿宋_GBK"/>
          <w:b w:val="0"/>
          <w:bCs/>
          <w:color w:val="333333"/>
          <w:spacing w:val="6"/>
          <w:sz w:val="32"/>
          <w:szCs w:val="32"/>
          <w:highlight w:val="none"/>
          <w:lang w:val="en-US" w:eastAsia="zh-CN"/>
        </w:rPr>
        <w:t>根据访谈调研及</w:t>
      </w:r>
      <w:r>
        <w:rPr>
          <w:rStyle w:val="13"/>
          <w:rFonts w:hint="eastAsia" w:ascii="方正仿宋_GBK" w:hAnsi="方正仿宋_GBK" w:eastAsia="方正仿宋_GBK" w:cs="方正仿宋_GBK"/>
          <w:b w:val="0"/>
          <w:color w:val="auto"/>
          <w:spacing w:val="6"/>
          <w:sz w:val="32"/>
          <w:szCs w:val="32"/>
          <w:highlight w:val="none"/>
          <w:lang w:val="en-US" w:eastAsia="zh-CN" w:bidi="ar"/>
        </w:rPr>
        <w:t>《内控规范》</w:t>
      </w:r>
      <w:r>
        <w:rPr>
          <w:rStyle w:val="13"/>
          <w:rFonts w:hint="eastAsia" w:ascii="方正仿宋_GBK" w:hAnsi="方正仿宋_GBK" w:eastAsia="方正仿宋_GBK" w:cs="方正仿宋_GBK"/>
          <w:b w:val="0"/>
          <w:bCs/>
          <w:color w:val="333333"/>
          <w:spacing w:val="6"/>
          <w:sz w:val="32"/>
          <w:szCs w:val="32"/>
          <w:highlight w:val="none"/>
          <w:lang w:val="en-US" w:eastAsia="zh-CN"/>
        </w:rPr>
        <w:t>等制度，实地核查部门各项工作流程及部门管理情况，确认部门内控管理制度有效执行。综上所述，该项指标得满分1分。</w:t>
      </w:r>
      <w:r>
        <w:rPr>
          <w:rStyle w:val="13"/>
          <w:rFonts w:hint="eastAsia" w:ascii="方正仿宋_GBK" w:hAnsi="方正仿宋_GBK" w:eastAsia="方正仿宋_GBK" w:cs="方正仿宋_GBK"/>
          <w:b w:val="0"/>
          <w:bCs/>
          <w:color w:val="333333"/>
          <w:spacing w:val="6"/>
          <w:sz w:val="32"/>
          <w:szCs w:val="32"/>
          <w:highlight w:val="none"/>
          <w:lang w:val="en-US" w:eastAsia="zh-CN"/>
        </w:rPr>
        <w:tab/>
      </w:r>
      <w:r>
        <w:rPr>
          <w:rStyle w:val="13"/>
          <w:rFonts w:hint="eastAsia" w:ascii="方正仿宋_GBK" w:hAnsi="方正仿宋_GBK" w:eastAsia="方正仿宋_GBK" w:cs="方正仿宋_GBK"/>
          <w:b w:val="0"/>
          <w:bCs/>
          <w:color w:val="333333"/>
          <w:spacing w:val="6"/>
          <w:sz w:val="32"/>
          <w:szCs w:val="32"/>
          <w:highlight w:val="none"/>
          <w:lang w:val="en-US" w:eastAsia="zh-CN"/>
        </w:rPr>
        <w:tab/>
      </w:r>
      <w:r>
        <w:rPr>
          <w:rStyle w:val="13"/>
          <w:rFonts w:hint="eastAsia" w:ascii="方正仿宋_GBK" w:hAnsi="方正仿宋_GBK" w:eastAsia="方正仿宋_GBK" w:cs="方正仿宋_GBK"/>
          <w:b w:val="0"/>
          <w:bCs/>
          <w:color w:val="333333"/>
          <w:spacing w:val="6"/>
          <w:sz w:val="32"/>
          <w:szCs w:val="32"/>
          <w:highlight w:val="none"/>
          <w:lang w:val="en-US" w:eastAsia="zh-CN"/>
        </w:rPr>
        <w:tab/>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43" w:firstLineChars="200"/>
        <w:jc w:val="both"/>
        <w:textAlignment w:val="auto"/>
        <w:outlineLvl w:val="2"/>
        <w:rPr>
          <w:rStyle w:val="13"/>
          <w:rFonts w:hint="eastAsia" w:ascii="方正仿宋_GBK" w:hAnsi="方正仿宋_GBK" w:eastAsia="方正仿宋_GBK" w:cs="方正仿宋_GBK"/>
          <w:b/>
          <w:bCs w:val="0"/>
          <w:color w:val="333333"/>
          <w:spacing w:val="6"/>
          <w:sz w:val="32"/>
          <w:szCs w:val="32"/>
          <w:highlight w:val="none"/>
          <w:lang w:val="en-US" w:eastAsia="zh-CN"/>
        </w:rPr>
      </w:pPr>
      <w:r>
        <w:rPr>
          <w:rFonts w:hint="eastAsia" w:ascii="方正仿宋_GBK" w:hAnsi="方正仿宋_GBK" w:eastAsia="方正仿宋_GBK" w:cs="方正仿宋_GBK"/>
          <w:b/>
          <w:bCs/>
          <w:color w:val="auto"/>
          <w:kern w:val="0"/>
          <w:sz w:val="32"/>
          <w:szCs w:val="32"/>
          <w:lang w:val="en-US" w:eastAsia="zh-CN"/>
        </w:rPr>
        <w:t>B24</w:t>
      </w:r>
      <w:r>
        <w:rPr>
          <w:rFonts w:hint="eastAsia" w:ascii="方正仿宋_GBK" w:hAnsi="方正仿宋_GBK" w:eastAsia="方正仿宋_GBK" w:cs="方正仿宋_GBK"/>
          <w:b/>
          <w:bCs/>
          <w:color w:val="auto"/>
          <w:kern w:val="0"/>
          <w:sz w:val="32"/>
          <w:szCs w:val="32"/>
        </w:rPr>
        <w:t>资产管理制度</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7" w:firstLineChars="200"/>
        <w:jc w:val="both"/>
        <w:textAlignment w:val="auto"/>
        <w:outlineLvl w:val="2"/>
        <w:rPr>
          <w:rStyle w:val="13"/>
          <w:rFonts w:hint="eastAsia" w:ascii="方正仿宋_GBK" w:hAnsi="方正仿宋_GBK" w:eastAsia="方正仿宋_GBK" w:cs="方正仿宋_GBK"/>
          <w:b/>
          <w:bCs w:val="0"/>
          <w:color w:val="333333"/>
          <w:spacing w:val="6"/>
          <w:sz w:val="32"/>
          <w:szCs w:val="32"/>
          <w:highlight w:val="none"/>
          <w:lang w:val="en-US" w:eastAsia="zh-CN"/>
        </w:rPr>
      </w:pPr>
      <w:r>
        <w:rPr>
          <w:rStyle w:val="13"/>
          <w:rFonts w:hint="eastAsia" w:ascii="方正仿宋_GBK" w:hAnsi="方正仿宋_GBK" w:eastAsia="方正仿宋_GBK" w:cs="方正仿宋_GBK"/>
          <w:b/>
          <w:bCs w:val="0"/>
          <w:color w:val="333333"/>
          <w:spacing w:val="6"/>
          <w:sz w:val="32"/>
          <w:szCs w:val="32"/>
          <w:highlight w:val="none"/>
          <w:lang w:val="en-US" w:eastAsia="zh-CN"/>
        </w:rPr>
        <w:t>1.B241资产管理制度健全性</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4" w:firstLineChars="200"/>
        <w:jc w:val="both"/>
        <w:textAlignment w:val="auto"/>
        <w:outlineLvl w:val="2"/>
        <w:rPr>
          <w:rStyle w:val="13"/>
          <w:rFonts w:hint="eastAsia" w:ascii="方正仿宋_GBK" w:hAnsi="方正仿宋_GBK" w:eastAsia="方正仿宋_GBK" w:cs="方正仿宋_GBK"/>
          <w:b w:val="0"/>
          <w:bCs/>
          <w:color w:val="333333"/>
          <w:spacing w:val="6"/>
          <w:sz w:val="32"/>
          <w:szCs w:val="32"/>
          <w:highlight w:val="none"/>
          <w:lang w:val="en-US" w:eastAsia="zh-CN"/>
        </w:rPr>
      </w:pPr>
      <w:r>
        <w:rPr>
          <w:rStyle w:val="13"/>
          <w:rFonts w:hint="eastAsia" w:ascii="方正仿宋_GBK" w:hAnsi="方正仿宋_GBK" w:eastAsia="方正仿宋_GBK" w:cs="方正仿宋_GBK"/>
          <w:b w:val="0"/>
          <w:bCs/>
          <w:color w:val="333333"/>
          <w:spacing w:val="6"/>
          <w:sz w:val="32"/>
          <w:szCs w:val="32"/>
          <w:highlight w:val="none"/>
          <w:lang w:val="en-US" w:eastAsia="zh-CN"/>
        </w:rPr>
        <w:t>市监局建立健全资产管理制度，合理配备并节约、有效使用资产，提高资产使用效率，保障资产的安全和完整。综上所述，该项指标得满分1分。</w:t>
      </w:r>
      <w:r>
        <w:rPr>
          <w:rStyle w:val="13"/>
          <w:rFonts w:hint="eastAsia" w:ascii="方正仿宋_GBK" w:hAnsi="方正仿宋_GBK" w:eastAsia="方正仿宋_GBK" w:cs="方正仿宋_GBK"/>
          <w:b w:val="0"/>
          <w:bCs/>
          <w:color w:val="333333"/>
          <w:spacing w:val="6"/>
          <w:sz w:val="32"/>
          <w:szCs w:val="32"/>
          <w:highlight w:val="none"/>
          <w:lang w:val="en-US" w:eastAsia="zh-CN"/>
        </w:rPr>
        <w:tab/>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7" w:firstLineChars="200"/>
        <w:jc w:val="both"/>
        <w:textAlignment w:val="auto"/>
        <w:outlineLvl w:val="2"/>
        <w:rPr>
          <w:rStyle w:val="13"/>
          <w:rFonts w:hint="eastAsia" w:ascii="方正仿宋_GBK" w:hAnsi="方正仿宋_GBK" w:eastAsia="方正仿宋_GBK" w:cs="方正仿宋_GBK"/>
          <w:b w:val="0"/>
          <w:bCs/>
          <w:color w:val="333333"/>
          <w:spacing w:val="6"/>
          <w:sz w:val="32"/>
          <w:szCs w:val="32"/>
          <w:highlight w:val="none"/>
          <w:lang w:val="en-US" w:eastAsia="zh-CN"/>
        </w:rPr>
      </w:pPr>
      <w:r>
        <w:rPr>
          <w:rStyle w:val="13"/>
          <w:rFonts w:hint="eastAsia" w:ascii="方正仿宋_GBK" w:hAnsi="方正仿宋_GBK" w:eastAsia="方正仿宋_GBK" w:cs="方正仿宋_GBK"/>
          <w:b/>
          <w:bCs w:val="0"/>
          <w:color w:val="333333"/>
          <w:spacing w:val="6"/>
          <w:sz w:val="32"/>
          <w:szCs w:val="32"/>
          <w:highlight w:val="none"/>
          <w:lang w:val="en-US" w:eastAsia="zh-CN"/>
        </w:rPr>
        <w:t>2.B242固定资产利用率</w:t>
      </w:r>
      <w:r>
        <w:rPr>
          <w:rStyle w:val="13"/>
          <w:rFonts w:hint="eastAsia" w:ascii="方正仿宋_GBK" w:hAnsi="方正仿宋_GBK" w:eastAsia="方正仿宋_GBK" w:cs="方正仿宋_GBK"/>
          <w:b w:val="0"/>
          <w:bCs/>
          <w:color w:val="333333"/>
          <w:spacing w:val="6"/>
          <w:sz w:val="32"/>
          <w:szCs w:val="32"/>
          <w:highlight w:val="none"/>
          <w:lang w:val="en-US" w:eastAsia="zh-CN"/>
        </w:rPr>
        <w:tab/>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4" w:firstLineChars="200"/>
        <w:jc w:val="both"/>
        <w:textAlignment w:val="auto"/>
        <w:outlineLvl w:val="2"/>
        <w:rPr>
          <w:rStyle w:val="13"/>
          <w:rFonts w:hint="eastAsia" w:ascii="方正仿宋_GBK" w:hAnsi="方正仿宋_GBK" w:eastAsia="方正仿宋_GBK" w:cs="方正仿宋_GBK"/>
          <w:b w:val="0"/>
          <w:bCs/>
          <w:color w:val="333333"/>
          <w:spacing w:val="6"/>
          <w:sz w:val="32"/>
          <w:szCs w:val="32"/>
          <w:highlight w:val="none"/>
          <w:lang w:val="en-US" w:eastAsia="zh-CN"/>
        </w:rPr>
      </w:pPr>
      <w:r>
        <w:rPr>
          <w:rStyle w:val="13"/>
          <w:rFonts w:hint="eastAsia" w:ascii="方正仿宋_GBK" w:hAnsi="方正仿宋_GBK" w:eastAsia="方正仿宋_GBK" w:cs="方正仿宋_GBK"/>
          <w:b w:val="0"/>
          <w:bCs/>
          <w:color w:val="333333"/>
          <w:spacing w:val="6"/>
          <w:sz w:val="32"/>
          <w:szCs w:val="32"/>
          <w:highlight w:val="none"/>
          <w:lang w:val="en-US" w:eastAsia="zh-CN"/>
        </w:rPr>
        <w:t>根据评价组到部门现场对固定资产投入使用情况进行核查，</w:t>
      </w:r>
      <w:r>
        <w:rPr>
          <w:rStyle w:val="13"/>
          <w:rFonts w:hint="eastAsia" w:ascii="方正仿宋_GBK" w:hAnsi="方正仿宋_GBK" w:eastAsia="方正仿宋_GBK" w:cs="方正仿宋_GBK"/>
          <w:b w:val="0"/>
          <w:color w:val="auto"/>
          <w:spacing w:val="6"/>
          <w:sz w:val="32"/>
          <w:szCs w:val="32"/>
          <w:highlight w:val="none"/>
          <w:lang w:val="en-US" w:eastAsia="zh-CN" w:bidi="ar"/>
        </w:rPr>
        <w:t>本年度固定资产账面净值535.69万元，年末实际在用固定资产535.69万元，固定资产利用率为100%</w:t>
      </w:r>
      <w:r>
        <w:rPr>
          <w:rStyle w:val="13"/>
          <w:rFonts w:hint="eastAsia" w:ascii="方正仿宋_GBK" w:hAnsi="方正仿宋_GBK" w:eastAsia="方正仿宋_GBK" w:cs="方正仿宋_GBK"/>
          <w:b w:val="0"/>
          <w:bCs/>
          <w:color w:val="333333"/>
          <w:spacing w:val="6"/>
          <w:sz w:val="32"/>
          <w:szCs w:val="32"/>
          <w:highlight w:val="none"/>
          <w:lang w:val="en-US" w:eastAsia="zh-CN"/>
        </w:rPr>
        <w:t>。综上所述，该项指标得满分2分。</w:t>
      </w:r>
      <w:r>
        <w:rPr>
          <w:rStyle w:val="13"/>
          <w:rFonts w:hint="eastAsia" w:ascii="方正仿宋_GBK" w:hAnsi="方正仿宋_GBK" w:eastAsia="方正仿宋_GBK" w:cs="方正仿宋_GBK"/>
          <w:b w:val="0"/>
          <w:bCs/>
          <w:color w:val="333333"/>
          <w:spacing w:val="6"/>
          <w:sz w:val="32"/>
          <w:szCs w:val="32"/>
          <w:highlight w:val="none"/>
          <w:lang w:val="en-US" w:eastAsia="zh-CN"/>
        </w:rPr>
        <w:tab/>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4" w:firstLineChars="200"/>
        <w:jc w:val="both"/>
        <w:textAlignment w:val="auto"/>
        <w:outlineLvl w:val="2"/>
        <w:rPr>
          <w:rStyle w:val="13"/>
          <w:rFonts w:hint="eastAsia" w:ascii="方正仿宋_GBK" w:hAnsi="方正仿宋_GBK" w:eastAsia="方正仿宋_GBK" w:cs="方正仿宋_GBK"/>
          <w:b w:val="0"/>
          <w:bCs/>
          <w:color w:val="333333"/>
          <w:spacing w:val="6"/>
          <w:sz w:val="32"/>
          <w:szCs w:val="32"/>
          <w:highlight w:val="none"/>
          <w:lang w:val="en-US" w:eastAsia="zh-CN"/>
        </w:rPr>
      </w:pPr>
      <w:r>
        <w:rPr>
          <w:rStyle w:val="13"/>
          <w:rFonts w:hint="eastAsia" w:ascii="方正仿宋_GBK" w:hAnsi="方正仿宋_GBK" w:eastAsia="方正仿宋_GBK" w:cs="方正仿宋_GBK"/>
          <w:b w:val="0"/>
          <w:bCs/>
          <w:color w:val="333333"/>
          <w:spacing w:val="6"/>
          <w:sz w:val="32"/>
          <w:szCs w:val="32"/>
          <w:highlight w:val="none"/>
          <w:lang w:val="en-US" w:eastAsia="zh-CN"/>
        </w:rPr>
        <w:tab/>
      </w:r>
      <w:r>
        <w:rPr>
          <w:rFonts w:hint="eastAsia" w:ascii="方正仿宋_GBK" w:hAnsi="方正仿宋_GBK" w:eastAsia="方正仿宋_GBK" w:cs="方正仿宋_GBK"/>
          <w:b/>
          <w:bCs/>
          <w:color w:val="auto"/>
          <w:kern w:val="0"/>
          <w:sz w:val="32"/>
          <w:szCs w:val="32"/>
        </w:rPr>
        <w:t>B25政府采购制度</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7" w:firstLineChars="200"/>
        <w:jc w:val="both"/>
        <w:textAlignment w:val="auto"/>
        <w:outlineLvl w:val="2"/>
        <w:rPr>
          <w:rStyle w:val="13"/>
          <w:rFonts w:hint="eastAsia" w:ascii="方正仿宋_GBK" w:hAnsi="方正仿宋_GBK" w:eastAsia="方正仿宋_GBK" w:cs="方正仿宋_GBK"/>
          <w:b w:val="0"/>
          <w:bCs/>
          <w:color w:val="333333"/>
          <w:spacing w:val="6"/>
          <w:sz w:val="32"/>
          <w:szCs w:val="32"/>
          <w:highlight w:val="none"/>
          <w:lang w:val="en-US" w:eastAsia="zh-CN"/>
        </w:rPr>
      </w:pPr>
      <w:r>
        <w:rPr>
          <w:rStyle w:val="13"/>
          <w:rFonts w:hint="eastAsia" w:ascii="方正仿宋_GBK" w:hAnsi="方正仿宋_GBK" w:eastAsia="方正仿宋_GBK" w:cs="方正仿宋_GBK"/>
          <w:b/>
          <w:bCs w:val="0"/>
          <w:color w:val="333333"/>
          <w:spacing w:val="6"/>
          <w:sz w:val="32"/>
          <w:szCs w:val="32"/>
          <w:highlight w:val="none"/>
          <w:lang w:val="en-US" w:eastAsia="zh-CN"/>
        </w:rPr>
        <w:t>1.B251政府采购制度执行有效性</w:t>
      </w:r>
      <w:r>
        <w:rPr>
          <w:rStyle w:val="13"/>
          <w:rFonts w:hint="eastAsia" w:ascii="方正仿宋_GBK" w:hAnsi="方正仿宋_GBK" w:eastAsia="方正仿宋_GBK" w:cs="方正仿宋_GBK"/>
          <w:b w:val="0"/>
          <w:bCs/>
          <w:color w:val="333333"/>
          <w:spacing w:val="6"/>
          <w:sz w:val="32"/>
          <w:szCs w:val="32"/>
          <w:highlight w:val="none"/>
          <w:lang w:val="en-US" w:eastAsia="zh-CN"/>
        </w:rPr>
        <w:tab/>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4" w:firstLineChars="200"/>
        <w:jc w:val="both"/>
        <w:textAlignment w:val="auto"/>
        <w:outlineLvl w:val="2"/>
        <w:rPr>
          <w:rStyle w:val="13"/>
          <w:rFonts w:hint="eastAsia" w:ascii="方正仿宋_GBK" w:hAnsi="方正仿宋_GBK" w:eastAsia="方正仿宋_GBK" w:cs="方正仿宋_GBK"/>
          <w:b w:val="0"/>
          <w:bCs/>
          <w:color w:val="333333"/>
          <w:spacing w:val="6"/>
          <w:sz w:val="32"/>
          <w:szCs w:val="32"/>
          <w:highlight w:val="none"/>
          <w:lang w:val="en-US" w:eastAsia="zh-CN"/>
        </w:rPr>
      </w:pPr>
      <w:r>
        <w:rPr>
          <w:rStyle w:val="13"/>
          <w:rFonts w:hint="eastAsia" w:ascii="方正仿宋_GBK" w:hAnsi="方正仿宋_GBK" w:eastAsia="方正仿宋_GBK" w:cs="方正仿宋_GBK"/>
          <w:b w:val="0"/>
          <w:bCs/>
          <w:color w:val="333333"/>
          <w:spacing w:val="6"/>
          <w:sz w:val="32"/>
          <w:szCs w:val="32"/>
          <w:highlight w:val="none"/>
          <w:lang w:val="en-US" w:eastAsia="zh-CN"/>
        </w:rPr>
        <w:tab/>
      </w:r>
      <w:r>
        <w:rPr>
          <w:rStyle w:val="13"/>
          <w:rFonts w:hint="eastAsia" w:ascii="方正仿宋_GBK" w:hAnsi="方正仿宋_GBK" w:eastAsia="方正仿宋_GBK" w:cs="方正仿宋_GBK"/>
          <w:b w:val="0"/>
          <w:bCs/>
          <w:color w:val="333333"/>
          <w:spacing w:val="6"/>
          <w:sz w:val="32"/>
          <w:szCs w:val="32"/>
          <w:highlight w:val="none"/>
          <w:lang w:val="en-US" w:eastAsia="zh-CN"/>
        </w:rPr>
        <w:t>部门各项采购内容严格按照政府采购目录执行，并根据《政府采购管理办法》有效执行采购程序，各项程序规范，部门的政府采购部预算执行率为100%。综上所述，该项指标得满分2分。</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7" w:firstLineChars="200"/>
        <w:jc w:val="both"/>
        <w:textAlignment w:val="auto"/>
        <w:outlineLvl w:val="2"/>
        <w:rPr>
          <w:rStyle w:val="13"/>
          <w:rFonts w:hint="eastAsia" w:ascii="方正仿宋_GBK" w:hAnsi="方正仿宋_GBK" w:eastAsia="方正仿宋_GBK" w:cs="方正仿宋_GBK"/>
          <w:b/>
          <w:bCs w:val="0"/>
          <w:color w:val="333333"/>
          <w:spacing w:val="6"/>
          <w:sz w:val="32"/>
          <w:szCs w:val="32"/>
          <w:highlight w:val="none"/>
          <w:lang w:val="en-US" w:eastAsia="zh-CN"/>
        </w:rPr>
      </w:pPr>
      <w:r>
        <w:rPr>
          <w:rStyle w:val="13"/>
          <w:rFonts w:hint="eastAsia" w:ascii="方正仿宋_GBK" w:hAnsi="方正仿宋_GBK" w:eastAsia="方正仿宋_GBK" w:cs="方正仿宋_GBK"/>
          <w:b/>
          <w:bCs w:val="0"/>
          <w:color w:val="333333"/>
          <w:spacing w:val="6"/>
          <w:sz w:val="32"/>
          <w:szCs w:val="32"/>
          <w:highlight w:val="none"/>
          <w:lang w:val="en-US" w:eastAsia="zh-CN"/>
        </w:rPr>
        <w:t>B26预算绩效管理制度</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7" w:firstLineChars="200"/>
        <w:jc w:val="both"/>
        <w:textAlignment w:val="auto"/>
        <w:outlineLvl w:val="2"/>
        <w:rPr>
          <w:rStyle w:val="13"/>
          <w:rFonts w:hint="eastAsia" w:ascii="方正仿宋_GBK" w:hAnsi="方正仿宋_GBK" w:eastAsia="方正仿宋_GBK" w:cs="方正仿宋_GBK"/>
          <w:b w:val="0"/>
          <w:bCs/>
          <w:color w:val="333333"/>
          <w:spacing w:val="6"/>
          <w:sz w:val="32"/>
          <w:szCs w:val="32"/>
          <w:highlight w:val="none"/>
          <w:lang w:val="en-US" w:eastAsia="zh-CN"/>
        </w:rPr>
      </w:pPr>
      <w:r>
        <w:rPr>
          <w:rStyle w:val="13"/>
          <w:rFonts w:hint="eastAsia" w:ascii="方正仿宋_GBK" w:hAnsi="方正仿宋_GBK" w:eastAsia="方正仿宋_GBK" w:cs="方正仿宋_GBK"/>
          <w:b/>
          <w:bCs w:val="0"/>
          <w:color w:val="333333"/>
          <w:spacing w:val="6"/>
          <w:sz w:val="32"/>
          <w:szCs w:val="32"/>
          <w:highlight w:val="none"/>
          <w:lang w:val="en-US" w:eastAsia="zh-CN"/>
        </w:rPr>
        <w:t>1.B261预算绩效管理制度执健全性</w:t>
      </w:r>
      <w:r>
        <w:rPr>
          <w:rStyle w:val="13"/>
          <w:rFonts w:hint="eastAsia" w:ascii="方正仿宋_GBK" w:hAnsi="方正仿宋_GBK" w:eastAsia="方正仿宋_GBK" w:cs="方正仿宋_GBK"/>
          <w:b w:val="0"/>
          <w:bCs/>
          <w:color w:val="333333"/>
          <w:spacing w:val="6"/>
          <w:sz w:val="32"/>
          <w:szCs w:val="32"/>
          <w:highlight w:val="none"/>
          <w:lang w:val="en-US" w:eastAsia="zh-CN"/>
        </w:rPr>
        <w:tab/>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4" w:firstLineChars="200"/>
        <w:jc w:val="both"/>
        <w:textAlignment w:val="auto"/>
        <w:outlineLvl w:val="2"/>
        <w:rPr>
          <w:rStyle w:val="13"/>
          <w:rFonts w:hint="eastAsia" w:ascii="方正仿宋_GBK" w:hAnsi="方正仿宋_GBK" w:eastAsia="方正仿宋_GBK" w:cs="方正仿宋_GBK"/>
          <w:b w:val="0"/>
          <w:bCs/>
          <w:color w:val="333333"/>
          <w:spacing w:val="6"/>
          <w:sz w:val="32"/>
          <w:szCs w:val="32"/>
          <w:highlight w:val="none"/>
          <w:lang w:val="en-US" w:eastAsia="zh-CN"/>
        </w:rPr>
      </w:pPr>
      <w:r>
        <w:rPr>
          <w:rStyle w:val="13"/>
          <w:rFonts w:hint="eastAsia" w:ascii="方正仿宋_GBK" w:hAnsi="方正仿宋_GBK" w:eastAsia="方正仿宋_GBK" w:cs="方正仿宋_GBK"/>
          <w:b w:val="0"/>
          <w:bCs/>
          <w:color w:val="333333"/>
          <w:spacing w:val="6"/>
          <w:sz w:val="32"/>
          <w:szCs w:val="32"/>
          <w:highlight w:val="none"/>
          <w:lang w:val="en-US" w:eastAsia="zh-CN"/>
        </w:rPr>
        <w:t>根据《关于进一步加强自治区全面实施预算绩效管理体系建设的通知》新财预【2021】77号文，按照要求制定</w:t>
      </w:r>
      <w:r>
        <w:rPr>
          <w:rStyle w:val="13"/>
          <w:rFonts w:hint="eastAsia" w:ascii="方正仿宋_GBK" w:hAnsi="方正仿宋_GBK" w:eastAsia="方正仿宋_GBK" w:cs="方正仿宋_GBK"/>
          <w:b w:val="0"/>
          <w:color w:val="333333"/>
          <w:spacing w:val="6"/>
          <w:sz w:val="32"/>
          <w:szCs w:val="32"/>
          <w:lang w:val="en-US" w:eastAsia="zh-CN" w:bidi="ar"/>
        </w:rPr>
        <w:t>《伽师县市场监督管理局部门单位预算绩效管理工作实施办法》</w:t>
      </w:r>
      <w:r>
        <w:rPr>
          <w:rStyle w:val="13"/>
          <w:rFonts w:hint="eastAsia" w:ascii="方正仿宋_GBK" w:hAnsi="方正仿宋_GBK" w:eastAsia="方正仿宋_GBK" w:cs="方正仿宋_GBK"/>
          <w:b w:val="0"/>
          <w:bCs/>
          <w:color w:val="333333"/>
          <w:spacing w:val="6"/>
          <w:sz w:val="32"/>
          <w:szCs w:val="32"/>
          <w:highlight w:val="none"/>
          <w:lang w:val="en-US" w:eastAsia="zh-CN"/>
        </w:rPr>
        <w:t>，根据对项目资料核查，部门已制定全过程预算绩效管理制度，制度内容完整。综上所述，该项指标得满分2分。</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7" w:firstLineChars="200"/>
        <w:jc w:val="both"/>
        <w:textAlignment w:val="auto"/>
        <w:outlineLvl w:val="2"/>
        <w:rPr>
          <w:rStyle w:val="13"/>
          <w:rFonts w:hint="eastAsia" w:ascii="方正仿宋_GBK" w:hAnsi="方正仿宋_GBK" w:eastAsia="方正仿宋_GBK" w:cs="方正仿宋_GBK"/>
          <w:b/>
          <w:bCs w:val="0"/>
          <w:color w:val="333333"/>
          <w:spacing w:val="6"/>
          <w:sz w:val="32"/>
          <w:szCs w:val="32"/>
          <w:highlight w:val="none"/>
          <w:lang w:val="en-US" w:eastAsia="zh-CN"/>
        </w:rPr>
      </w:pPr>
      <w:r>
        <w:rPr>
          <w:rStyle w:val="13"/>
          <w:rFonts w:hint="eastAsia" w:ascii="方正仿宋_GBK" w:hAnsi="方正仿宋_GBK" w:eastAsia="方正仿宋_GBK" w:cs="方正仿宋_GBK"/>
          <w:b/>
          <w:bCs w:val="0"/>
          <w:color w:val="333333"/>
          <w:spacing w:val="6"/>
          <w:sz w:val="32"/>
          <w:szCs w:val="32"/>
          <w:highlight w:val="none"/>
          <w:lang w:val="en-US" w:eastAsia="zh-CN"/>
        </w:rPr>
        <w:t>B27档案管理制度</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7" w:firstLineChars="200"/>
        <w:jc w:val="both"/>
        <w:textAlignment w:val="auto"/>
        <w:outlineLvl w:val="2"/>
        <w:rPr>
          <w:rStyle w:val="13"/>
          <w:rFonts w:hint="eastAsia" w:ascii="方正仿宋_GBK" w:hAnsi="方正仿宋_GBK" w:eastAsia="方正仿宋_GBK" w:cs="方正仿宋_GBK"/>
          <w:b w:val="0"/>
          <w:bCs/>
          <w:color w:val="333333"/>
          <w:spacing w:val="6"/>
          <w:sz w:val="32"/>
          <w:szCs w:val="32"/>
          <w:highlight w:val="none"/>
          <w:lang w:val="en-US" w:eastAsia="zh-CN"/>
        </w:rPr>
      </w:pPr>
      <w:r>
        <w:rPr>
          <w:rStyle w:val="13"/>
          <w:rFonts w:hint="eastAsia" w:ascii="方正仿宋_GBK" w:hAnsi="方正仿宋_GBK" w:eastAsia="方正仿宋_GBK" w:cs="方正仿宋_GBK"/>
          <w:b/>
          <w:bCs w:val="0"/>
          <w:color w:val="333333"/>
          <w:spacing w:val="6"/>
          <w:sz w:val="32"/>
          <w:szCs w:val="32"/>
          <w:highlight w:val="none"/>
          <w:lang w:val="en-US" w:eastAsia="zh-CN"/>
        </w:rPr>
        <w:t>1.B271档案管理制度执行有效性</w:t>
      </w:r>
      <w:r>
        <w:rPr>
          <w:rStyle w:val="13"/>
          <w:rFonts w:hint="eastAsia" w:ascii="方正仿宋_GBK" w:hAnsi="方正仿宋_GBK" w:eastAsia="方正仿宋_GBK" w:cs="方正仿宋_GBK"/>
          <w:b w:val="0"/>
          <w:bCs/>
          <w:color w:val="333333"/>
          <w:spacing w:val="6"/>
          <w:sz w:val="32"/>
          <w:szCs w:val="32"/>
          <w:highlight w:val="none"/>
          <w:lang w:val="en-US" w:eastAsia="zh-CN"/>
        </w:rPr>
        <w:tab/>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4" w:firstLineChars="200"/>
        <w:jc w:val="both"/>
        <w:textAlignment w:val="auto"/>
        <w:outlineLvl w:val="2"/>
        <w:rPr>
          <w:rStyle w:val="13"/>
          <w:rFonts w:hint="eastAsia" w:ascii="方正仿宋_GBK" w:hAnsi="方正仿宋_GBK" w:eastAsia="方正仿宋_GBK" w:cs="方正仿宋_GBK"/>
          <w:b w:val="0"/>
          <w:bCs/>
          <w:color w:val="333333"/>
          <w:spacing w:val="6"/>
          <w:sz w:val="32"/>
          <w:szCs w:val="32"/>
          <w:highlight w:val="none"/>
          <w:lang w:val="en-US" w:eastAsia="zh-CN"/>
        </w:rPr>
      </w:pPr>
      <w:r>
        <w:rPr>
          <w:rStyle w:val="13"/>
          <w:rFonts w:hint="eastAsia" w:ascii="方正仿宋_GBK" w:hAnsi="方正仿宋_GBK" w:eastAsia="方正仿宋_GBK" w:cs="方正仿宋_GBK"/>
          <w:b w:val="0"/>
          <w:bCs/>
          <w:color w:val="333333"/>
          <w:spacing w:val="6"/>
          <w:sz w:val="32"/>
          <w:szCs w:val="32"/>
          <w:highlight w:val="none"/>
          <w:lang w:val="en-US" w:eastAsia="zh-CN"/>
        </w:rPr>
        <w:t>根据评价组实地调研核查，确认部门档案管理制度有效执行。综上所述，该项指标得满分1分。</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7" w:firstLineChars="200"/>
        <w:jc w:val="both"/>
        <w:textAlignment w:val="auto"/>
        <w:outlineLvl w:val="2"/>
        <w:rPr>
          <w:rStyle w:val="13"/>
          <w:rFonts w:hint="eastAsia" w:ascii="方正仿宋_GBK" w:hAnsi="方正仿宋_GBK" w:eastAsia="方正仿宋_GBK" w:cs="方正仿宋_GBK"/>
          <w:b/>
          <w:bCs w:val="0"/>
          <w:color w:val="333333"/>
          <w:spacing w:val="6"/>
          <w:sz w:val="32"/>
          <w:szCs w:val="32"/>
          <w:highlight w:val="none"/>
          <w:lang w:val="en-US" w:eastAsia="zh-CN"/>
        </w:rPr>
      </w:pPr>
      <w:r>
        <w:rPr>
          <w:rStyle w:val="13"/>
          <w:rFonts w:hint="eastAsia" w:ascii="方正仿宋_GBK" w:hAnsi="方正仿宋_GBK" w:eastAsia="方正仿宋_GBK" w:cs="方正仿宋_GBK"/>
          <w:b/>
          <w:bCs w:val="0"/>
          <w:color w:val="333333"/>
          <w:spacing w:val="6"/>
          <w:sz w:val="32"/>
          <w:szCs w:val="32"/>
          <w:highlight w:val="none"/>
          <w:lang w:val="en-US" w:eastAsia="zh-CN"/>
        </w:rPr>
        <w:t>B28信息公开制度</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7" w:firstLineChars="200"/>
        <w:jc w:val="both"/>
        <w:textAlignment w:val="auto"/>
        <w:outlineLvl w:val="2"/>
        <w:rPr>
          <w:rStyle w:val="13"/>
          <w:rFonts w:hint="eastAsia" w:ascii="方正仿宋_GBK" w:hAnsi="方正仿宋_GBK" w:eastAsia="方正仿宋_GBK" w:cs="方正仿宋_GBK"/>
          <w:b/>
          <w:bCs w:val="0"/>
          <w:color w:val="333333"/>
          <w:spacing w:val="6"/>
          <w:sz w:val="32"/>
          <w:szCs w:val="32"/>
          <w:highlight w:val="none"/>
          <w:lang w:val="en-US" w:eastAsia="zh-CN"/>
        </w:rPr>
      </w:pPr>
      <w:r>
        <w:rPr>
          <w:rStyle w:val="13"/>
          <w:rFonts w:hint="eastAsia" w:ascii="方正仿宋_GBK" w:hAnsi="方正仿宋_GBK" w:eastAsia="方正仿宋_GBK" w:cs="方正仿宋_GBK"/>
          <w:b/>
          <w:bCs w:val="0"/>
          <w:color w:val="333333"/>
          <w:spacing w:val="6"/>
          <w:sz w:val="32"/>
          <w:szCs w:val="32"/>
          <w:highlight w:val="none"/>
          <w:lang w:val="en-US" w:eastAsia="zh-CN"/>
        </w:rPr>
        <w:t>1.B281信息公开制度执行有效性</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4" w:firstLineChars="200"/>
        <w:jc w:val="both"/>
        <w:textAlignment w:val="auto"/>
        <w:outlineLvl w:val="2"/>
        <w:rPr>
          <w:rStyle w:val="13"/>
          <w:rFonts w:hint="eastAsia" w:ascii="方正仿宋_GBK" w:hAnsi="方正仿宋_GBK" w:eastAsia="方正仿宋_GBK" w:cs="方正仿宋_GBK"/>
          <w:b w:val="0"/>
          <w:bCs/>
          <w:color w:val="333333"/>
          <w:spacing w:val="6"/>
          <w:sz w:val="32"/>
          <w:szCs w:val="32"/>
          <w:highlight w:val="none"/>
          <w:lang w:val="en-US" w:eastAsia="zh-CN"/>
        </w:rPr>
      </w:pPr>
      <w:r>
        <w:rPr>
          <w:rStyle w:val="13"/>
          <w:rFonts w:hint="eastAsia" w:ascii="方正仿宋_GBK" w:hAnsi="方正仿宋_GBK" w:eastAsia="方正仿宋_GBK" w:cs="方正仿宋_GBK"/>
          <w:b w:val="0"/>
          <w:bCs/>
          <w:color w:val="333333"/>
          <w:spacing w:val="6"/>
          <w:sz w:val="32"/>
          <w:szCs w:val="32"/>
          <w:highlight w:val="none"/>
          <w:lang w:val="en-US" w:eastAsia="zh-CN"/>
        </w:rPr>
        <w:t>根据伽师县人民政府网信息公开核查分析，确认部门预算、决算、绩效目标、绩效自评公开内容完整、信息公开及时，公开信息真实有效。综上所述，该项指标得满分1分。</w:t>
      </w:r>
    </w:p>
    <w:p>
      <w:pPr>
        <w:spacing w:line="560" w:lineRule="exact"/>
        <w:ind w:firstLine="643" w:firstLineChars="200"/>
        <w:jc w:val="both"/>
        <w:outlineLvl w:val="1"/>
        <w:rPr>
          <w:rFonts w:hint="eastAsia" w:ascii="方正仿宋_GBK" w:hAnsi="方正仿宋_GBK" w:eastAsia="方正仿宋_GBK" w:cs="方正仿宋_GBK"/>
          <w:color w:val="auto"/>
          <w:sz w:val="32"/>
          <w:szCs w:val="32"/>
          <w:lang w:eastAsia="zh-CN"/>
        </w:rPr>
      </w:pPr>
      <w:bookmarkStart w:id="81" w:name="_Toc29123"/>
      <w:bookmarkStart w:id="82" w:name="_Toc137030747"/>
      <w:bookmarkStart w:id="83" w:name="_Toc25043"/>
      <w:bookmarkStart w:id="84" w:name="_Toc8133_WPSOffice_Level2"/>
      <w:r>
        <w:rPr>
          <w:rFonts w:hint="eastAsia" w:ascii="方正楷体_GBK" w:hAnsi="方正楷体_GBK" w:eastAsia="方正楷体_GBK" w:cs="方正楷体_GBK"/>
          <w:b/>
          <w:color w:val="auto"/>
          <w:sz w:val="32"/>
          <w:szCs w:val="32"/>
        </w:rPr>
        <w:t>（</w:t>
      </w:r>
      <w:r>
        <w:rPr>
          <w:rFonts w:hint="eastAsia" w:ascii="方正楷体_GBK" w:hAnsi="方正楷体_GBK" w:eastAsia="方正楷体_GBK" w:cs="方正楷体_GBK"/>
          <w:b/>
          <w:color w:val="auto"/>
          <w:sz w:val="32"/>
          <w:szCs w:val="32"/>
          <w:lang w:val="en-US" w:eastAsia="zh-CN"/>
        </w:rPr>
        <w:t>三</w:t>
      </w:r>
      <w:r>
        <w:rPr>
          <w:rFonts w:hint="eastAsia" w:ascii="方正楷体_GBK" w:hAnsi="方正楷体_GBK" w:eastAsia="方正楷体_GBK" w:cs="方正楷体_GBK"/>
          <w:b/>
          <w:color w:val="auto"/>
          <w:sz w:val="32"/>
          <w:szCs w:val="32"/>
        </w:rPr>
        <w:t>）</w:t>
      </w:r>
      <w:r>
        <w:rPr>
          <w:rFonts w:hint="eastAsia" w:ascii="方正楷体_GBK" w:hAnsi="方正楷体_GBK" w:eastAsia="方正楷体_GBK" w:cs="方正楷体_GBK"/>
          <w:b/>
          <w:color w:val="auto"/>
          <w:sz w:val="32"/>
          <w:szCs w:val="32"/>
          <w:lang w:val="en-US" w:eastAsia="zh-CN"/>
        </w:rPr>
        <w:t>项目</w:t>
      </w:r>
      <w:r>
        <w:rPr>
          <w:rFonts w:hint="eastAsia" w:ascii="方正楷体_GBK" w:hAnsi="方正楷体_GBK" w:eastAsia="方正楷体_GBK" w:cs="方正楷体_GBK"/>
          <w:b/>
          <w:color w:val="auto"/>
          <w:sz w:val="32"/>
          <w:szCs w:val="32"/>
        </w:rPr>
        <w:t>产出</w:t>
      </w:r>
      <w:bookmarkEnd w:id="81"/>
      <w:bookmarkEnd w:id="82"/>
      <w:r>
        <w:rPr>
          <w:rFonts w:hint="eastAsia" w:ascii="方正楷体_GBK" w:hAnsi="方正楷体_GBK" w:eastAsia="方正楷体_GBK" w:cs="方正楷体_GBK"/>
          <w:b/>
          <w:color w:val="auto"/>
          <w:sz w:val="32"/>
          <w:szCs w:val="32"/>
          <w:lang w:val="en-US" w:eastAsia="zh-CN"/>
        </w:rPr>
        <w:t>情况</w:t>
      </w:r>
      <w:bookmarkEnd w:id="83"/>
      <w:bookmarkEnd w:id="84"/>
    </w:p>
    <w:p>
      <w:pPr>
        <w:pStyle w:val="17"/>
        <w:keepNext w:val="0"/>
        <w:keepLines w:val="0"/>
        <w:pageBreakBefore w:val="0"/>
        <w:widowControl w:val="0"/>
        <w:kinsoku/>
        <w:wordWrap/>
        <w:overflowPunct/>
        <w:topLinePunct w:val="0"/>
        <w:autoSpaceDE/>
        <w:autoSpaceDN/>
        <w:bidi w:val="0"/>
        <w:adjustRightInd/>
        <w:snapToGrid w:val="0"/>
        <w:spacing w:line="570" w:lineRule="atLeast"/>
        <w:jc w:val="both"/>
        <w:textAlignment w:val="auto"/>
        <w:outlineLvl w:val="2"/>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rPr>
        <w:t>项目产出类指标包括产出数量、产出质量、产出时效、产出成本四方面的内容，</w:t>
      </w:r>
      <w:r>
        <w:rPr>
          <w:rFonts w:hint="eastAsia" w:ascii="方正仿宋_GBK" w:hAnsi="方正仿宋_GBK" w:eastAsia="方正仿宋_GBK" w:cs="方正仿宋_GBK"/>
          <w:color w:val="auto"/>
          <w:sz w:val="32"/>
          <w:szCs w:val="32"/>
          <w:highlight w:val="none"/>
        </w:rPr>
        <w:t>由</w:t>
      </w:r>
      <w:r>
        <w:rPr>
          <w:rFonts w:hint="eastAsia" w:ascii="方正仿宋_GBK" w:hAnsi="方正仿宋_GBK" w:eastAsia="方正仿宋_GBK" w:cs="方正仿宋_GBK"/>
          <w:color w:val="auto"/>
          <w:sz w:val="32"/>
          <w:szCs w:val="32"/>
          <w:highlight w:val="none"/>
          <w:lang w:val="en-US" w:eastAsia="zh-CN"/>
        </w:rPr>
        <w:t>4</w:t>
      </w:r>
      <w:r>
        <w:rPr>
          <w:rFonts w:hint="eastAsia" w:ascii="方正仿宋_GBK" w:hAnsi="方正仿宋_GBK" w:eastAsia="方正仿宋_GBK" w:cs="方正仿宋_GBK"/>
          <w:color w:val="auto"/>
          <w:sz w:val="32"/>
          <w:szCs w:val="32"/>
          <w:highlight w:val="none"/>
        </w:rPr>
        <w:t>个</w:t>
      </w:r>
      <w:r>
        <w:rPr>
          <w:rFonts w:hint="eastAsia" w:ascii="方正仿宋_GBK" w:hAnsi="方正仿宋_GBK" w:eastAsia="方正仿宋_GBK" w:cs="方正仿宋_GBK"/>
          <w:color w:val="auto"/>
          <w:sz w:val="32"/>
          <w:szCs w:val="32"/>
          <w:highlight w:val="none"/>
          <w:lang w:val="en-US" w:eastAsia="zh-CN"/>
        </w:rPr>
        <w:t>二</w:t>
      </w:r>
      <w:r>
        <w:rPr>
          <w:rFonts w:hint="eastAsia" w:ascii="方正仿宋_GBK" w:hAnsi="方正仿宋_GBK" w:eastAsia="方正仿宋_GBK" w:cs="方正仿宋_GBK"/>
          <w:color w:val="auto"/>
          <w:sz w:val="32"/>
          <w:szCs w:val="32"/>
          <w:highlight w:val="none"/>
        </w:rPr>
        <w:t>级指标</w:t>
      </w:r>
      <w:r>
        <w:rPr>
          <w:rFonts w:hint="eastAsia" w:ascii="方正仿宋_GBK" w:hAnsi="方正仿宋_GBK" w:eastAsia="方正仿宋_GBK" w:cs="方正仿宋_GBK"/>
          <w:color w:val="auto"/>
          <w:sz w:val="32"/>
          <w:szCs w:val="32"/>
          <w:highlight w:val="none"/>
          <w:lang w:eastAsia="zh-CN"/>
        </w:rPr>
        <w:t>和</w:t>
      </w:r>
      <w:r>
        <w:rPr>
          <w:rFonts w:hint="eastAsia" w:ascii="方正仿宋_GBK" w:hAnsi="方正仿宋_GBK" w:eastAsia="方正仿宋_GBK" w:cs="方正仿宋_GBK"/>
          <w:color w:val="auto"/>
          <w:sz w:val="32"/>
          <w:szCs w:val="32"/>
          <w:highlight w:val="none"/>
          <w:lang w:val="en-US" w:eastAsia="zh-CN"/>
        </w:rPr>
        <w:t>11个三级指标</w:t>
      </w:r>
      <w:r>
        <w:rPr>
          <w:rFonts w:hint="eastAsia" w:ascii="方正仿宋_GBK" w:hAnsi="方正仿宋_GBK" w:eastAsia="方正仿宋_GBK" w:cs="方正仿宋_GBK"/>
          <w:color w:val="auto"/>
          <w:sz w:val="32"/>
          <w:szCs w:val="32"/>
          <w:highlight w:val="none"/>
        </w:rPr>
        <w:t>构成，</w:t>
      </w:r>
      <w:r>
        <w:rPr>
          <w:rFonts w:hint="eastAsia" w:ascii="方正仿宋_GBK" w:hAnsi="方正仿宋_GBK" w:eastAsia="方正仿宋_GBK" w:cs="方正仿宋_GBK"/>
          <w:color w:val="auto"/>
          <w:sz w:val="32"/>
          <w:szCs w:val="32"/>
        </w:rPr>
        <w:t>权重分为</w:t>
      </w:r>
      <w:r>
        <w:rPr>
          <w:rFonts w:hint="eastAsia" w:ascii="方正仿宋_GBK" w:hAnsi="方正仿宋_GBK" w:eastAsia="方正仿宋_GBK" w:cs="方正仿宋_GBK"/>
          <w:color w:val="auto"/>
          <w:sz w:val="32"/>
          <w:szCs w:val="32"/>
          <w:lang w:val="en-US" w:eastAsia="zh-CN"/>
        </w:rPr>
        <w:t>30</w:t>
      </w:r>
      <w:r>
        <w:rPr>
          <w:rFonts w:hint="eastAsia" w:ascii="方正仿宋_GBK" w:hAnsi="方正仿宋_GBK" w:eastAsia="方正仿宋_GBK" w:cs="方正仿宋_GBK"/>
          <w:color w:val="auto"/>
          <w:sz w:val="32"/>
          <w:szCs w:val="32"/>
        </w:rPr>
        <w:t>分，实际得分</w:t>
      </w:r>
      <w:r>
        <w:rPr>
          <w:rFonts w:hint="eastAsia" w:ascii="方正仿宋_GBK" w:hAnsi="方正仿宋_GBK" w:eastAsia="方正仿宋_GBK" w:cs="方正仿宋_GBK"/>
          <w:color w:val="auto"/>
          <w:sz w:val="32"/>
          <w:szCs w:val="32"/>
          <w:lang w:val="en-US" w:eastAsia="zh-CN"/>
        </w:rPr>
        <w:t>29.88</w:t>
      </w:r>
      <w:r>
        <w:rPr>
          <w:rFonts w:hint="eastAsia" w:ascii="方正仿宋_GBK" w:hAnsi="方正仿宋_GBK" w:eastAsia="方正仿宋_GBK" w:cs="方正仿宋_GBK"/>
          <w:color w:val="auto"/>
          <w:sz w:val="32"/>
          <w:szCs w:val="32"/>
        </w:rPr>
        <w:t>分，得分率为</w:t>
      </w:r>
      <w:r>
        <w:rPr>
          <w:rFonts w:hint="eastAsia" w:ascii="方正仿宋_GBK" w:hAnsi="方正仿宋_GBK" w:eastAsia="方正仿宋_GBK" w:cs="方正仿宋_GBK"/>
          <w:color w:val="auto"/>
          <w:sz w:val="32"/>
          <w:szCs w:val="32"/>
          <w:lang w:val="en-US" w:eastAsia="zh-CN"/>
        </w:rPr>
        <w:t>99.6</w:t>
      </w:r>
      <w:r>
        <w:rPr>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lang w:val="en-US" w:eastAsia="zh-CN"/>
        </w:rPr>
        <w:t>,</w:t>
      </w:r>
      <w:r>
        <w:rPr>
          <w:rFonts w:hint="eastAsia" w:ascii="方正仿宋_GBK" w:hAnsi="方正仿宋_GBK" w:eastAsia="方正仿宋_GBK" w:cs="方正仿宋_GBK"/>
          <w:color w:val="auto"/>
          <w:sz w:val="32"/>
          <w:szCs w:val="32"/>
          <w:highlight w:val="none"/>
        </w:rPr>
        <w:t>各指标业绩值和绩效分值如下表所示。</w:t>
      </w:r>
    </w:p>
    <w:p>
      <w:pPr>
        <w:pageBreakBefore w:val="0"/>
        <w:kinsoku/>
        <w:wordWrap/>
        <w:topLinePunct w:val="0"/>
        <w:autoSpaceDE/>
        <w:autoSpaceDN/>
        <w:bidi w:val="0"/>
        <w:spacing w:line="560" w:lineRule="exact"/>
        <w:ind w:firstLine="643" w:firstLineChars="200"/>
        <w:jc w:val="center"/>
        <w:rPr>
          <w:rFonts w:hint="eastAsia" w:ascii="方正仿宋_GBK" w:hAnsi="方正仿宋_GBK" w:eastAsia="方正仿宋_GBK" w:cs="方正仿宋_GBK"/>
          <w:b/>
          <w:bCs/>
          <w:color w:val="auto"/>
          <w:sz w:val="32"/>
          <w:szCs w:val="32"/>
        </w:rPr>
      </w:pPr>
      <w:r>
        <w:rPr>
          <w:rFonts w:hint="eastAsia" w:ascii="方正仿宋_GBK" w:hAnsi="方正仿宋_GBK" w:eastAsia="方正仿宋_GBK" w:cs="方正仿宋_GBK"/>
          <w:b/>
          <w:bCs/>
          <w:color w:val="auto"/>
          <w:sz w:val="32"/>
          <w:szCs w:val="32"/>
        </w:rPr>
        <w:t>表4-3：项目产出指标及分值</w:t>
      </w:r>
    </w:p>
    <w:p>
      <w:pPr>
        <w:pStyle w:val="30"/>
        <w:rPr>
          <w:rFonts w:hint="eastAsia"/>
        </w:rPr>
      </w:pPr>
    </w:p>
    <w:tbl>
      <w:tblPr>
        <w:tblStyle w:val="11"/>
        <w:tblW w:w="8170" w:type="dxa"/>
        <w:tblInd w:w="2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051"/>
        <w:gridCol w:w="1080"/>
        <w:gridCol w:w="1544"/>
        <w:gridCol w:w="1015"/>
        <w:gridCol w:w="819"/>
        <w:gridCol w:w="901"/>
        <w:gridCol w:w="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blHeader/>
        </w:trPr>
        <w:tc>
          <w:tcPr>
            <w:tcW w:w="789" w:type="dxa"/>
            <w:shd w:val="clear" w:color="auto" w:fill="D7D7D7"/>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一级指标</w:t>
            </w:r>
          </w:p>
        </w:tc>
        <w:tc>
          <w:tcPr>
            <w:tcW w:w="1051" w:type="dxa"/>
            <w:shd w:val="clear" w:color="auto" w:fill="D7D7D7"/>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二级指标</w:t>
            </w:r>
          </w:p>
        </w:tc>
        <w:tc>
          <w:tcPr>
            <w:tcW w:w="1080" w:type="dxa"/>
            <w:shd w:val="clear" w:color="auto" w:fill="D7D7D7"/>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三级指标</w:t>
            </w:r>
          </w:p>
        </w:tc>
        <w:tc>
          <w:tcPr>
            <w:tcW w:w="1544" w:type="dxa"/>
            <w:shd w:val="clear" w:color="auto" w:fill="D7D7D7"/>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四级指标</w:t>
            </w:r>
          </w:p>
        </w:tc>
        <w:tc>
          <w:tcPr>
            <w:tcW w:w="1015" w:type="dxa"/>
            <w:shd w:val="clear" w:color="auto" w:fill="D7D7D7"/>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权重</w:t>
            </w:r>
          </w:p>
        </w:tc>
        <w:tc>
          <w:tcPr>
            <w:tcW w:w="819" w:type="dxa"/>
            <w:shd w:val="clear" w:color="auto" w:fill="D7D7D7"/>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标杆值</w:t>
            </w:r>
          </w:p>
        </w:tc>
        <w:tc>
          <w:tcPr>
            <w:tcW w:w="901" w:type="dxa"/>
            <w:shd w:val="clear" w:color="auto" w:fill="D7D7D7"/>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得分</w:t>
            </w:r>
          </w:p>
        </w:tc>
        <w:tc>
          <w:tcPr>
            <w:tcW w:w="971" w:type="dxa"/>
            <w:shd w:val="clear" w:color="auto" w:fill="D7D7D7"/>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89" w:type="dxa"/>
            <w:vMerge w:val="restart"/>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051" w:type="dxa"/>
            <w:vMerge w:val="restar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C2 部门产出（</w:t>
            </w:r>
            <w:r>
              <w:rPr>
                <w:rFonts w:hint="eastAsia" w:asciiTheme="minorEastAsia" w:hAnsiTheme="minorEastAsia" w:eastAsiaTheme="minorEastAsia" w:cstheme="minorEastAsia"/>
                <w:b/>
                <w:bCs/>
                <w:color w:val="auto"/>
                <w:kern w:val="0"/>
                <w:sz w:val="22"/>
                <w:szCs w:val="22"/>
                <w:lang w:val="en-US" w:eastAsia="zh-CN"/>
              </w:rPr>
              <w:t>30</w:t>
            </w:r>
            <w:r>
              <w:rPr>
                <w:rFonts w:hint="eastAsia" w:asciiTheme="minorEastAsia" w:hAnsiTheme="minorEastAsia" w:eastAsiaTheme="minorEastAsia" w:cstheme="minorEastAsia"/>
                <w:b/>
                <w:bCs/>
                <w:color w:val="auto"/>
                <w:kern w:val="0"/>
                <w:sz w:val="22"/>
                <w:szCs w:val="22"/>
              </w:rPr>
              <w:t>分）</w:t>
            </w:r>
          </w:p>
        </w:tc>
        <w:tc>
          <w:tcPr>
            <w:tcW w:w="1080" w:type="dxa"/>
            <w:vMerge w:val="restar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C21数量指标</w:t>
            </w:r>
          </w:p>
        </w:tc>
        <w:tc>
          <w:tcPr>
            <w:tcW w:w="1544"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C211保障在职人员人数（人）</w:t>
            </w:r>
          </w:p>
        </w:tc>
        <w:tc>
          <w:tcPr>
            <w:tcW w:w="1015" w:type="dxa"/>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2</w:t>
            </w:r>
          </w:p>
        </w:tc>
        <w:tc>
          <w:tcPr>
            <w:tcW w:w="819"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rPr>
              <w:t>≥</w:t>
            </w:r>
            <w:r>
              <w:rPr>
                <w:rFonts w:hint="eastAsia" w:asciiTheme="minorEastAsia" w:hAnsiTheme="minorEastAsia" w:eastAsiaTheme="minorEastAsia" w:cstheme="minorEastAsia"/>
                <w:b/>
                <w:bCs/>
                <w:color w:val="auto"/>
                <w:kern w:val="0"/>
                <w:sz w:val="22"/>
                <w:szCs w:val="22"/>
                <w:lang w:val="en-US" w:eastAsia="zh-CN"/>
              </w:rPr>
              <w:t>48人</w:t>
            </w:r>
          </w:p>
        </w:tc>
        <w:tc>
          <w:tcPr>
            <w:tcW w:w="901"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lang w:val="en-US" w:eastAsia="zh-CN"/>
              </w:rPr>
              <w:t>1.88</w:t>
            </w:r>
          </w:p>
        </w:tc>
        <w:tc>
          <w:tcPr>
            <w:tcW w:w="971" w:type="dxa"/>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lang w:val="en-US" w:eastAsia="zh-CN"/>
              </w:rPr>
              <w:t>93.75</w:t>
            </w:r>
            <w:r>
              <w:rPr>
                <w:rFonts w:hint="eastAsia" w:asciiTheme="minorEastAsia" w:hAnsiTheme="minorEastAsia" w:eastAsiaTheme="minorEastAsia" w:cstheme="minorEastAsia"/>
                <w:b/>
                <w:bCs/>
                <w:color w:val="auto"/>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789" w:type="dxa"/>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051" w:type="dxa"/>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080" w:type="dxa"/>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544"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C212保障退休及遗属人数（人）</w:t>
            </w:r>
          </w:p>
        </w:tc>
        <w:tc>
          <w:tcPr>
            <w:tcW w:w="1015" w:type="dxa"/>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3</w:t>
            </w:r>
          </w:p>
        </w:tc>
        <w:tc>
          <w:tcPr>
            <w:tcW w:w="819" w:type="dxa"/>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rPr>
              <w:t>≥</w:t>
            </w:r>
            <w:r>
              <w:rPr>
                <w:rFonts w:hint="eastAsia" w:asciiTheme="minorEastAsia" w:hAnsiTheme="minorEastAsia" w:eastAsiaTheme="minorEastAsia" w:cstheme="minorEastAsia"/>
                <w:b/>
                <w:bCs/>
                <w:color w:val="auto"/>
                <w:kern w:val="0"/>
                <w:sz w:val="22"/>
                <w:szCs w:val="22"/>
                <w:lang w:val="en-US" w:eastAsia="zh-CN"/>
              </w:rPr>
              <w:t>46人</w:t>
            </w:r>
          </w:p>
        </w:tc>
        <w:tc>
          <w:tcPr>
            <w:tcW w:w="901" w:type="dxa"/>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3</w:t>
            </w:r>
          </w:p>
        </w:tc>
        <w:tc>
          <w:tcPr>
            <w:tcW w:w="971" w:type="dxa"/>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789" w:type="dxa"/>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051" w:type="dxa"/>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080" w:type="dxa"/>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544"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C213公务保障用车数量（辆）</w:t>
            </w:r>
          </w:p>
        </w:tc>
        <w:tc>
          <w:tcPr>
            <w:tcW w:w="1015"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lang w:val="en-US" w:eastAsia="zh-CN"/>
              </w:rPr>
              <w:t>3</w:t>
            </w:r>
          </w:p>
        </w:tc>
        <w:tc>
          <w:tcPr>
            <w:tcW w:w="819" w:type="dxa"/>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rPr>
              <w:t>≥</w:t>
            </w:r>
            <w:r>
              <w:rPr>
                <w:rFonts w:hint="eastAsia" w:asciiTheme="minorEastAsia" w:hAnsiTheme="minorEastAsia" w:eastAsiaTheme="minorEastAsia" w:cstheme="minorEastAsia"/>
                <w:b/>
                <w:bCs/>
                <w:color w:val="auto"/>
                <w:kern w:val="0"/>
                <w:sz w:val="22"/>
                <w:szCs w:val="22"/>
                <w:lang w:val="en-US" w:eastAsia="zh-CN"/>
              </w:rPr>
              <w:t>5辆</w:t>
            </w:r>
          </w:p>
        </w:tc>
        <w:tc>
          <w:tcPr>
            <w:tcW w:w="901"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lang w:val="en-US" w:eastAsia="zh-CN"/>
              </w:rPr>
              <w:t>3</w:t>
            </w:r>
          </w:p>
        </w:tc>
        <w:tc>
          <w:tcPr>
            <w:tcW w:w="971" w:type="dxa"/>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89" w:type="dxa"/>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051" w:type="dxa"/>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080" w:type="dxa"/>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544"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C214 房屋建筑物供暖面积（平方米）</w:t>
            </w:r>
          </w:p>
        </w:tc>
        <w:tc>
          <w:tcPr>
            <w:tcW w:w="1015" w:type="dxa"/>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3</w:t>
            </w:r>
          </w:p>
        </w:tc>
        <w:tc>
          <w:tcPr>
            <w:tcW w:w="819"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rPr>
              <w:t>≥</w:t>
            </w:r>
            <w:r>
              <w:rPr>
                <w:rFonts w:hint="eastAsia" w:asciiTheme="minorEastAsia" w:hAnsiTheme="minorEastAsia" w:eastAsiaTheme="minorEastAsia" w:cstheme="minorEastAsia"/>
                <w:b/>
                <w:bCs/>
                <w:color w:val="auto"/>
                <w:kern w:val="0"/>
                <w:sz w:val="22"/>
                <w:szCs w:val="22"/>
                <w:lang w:val="en-US" w:eastAsia="zh-CN"/>
              </w:rPr>
              <w:t>3433平方米</w:t>
            </w:r>
          </w:p>
        </w:tc>
        <w:tc>
          <w:tcPr>
            <w:tcW w:w="901" w:type="dxa"/>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3</w:t>
            </w:r>
          </w:p>
        </w:tc>
        <w:tc>
          <w:tcPr>
            <w:tcW w:w="971" w:type="dxa"/>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89" w:type="dxa"/>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051" w:type="dxa"/>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080" w:type="dxa"/>
            <w:vMerge w:val="restar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C22质量指标</w:t>
            </w:r>
          </w:p>
        </w:tc>
        <w:tc>
          <w:tcPr>
            <w:tcW w:w="1544"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C221 工资及补助发放率（%）</w:t>
            </w:r>
          </w:p>
        </w:tc>
        <w:tc>
          <w:tcPr>
            <w:tcW w:w="1015" w:type="dxa"/>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3</w:t>
            </w:r>
          </w:p>
        </w:tc>
        <w:tc>
          <w:tcPr>
            <w:tcW w:w="819" w:type="dxa"/>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lang w:val="en-US" w:eastAsia="zh-CN"/>
              </w:rPr>
              <w:t>=10</w:t>
            </w:r>
            <w:r>
              <w:rPr>
                <w:rFonts w:hint="eastAsia" w:asciiTheme="minorEastAsia" w:hAnsiTheme="minorEastAsia" w:eastAsiaTheme="minorEastAsia" w:cstheme="minorEastAsia"/>
                <w:b/>
                <w:bCs/>
                <w:color w:val="auto"/>
                <w:kern w:val="0"/>
                <w:sz w:val="22"/>
                <w:szCs w:val="22"/>
              </w:rPr>
              <w:t>0%</w:t>
            </w:r>
          </w:p>
        </w:tc>
        <w:tc>
          <w:tcPr>
            <w:tcW w:w="901" w:type="dxa"/>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3</w:t>
            </w:r>
          </w:p>
        </w:tc>
        <w:tc>
          <w:tcPr>
            <w:tcW w:w="971" w:type="dxa"/>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89" w:type="dxa"/>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051" w:type="dxa"/>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080" w:type="dxa"/>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544"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C222 保障车辆及办公设备正常运转率（%）</w:t>
            </w:r>
          </w:p>
        </w:tc>
        <w:tc>
          <w:tcPr>
            <w:tcW w:w="1015" w:type="dxa"/>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3</w:t>
            </w:r>
          </w:p>
        </w:tc>
        <w:tc>
          <w:tcPr>
            <w:tcW w:w="819" w:type="dxa"/>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lang w:val="en-US" w:eastAsia="zh-CN"/>
              </w:rPr>
              <w:t>=10</w:t>
            </w:r>
            <w:r>
              <w:rPr>
                <w:rFonts w:hint="eastAsia" w:asciiTheme="minorEastAsia" w:hAnsiTheme="minorEastAsia" w:eastAsiaTheme="minorEastAsia" w:cstheme="minorEastAsia"/>
                <w:b/>
                <w:bCs/>
                <w:color w:val="auto"/>
                <w:kern w:val="0"/>
                <w:sz w:val="22"/>
                <w:szCs w:val="22"/>
              </w:rPr>
              <w:t>0%</w:t>
            </w:r>
          </w:p>
        </w:tc>
        <w:tc>
          <w:tcPr>
            <w:tcW w:w="901" w:type="dxa"/>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3</w:t>
            </w:r>
          </w:p>
        </w:tc>
        <w:tc>
          <w:tcPr>
            <w:tcW w:w="971" w:type="dxa"/>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789" w:type="dxa"/>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051" w:type="dxa"/>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080" w:type="dxa"/>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544"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C223 部门预算资金到位率（%）</w:t>
            </w:r>
          </w:p>
        </w:tc>
        <w:tc>
          <w:tcPr>
            <w:tcW w:w="1015" w:type="dxa"/>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3</w:t>
            </w:r>
          </w:p>
        </w:tc>
        <w:tc>
          <w:tcPr>
            <w:tcW w:w="819" w:type="dxa"/>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lang w:val="en-US" w:eastAsia="zh-CN"/>
              </w:rPr>
              <w:t>=10</w:t>
            </w:r>
            <w:r>
              <w:rPr>
                <w:rFonts w:hint="eastAsia" w:asciiTheme="minorEastAsia" w:hAnsiTheme="minorEastAsia" w:eastAsiaTheme="minorEastAsia" w:cstheme="minorEastAsia"/>
                <w:b/>
                <w:bCs/>
                <w:color w:val="auto"/>
                <w:kern w:val="0"/>
                <w:sz w:val="22"/>
                <w:szCs w:val="22"/>
              </w:rPr>
              <w:t>0%</w:t>
            </w:r>
          </w:p>
        </w:tc>
        <w:tc>
          <w:tcPr>
            <w:tcW w:w="901" w:type="dxa"/>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3</w:t>
            </w:r>
          </w:p>
        </w:tc>
        <w:tc>
          <w:tcPr>
            <w:tcW w:w="971" w:type="dxa"/>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9" w:type="dxa"/>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051" w:type="dxa"/>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080" w:type="dxa"/>
            <w:vMerge w:val="restar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C23时效指标</w:t>
            </w:r>
          </w:p>
        </w:tc>
        <w:tc>
          <w:tcPr>
            <w:tcW w:w="1544"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C231 工资及补助发放及时率（%）</w:t>
            </w:r>
          </w:p>
        </w:tc>
        <w:tc>
          <w:tcPr>
            <w:tcW w:w="1015" w:type="dxa"/>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3</w:t>
            </w:r>
          </w:p>
        </w:tc>
        <w:tc>
          <w:tcPr>
            <w:tcW w:w="819" w:type="dxa"/>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lang w:val="en-US" w:eastAsia="zh-CN"/>
              </w:rPr>
              <w:t>=10</w:t>
            </w:r>
            <w:r>
              <w:rPr>
                <w:rFonts w:hint="eastAsia" w:asciiTheme="minorEastAsia" w:hAnsiTheme="minorEastAsia" w:eastAsiaTheme="minorEastAsia" w:cstheme="minorEastAsia"/>
                <w:b/>
                <w:bCs/>
                <w:color w:val="auto"/>
                <w:kern w:val="0"/>
                <w:sz w:val="22"/>
                <w:szCs w:val="22"/>
              </w:rPr>
              <w:t>0%</w:t>
            </w:r>
          </w:p>
        </w:tc>
        <w:tc>
          <w:tcPr>
            <w:tcW w:w="901" w:type="dxa"/>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3</w:t>
            </w:r>
          </w:p>
        </w:tc>
        <w:tc>
          <w:tcPr>
            <w:tcW w:w="971" w:type="dxa"/>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789" w:type="dxa"/>
            <w:vMerge w:val="restart"/>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051" w:type="dxa"/>
            <w:vMerge w:val="restart"/>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080" w:type="dxa"/>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544"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C23</w:t>
            </w:r>
            <w:r>
              <w:rPr>
                <w:rFonts w:hint="eastAsia" w:asciiTheme="minorEastAsia" w:hAnsiTheme="minorEastAsia" w:eastAsiaTheme="minorEastAsia" w:cstheme="minorEastAsia"/>
                <w:b/>
                <w:bCs/>
                <w:color w:val="auto"/>
                <w:kern w:val="0"/>
                <w:sz w:val="22"/>
                <w:szCs w:val="22"/>
                <w:lang w:val="en-US" w:eastAsia="zh-CN"/>
              </w:rPr>
              <w:t>2</w:t>
            </w:r>
            <w:r>
              <w:rPr>
                <w:rFonts w:hint="eastAsia" w:asciiTheme="minorEastAsia" w:hAnsiTheme="minorEastAsia" w:eastAsiaTheme="minorEastAsia" w:cstheme="minorEastAsia"/>
                <w:b/>
                <w:bCs/>
                <w:color w:val="auto"/>
                <w:kern w:val="0"/>
                <w:sz w:val="22"/>
                <w:szCs w:val="22"/>
              </w:rPr>
              <w:t>项目截止期限</w:t>
            </w:r>
          </w:p>
        </w:tc>
        <w:tc>
          <w:tcPr>
            <w:tcW w:w="1015"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lang w:val="en-US" w:eastAsia="zh-CN"/>
              </w:rPr>
              <w:t>3</w:t>
            </w:r>
          </w:p>
        </w:tc>
        <w:tc>
          <w:tcPr>
            <w:tcW w:w="819" w:type="dxa"/>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2022年12月20日</w:t>
            </w:r>
          </w:p>
        </w:tc>
        <w:tc>
          <w:tcPr>
            <w:tcW w:w="901"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lang w:val="en-US" w:eastAsia="zh-CN"/>
              </w:rPr>
              <w:t>3</w:t>
            </w:r>
          </w:p>
        </w:tc>
        <w:tc>
          <w:tcPr>
            <w:tcW w:w="971"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9" w:type="dxa"/>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051" w:type="dxa"/>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080" w:type="dxa"/>
            <w:vMerge w:val="restart"/>
            <w:vAlign w:val="center"/>
          </w:tcPr>
          <w:p>
            <w:pPr>
              <w:widowControl/>
              <w:jc w:val="both"/>
              <w:rPr>
                <w:rFonts w:hint="eastAsia"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lang w:val="en-US" w:eastAsia="zh-CN"/>
              </w:rPr>
              <w:t>C24成本指标</w:t>
            </w:r>
          </w:p>
        </w:tc>
        <w:tc>
          <w:tcPr>
            <w:tcW w:w="1544"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lang w:val="en-US" w:eastAsia="zh-CN"/>
              </w:rPr>
              <w:t>人员经费支出总额（万元）</w:t>
            </w:r>
          </w:p>
        </w:tc>
        <w:tc>
          <w:tcPr>
            <w:tcW w:w="1015"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lang w:val="en-US" w:eastAsia="zh-CN"/>
              </w:rPr>
              <w:t>2</w:t>
            </w:r>
          </w:p>
        </w:tc>
        <w:tc>
          <w:tcPr>
            <w:tcW w:w="819"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lang w:val="en-US" w:eastAsia="zh-CN"/>
              </w:rPr>
              <w:t>≤804.4</w:t>
            </w:r>
          </w:p>
        </w:tc>
        <w:tc>
          <w:tcPr>
            <w:tcW w:w="901"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lang w:val="en-US" w:eastAsia="zh-CN"/>
              </w:rPr>
              <w:t>2</w:t>
            </w:r>
          </w:p>
        </w:tc>
        <w:tc>
          <w:tcPr>
            <w:tcW w:w="971"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9" w:type="dxa"/>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051" w:type="dxa"/>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080" w:type="dxa"/>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544"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lang w:val="en-US" w:eastAsia="zh-CN"/>
              </w:rPr>
              <w:t>全年保运转经费总额（万元）</w:t>
            </w:r>
          </w:p>
        </w:tc>
        <w:tc>
          <w:tcPr>
            <w:tcW w:w="1015"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lang w:val="en-US" w:eastAsia="zh-CN"/>
              </w:rPr>
              <w:t>2</w:t>
            </w:r>
          </w:p>
        </w:tc>
        <w:tc>
          <w:tcPr>
            <w:tcW w:w="819"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lang w:val="en-US" w:eastAsia="zh-CN"/>
              </w:rPr>
              <w:t>≤28.93</w:t>
            </w:r>
          </w:p>
        </w:tc>
        <w:tc>
          <w:tcPr>
            <w:tcW w:w="901"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lang w:val="en-US" w:eastAsia="zh-CN"/>
              </w:rPr>
              <w:t>2</w:t>
            </w:r>
          </w:p>
        </w:tc>
        <w:tc>
          <w:tcPr>
            <w:tcW w:w="971"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64" w:type="dxa"/>
            <w:gridSpan w:val="4"/>
            <w:vAlign w:val="center"/>
          </w:tcPr>
          <w:p>
            <w:pPr>
              <w:widowControl/>
              <w:jc w:val="center"/>
              <w:rPr>
                <w:rFonts w:hint="eastAsia"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lang w:val="en-US" w:eastAsia="zh-CN"/>
              </w:rPr>
              <w:t>合计</w:t>
            </w:r>
          </w:p>
        </w:tc>
        <w:tc>
          <w:tcPr>
            <w:tcW w:w="1015"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lang w:val="en-US" w:eastAsia="zh-CN"/>
              </w:rPr>
              <w:t>30</w:t>
            </w:r>
          </w:p>
        </w:tc>
        <w:tc>
          <w:tcPr>
            <w:tcW w:w="819"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rPr>
            </w:pPr>
          </w:p>
        </w:tc>
        <w:tc>
          <w:tcPr>
            <w:tcW w:w="901" w:type="dxa"/>
            <w:vAlign w:val="center"/>
          </w:tcPr>
          <w:p>
            <w:pPr>
              <w:widowControl/>
              <w:jc w:val="both"/>
              <w:rPr>
                <w:rFonts w:hint="default"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lang w:val="en-US" w:eastAsia="zh-CN"/>
              </w:rPr>
              <w:t>29.88</w:t>
            </w:r>
          </w:p>
        </w:tc>
        <w:tc>
          <w:tcPr>
            <w:tcW w:w="971" w:type="dxa"/>
            <w:vAlign w:val="center"/>
          </w:tcPr>
          <w:p>
            <w:pPr>
              <w:widowControl/>
              <w:jc w:val="both"/>
              <w:rPr>
                <w:rFonts w:hint="default"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lang w:val="en-US" w:eastAsia="zh-CN"/>
              </w:rPr>
              <w:t>99.6%</w:t>
            </w:r>
          </w:p>
        </w:tc>
      </w:tr>
    </w:tbl>
    <w:p>
      <w:pPr>
        <w:pStyle w:val="17"/>
        <w:keepNext w:val="0"/>
        <w:keepLines w:val="0"/>
        <w:pageBreakBefore w:val="0"/>
        <w:widowControl w:val="0"/>
        <w:kinsoku/>
        <w:wordWrap/>
        <w:overflowPunct/>
        <w:topLinePunct w:val="0"/>
        <w:autoSpaceDE/>
        <w:autoSpaceDN/>
        <w:bidi w:val="0"/>
        <w:adjustRightInd/>
        <w:snapToGrid w:val="0"/>
        <w:spacing w:line="570" w:lineRule="atLeast"/>
        <w:jc w:val="both"/>
        <w:textAlignment w:val="auto"/>
        <w:outlineLvl w:val="2"/>
        <w:rPr>
          <w:rStyle w:val="13"/>
          <w:rFonts w:hint="eastAsia" w:ascii="方正仿宋_GBK" w:hAnsi="方正仿宋_GBK" w:eastAsia="方正仿宋_GBK" w:cs="方正仿宋_GBK"/>
          <w:b/>
          <w:bCs/>
          <w:spacing w:val="6"/>
          <w:sz w:val="32"/>
          <w:szCs w:val="32"/>
          <w:highlight w:val="none"/>
        </w:rPr>
      </w:pPr>
      <w:r>
        <w:rPr>
          <w:rFonts w:hint="eastAsia" w:ascii="方正仿宋_GBK" w:hAnsi="方正仿宋_GBK" w:eastAsia="方正仿宋_GBK" w:cs="方正仿宋_GBK"/>
          <w:b/>
          <w:bCs/>
          <w:color w:val="auto"/>
          <w:kern w:val="0"/>
          <w:sz w:val="32"/>
          <w:szCs w:val="32"/>
        </w:rPr>
        <w:t>C21数量指标</w:t>
      </w:r>
    </w:p>
    <w:p>
      <w:pPr>
        <w:pStyle w:val="17"/>
        <w:pageBreakBefore w:val="0"/>
        <w:widowControl w:val="0"/>
        <w:numPr>
          <w:ilvl w:val="0"/>
          <w:numId w:val="0"/>
        </w:numPr>
        <w:kinsoku/>
        <w:wordWrap/>
        <w:overflowPunct/>
        <w:topLinePunct w:val="0"/>
        <w:autoSpaceDN/>
        <w:bidi w:val="0"/>
        <w:adjustRightInd/>
        <w:snapToGrid w:val="0"/>
        <w:spacing w:line="570" w:lineRule="exact"/>
        <w:ind w:firstLine="667" w:firstLineChars="200"/>
        <w:textAlignment w:val="auto"/>
        <w:rPr>
          <w:rStyle w:val="13"/>
          <w:rFonts w:hint="eastAsia" w:ascii="方正仿宋_GBK" w:hAnsi="方正仿宋_GBK" w:eastAsia="方正仿宋_GBK" w:cs="方正仿宋_GBK"/>
          <w:b/>
          <w:bCs w:val="0"/>
          <w:color w:val="auto"/>
          <w:spacing w:val="6"/>
          <w:sz w:val="32"/>
          <w:szCs w:val="32"/>
          <w:highlight w:val="none"/>
          <w:lang w:val="en-US" w:eastAsia="zh-CN"/>
        </w:rPr>
      </w:pPr>
      <w:r>
        <w:rPr>
          <w:rStyle w:val="13"/>
          <w:rFonts w:hint="eastAsia" w:ascii="方正仿宋_GBK" w:hAnsi="方正仿宋_GBK" w:eastAsia="方正仿宋_GBK" w:cs="方正仿宋_GBK"/>
          <w:b/>
          <w:bCs w:val="0"/>
          <w:color w:val="auto"/>
          <w:spacing w:val="6"/>
          <w:sz w:val="32"/>
          <w:szCs w:val="32"/>
          <w:highlight w:val="none"/>
          <w:lang w:val="en-US" w:eastAsia="zh-CN"/>
        </w:rPr>
        <w:t>1.C211保障在职人员人数指标:</w:t>
      </w:r>
    </w:p>
    <w:p>
      <w:pPr>
        <w:pStyle w:val="17"/>
        <w:pageBreakBefore w:val="0"/>
        <w:widowControl w:val="0"/>
        <w:numPr>
          <w:ilvl w:val="0"/>
          <w:numId w:val="0"/>
        </w:numPr>
        <w:kinsoku/>
        <w:wordWrap/>
        <w:overflowPunct/>
        <w:topLinePunct w:val="0"/>
        <w:autoSpaceDN/>
        <w:bidi w:val="0"/>
        <w:adjustRightInd/>
        <w:snapToGrid w:val="0"/>
        <w:spacing w:line="570" w:lineRule="exact"/>
        <w:ind w:firstLine="664" w:firstLineChars="200"/>
        <w:textAlignment w:val="auto"/>
        <w:rPr>
          <w:rStyle w:val="13"/>
          <w:rFonts w:hint="default"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val="0"/>
          <w:color w:val="auto"/>
          <w:spacing w:val="6"/>
          <w:sz w:val="32"/>
          <w:szCs w:val="32"/>
          <w:highlight w:val="none"/>
          <w:lang w:val="en-US" w:eastAsia="zh-CN"/>
        </w:rPr>
        <w:t>保障在职人员人数预期指标是等于48人，经查看市监局人员花名册、银行代发工资清单等资料，实际完成值是45人，指标完成率是93.80%，偏差率为6.25%，未达到预期目标主要原因：在职人员辞职2人，在职死亡1人。</w:t>
      </w:r>
      <w:r>
        <w:rPr>
          <w:rStyle w:val="13"/>
          <w:rFonts w:hint="default" w:ascii="方正仿宋_GBK" w:hAnsi="方正仿宋_GBK" w:eastAsia="方正仿宋_GBK" w:cs="方正仿宋_GBK"/>
          <w:b w:val="0"/>
          <w:color w:val="auto"/>
          <w:spacing w:val="6"/>
          <w:sz w:val="32"/>
          <w:szCs w:val="32"/>
          <w:highlight w:val="none"/>
          <w:lang w:val="en-US" w:eastAsia="zh-CN"/>
        </w:rPr>
        <w:t>该指标满分2分，根据评分标准得1.88分。</w:t>
      </w:r>
    </w:p>
    <w:p>
      <w:pPr>
        <w:pStyle w:val="17"/>
        <w:keepNext w:val="0"/>
        <w:keepLines w:val="0"/>
        <w:pageBreakBefore w:val="0"/>
        <w:kinsoku/>
        <w:overflowPunct/>
        <w:topLinePunct w:val="0"/>
        <w:autoSpaceDE/>
        <w:autoSpaceDN/>
        <w:bidi w:val="0"/>
        <w:snapToGrid w:val="0"/>
        <w:spacing w:line="570" w:lineRule="atLeast"/>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bCs w:val="0"/>
          <w:color w:val="auto"/>
          <w:spacing w:val="6"/>
          <w:sz w:val="32"/>
          <w:szCs w:val="32"/>
          <w:highlight w:val="none"/>
          <w:lang w:val="en-US" w:eastAsia="zh-CN"/>
        </w:rPr>
        <w:t>2.C212保障退休及遗属人数指标</w:t>
      </w:r>
      <w:r>
        <w:rPr>
          <w:rStyle w:val="13"/>
          <w:rFonts w:hint="eastAsia" w:ascii="方正仿宋_GBK" w:hAnsi="方正仿宋_GBK" w:eastAsia="方正仿宋_GBK" w:cs="方正仿宋_GBK"/>
          <w:b w:val="0"/>
          <w:color w:val="auto"/>
          <w:spacing w:val="6"/>
          <w:sz w:val="32"/>
          <w:szCs w:val="32"/>
          <w:highlight w:val="none"/>
          <w:lang w:val="en-US" w:eastAsia="zh-CN"/>
        </w:rPr>
        <w:t>:</w:t>
      </w:r>
    </w:p>
    <w:p>
      <w:pPr>
        <w:pStyle w:val="17"/>
        <w:keepNext w:val="0"/>
        <w:keepLines w:val="0"/>
        <w:pageBreakBefore w:val="0"/>
        <w:kinsoku/>
        <w:overflowPunct/>
        <w:topLinePunct w:val="0"/>
        <w:autoSpaceDE/>
        <w:autoSpaceDN/>
        <w:bidi w:val="0"/>
        <w:snapToGrid w:val="0"/>
        <w:spacing w:line="570" w:lineRule="atLeast"/>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val="0"/>
          <w:bCs/>
          <w:color w:val="auto"/>
          <w:spacing w:val="6"/>
          <w:sz w:val="32"/>
          <w:szCs w:val="32"/>
          <w:highlight w:val="none"/>
          <w:lang w:val="en-US" w:eastAsia="zh-CN"/>
        </w:rPr>
        <w:t>保障退休及遗属人数指标</w:t>
      </w:r>
      <w:r>
        <w:rPr>
          <w:rStyle w:val="13"/>
          <w:rFonts w:hint="eastAsia" w:ascii="方正仿宋_GBK" w:hAnsi="方正仿宋_GBK" w:eastAsia="方正仿宋_GBK" w:cs="方正仿宋_GBK"/>
          <w:b w:val="0"/>
          <w:color w:val="auto"/>
          <w:spacing w:val="6"/>
          <w:sz w:val="32"/>
          <w:szCs w:val="32"/>
          <w:highlight w:val="none"/>
          <w:lang w:val="en-US" w:eastAsia="zh-CN"/>
        </w:rPr>
        <w:t>预期指标是等于46人，经查看市监局人员花名册、银行代发工资清单等资料，实际完成值是46人，指标完成率是100%，达到预期目标；</w:t>
      </w:r>
      <w:r>
        <w:rPr>
          <w:rStyle w:val="13"/>
          <w:rFonts w:hint="default" w:ascii="方正仿宋_GBK" w:hAnsi="方正仿宋_GBK" w:eastAsia="方正仿宋_GBK" w:cs="方正仿宋_GBK"/>
          <w:b w:val="0"/>
          <w:bCs w:val="0"/>
          <w:i w:val="0"/>
          <w:iCs w:val="0"/>
          <w:color w:val="auto"/>
          <w:spacing w:val="6"/>
          <w:kern w:val="2"/>
          <w:sz w:val="32"/>
          <w:szCs w:val="32"/>
          <w:highlight w:val="none"/>
          <w:vertAlign w:val="baseline"/>
          <w:lang w:val="en-US" w:eastAsia="zh-CN" w:bidi="ar-SA"/>
        </w:rPr>
        <w:t>该指标满分3分，根据评分标准得3分。</w:t>
      </w:r>
    </w:p>
    <w:p>
      <w:pPr>
        <w:pStyle w:val="17"/>
        <w:keepNext w:val="0"/>
        <w:keepLines w:val="0"/>
        <w:pageBreakBefore w:val="0"/>
        <w:widowControl w:val="0"/>
        <w:numPr>
          <w:ilvl w:val="0"/>
          <w:numId w:val="0"/>
        </w:numPr>
        <w:kinsoku/>
        <w:wordWrap/>
        <w:overflowPunct/>
        <w:topLinePunct w:val="0"/>
        <w:autoSpaceDE/>
        <w:autoSpaceDN/>
        <w:bidi w:val="0"/>
        <w:adjustRightInd/>
        <w:snapToGrid w:val="0"/>
        <w:spacing w:line="570" w:lineRule="atLeast"/>
        <w:ind w:firstLine="667" w:firstLineChars="200"/>
        <w:textAlignment w:val="auto"/>
        <w:rPr>
          <w:rStyle w:val="13"/>
          <w:rFonts w:hint="default" w:ascii="方正仿宋_GBK" w:hAnsi="方正仿宋_GBK" w:eastAsia="方正仿宋_GBK" w:cs="方正仿宋_GBK"/>
          <w:b/>
          <w:bCs w:val="0"/>
          <w:color w:val="auto"/>
          <w:spacing w:val="6"/>
          <w:sz w:val="32"/>
          <w:szCs w:val="32"/>
          <w:highlight w:val="none"/>
          <w:lang w:val="en-US" w:eastAsia="zh-CN"/>
        </w:rPr>
      </w:pPr>
      <w:r>
        <w:rPr>
          <w:rStyle w:val="13"/>
          <w:rFonts w:hint="eastAsia" w:ascii="方正仿宋_GBK" w:hAnsi="方正仿宋_GBK" w:eastAsia="方正仿宋_GBK" w:cs="方正仿宋_GBK"/>
          <w:b/>
          <w:bCs w:val="0"/>
          <w:color w:val="auto"/>
          <w:spacing w:val="6"/>
          <w:sz w:val="32"/>
          <w:szCs w:val="32"/>
          <w:highlight w:val="none"/>
          <w:lang w:val="en-US" w:eastAsia="zh-CN"/>
        </w:rPr>
        <w:t>3.C213公务保障用车数量指标:</w:t>
      </w:r>
    </w:p>
    <w:p>
      <w:pPr>
        <w:pStyle w:val="17"/>
        <w:keepNext w:val="0"/>
        <w:keepLines w:val="0"/>
        <w:pageBreakBefore w:val="0"/>
        <w:widowControl w:val="0"/>
        <w:numPr>
          <w:ilvl w:val="0"/>
          <w:numId w:val="0"/>
        </w:numPr>
        <w:kinsoku/>
        <w:wordWrap/>
        <w:overflowPunct/>
        <w:topLinePunct w:val="0"/>
        <w:autoSpaceDE/>
        <w:autoSpaceDN/>
        <w:bidi w:val="0"/>
        <w:adjustRightInd/>
        <w:snapToGrid w:val="0"/>
        <w:spacing w:line="570" w:lineRule="atLeast"/>
        <w:ind w:firstLine="664" w:firstLineChars="200"/>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val="0"/>
          <w:bCs/>
          <w:color w:val="auto"/>
          <w:spacing w:val="6"/>
          <w:sz w:val="32"/>
          <w:szCs w:val="32"/>
          <w:highlight w:val="none"/>
          <w:lang w:val="en-US" w:eastAsia="zh-CN"/>
        </w:rPr>
        <w:t>公务保障用车数量指标</w:t>
      </w:r>
      <w:r>
        <w:rPr>
          <w:rStyle w:val="13"/>
          <w:rFonts w:hint="eastAsia" w:ascii="方正仿宋_GBK" w:hAnsi="方正仿宋_GBK" w:eastAsia="方正仿宋_GBK" w:cs="方正仿宋_GBK"/>
          <w:b w:val="0"/>
          <w:color w:val="auto"/>
          <w:spacing w:val="6"/>
          <w:sz w:val="32"/>
          <w:szCs w:val="32"/>
          <w:highlight w:val="none"/>
          <w:lang w:val="en-US" w:eastAsia="zh-CN"/>
        </w:rPr>
        <w:t>预期指标是等于5辆，经查看</w:t>
      </w:r>
      <w:r>
        <w:rPr>
          <w:rStyle w:val="13"/>
          <w:rFonts w:hint="eastAsia" w:ascii="方正仿宋_GBK" w:hAnsi="方正仿宋_GBK" w:eastAsia="方正仿宋_GBK" w:cs="方正仿宋_GBK"/>
          <w:b w:val="0"/>
          <w:bCs/>
          <w:color w:val="333333"/>
          <w:spacing w:val="6"/>
          <w:sz w:val="32"/>
          <w:szCs w:val="32"/>
          <w:highlight w:val="none"/>
          <w:lang w:val="en-US" w:eastAsia="zh-CN"/>
        </w:rPr>
        <w:t>《关于2022年度伽师县部门预算的批复》（伽财行预〔2022〕01号）</w:t>
      </w:r>
      <w:r>
        <w:rPr>
          <w:rStyle w:val="13"/>
          <w:rFonts w:hint="eastAsia" w:ascii="方正仿宋_GBK" w:hAnsi="方正仿宋_GBK" w:eastAsia="方正仿宋_GBK" w:cs="方正仿宋_GBK"/>
          <w:b w:val="0"/>
          <w:color w:val="auto"/>
          <w:spacing w:val="6"/>
          <w:sz w:val="32"/>
          <w:szCs w:val="32"/>
          <w:highlight w:val="none"/>
          <w:lang w:val="en-US" w:eastAsia="zh-CN"/>
        </w:rPr>
        <w:t>等资料，实际完成值是5辆，指标完成率是100%，达到预期目标；</w:t>
      </w:r>
      <w:r>
        <w:rPr>
          <w:rStyle w:val="13"/>
          <w:rFonts w:hint="default" w:ascii="方正仿宋_GBK" w:hAnsi="方正仿宋_GBK" w:eastAsia="方正仿宋_GBK" w:cs="方正仿宋_GBK"/>
          <w:b w:val="0"/>
          <w:bCs w:val="0"/>
          <w:i w:val="0"/>
          <w:iCs w:val="0"/>
          <w:color w:val="auto"/>
          <w:spacing w:val="6"/>
          <w:kern w:val="2"/>
          <w:sz w:val="32"/>
          <w:szCs w:val="32"/>
          <w:highlight w:val="none"/>
          <w:vertAlign w:val="baseline"/>
          <w:lang w:val="en-US" w:eastAsia="zh-CN" w:bidi="ar-SA"/>
        </w:rPr>
        <w:t>该指标满分3分，根据评分标准得3分。</w:t>
      </w:r>
    </w:p>
    <w:p>
      <w:pPr>
        <w:numPr>
          <w:ilvl w:val="0"/>
          <w:numId w:val="0"/>
        </w:numPr>
        <w:spacing w:line="360" w:lineRule="auto"/>
        <w:ind w:firstLine="667" w:firstLineChars="200"/>
        <w:jc w:val="both"/>
        <w:rPr>
          <w:rStyle w:val="13"/>
          <w:rFonts w:hint="default" w:ascii="方正仿宋_GBK" w:hAnsi="方正仿宋_GBK" w:eastAsia="方正仿宋_GBK" w:cs="方正仿宋_GBK"/>
          <w:b/>
          <w:bCs w:val="0"/>
          <w:color w:val="auto"/>
          <w:spacing w:val="6"/>
          <w:sz w:val="32"/>
          <w:szCs w:val="32"/>
          <w:highlight w:val="none"/>
          <w:lang w:val="en-US" w:eastAsia="zh-CN"/>
        </w:rPr>
      </w:pPr>
      <w:r>
        <w:rPr>
          <w:rStyle w:val="13"/>
          <w:rFonts w:hint="eastAsia" w:ascii="方正仿宋_GBK" w:hAnsi="方正仿宋_GBK" w:eastAsia="方正仿宋_GBK" w:cs="方正仿宋_GBK"/>
          <w:b/>
          <w:bCs w:val="0"/>
          <w:color w:val="auto"/>
          <w:spacing w:val="6"/>
          <w:sz w:val="32"/>
          <w:szCs w:val="32"/>
          <w:highlight w:val="none"/>
          <w:lang w:val="en-US" w:eastAsia="zh-CN"/>
        </w:rPr>
        <w:t>4.C214房屋建筑物供暖面积指标:</w:t>
      </w:r>
    </w:p>
    <w:p>
      <w:pPr>
        <w:numPr>
          <w:ilvl w:val="0"/>
          <w:numId w:val="0"/>
        </w:numPr>
        <w:spacing w:line="360" w:lineRule="auto"/>
        <w:ind w:firstLine="664" w:firstLineChars="200"/>
        <w:jc w:val="both"/>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val="0"/>
          <w:color w:val="auto"/>
          <w:spacing w:val="6"/>
          <w:sz w:val="32"/>
          <w:szCs w:val="32"/>
          <w:highlight w:val="none"/>
          <w:lang w:val="en-US" w:eastAsia="zh-CN"/>
        </w:rPr>
        <w:t>房屋建筑物供暖面积指标预期指标是等于3433平方米，经查看《伽师县市场监督管理局2022年度行政事业性国有资产分析报告》、资产管理系统，实际完成值是3433平方米，指标完成率是100%，达到预期目标；</w:t>
      </w:r>
      <w:r>
        <w:rPr>
          <w:rStyle w:val="13"/>
          <w:rFonts w:hint="default" w:ascii="方正仿宋_GBK" w:hAnsi="方正仿宋_GBK" w:eastAsia="方正仿宋_GBK" w:cs="方正仿宋_GBK"/>
          <w:b w:val="0"/>
          <w:bCs w:val="0"/>
          <w:i w:val="0"/>
          <w:iCs w:val="0"/>
          <w:color w:val="auto"/>
          <w:spacing w:val="6"/>
          <w:kern w:val="2"/>
          <w:sz w:val="32"/>
          <w:szCs w:val="32"/>
          <w:highlight w:val="none"/>
          <w:vertAlign w:val="baseline"/>
          <w:lang w:val="en-US" w:eastAsia="zh-CN" w:bidi="ar-SA"/>
        </w:rPr>
        <w:t>该指标满分3分，根据评分标准得3分。</w:t>
      </w:r>
    </w:p>
    <w:p>
      <w:pPr>
        <w:pStyle w:val="17"/>
        <w:keepNext w:val="0"/>
        <w:keepLines w:val="0"/>
        <w:pageBreakBefore w:val="0"/>
        <w:widowControl w:val="0"/>
        <w:kinsoku/>
        <w:wordWrap/>
        <w:overflowPunct/>
        <w:topLinePunct w:val="0"/>
        <w:autoSpaceDE/>
        <w:autoSpaceDN/>
        <w:bidi w:val="0"/>
        <w:adjustRightInd/>
        <w:snapToGrid w:val="0"/>
        <w:spacing w:line="570" w:lineRule="atLeast"/>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default" w:ascii="方正仿宋_GBK" w:hAnsi="方正仿宋_GBK" w:eastAsia="方正仿宋_GBK" w:cs="方正仿宋_GBK"/>
          <w:b w:val="0"/>
          <w:bCs w:val="0"/>
          <w:i w:val="0"/>
          <w:iCs w:val="0"/>
          <w:color w:val="auto"/>
          <w:spacing w:val="6"/>
          <w:kern w:val="2"/>
          <w:sz w:val="32"/>
          <w:szCs w:val="32"/>
          <w:highlight w:val="none"/>
          <w:vertAlign w:val="baseline"/>
          <w:lang w:val="en-US" w:eastAsia="zh-CN" w:bidi="ar-SA"/>
        </w:rPr>
        <w:t>合计得分10.88分。</w:t>
      </w:r>
    </w:p>
    <w:p>
      <w:pPr>
        <w:pStyle w:val="17"/>
        <w:keepNext w:val="0"/>
        <w:keepLines w:val="0"/>
        <w:pageBreakBefore w:val="0"/>
        <w:kinsoku/>
        <w:overflowPunct/>
        <w:topLinePunct w:val="0"/>
        <w:autoSpaceDE/>
        <w:autoSpaceDN/>
        <w:bidi w:val="0"/>
        <w:snapToGrid w:val="0"/>
        <w:spacing w:line="570" w:lineRule="atLeast"/>
        <w:textAlignment w:val="auto"/>
        <w:rPr>
          <w:rFonts w:hint="eastAsia" w:ascii="方正仿宋_GBK" w:hAnsi="方正仿宋_GBK" w:eastAsia="方正仿宋_GBK" w:cs="方正仿宋_GBK"/>
          <w:b/>
          <w:bCs/>
          <w:color w:val="auto"/>
          <w:kern w:val="0"/>
          <w:sz w:val="32"/>
          <w:szCs w:val="32"/>
        </w:rPr>
      </w:pPr>
      <w:r>
        <w:rPr>
          <w:rStyle w:val="13"/>
          <w:rFonts w:hint="eastAsia" w:ascii="方正仿宋_GBK" w:hAnsi="方正仿宋_GBK" w:eastAsia="方正仿宋_GBK" w:cs="方正仿宋_GBK"/>
          <w:b w:val="0"/>
          <w:color w:val="auto"/>
          <w:spacing w:val="6"/>
          <w:sz w:val="32"/>
          <w:szCs w:val="32"/>
          <w:highlight w:val="none"/>
          <w:lang w:val="en-US" w:eastAsia="zh-CN"/>
        </w:rPr>
        <w:t>数量指标共计4个，完成3个，部分到预期目标，主要原因：保障在职人员人数（人）指标未完成，在职人员辞职2人，在职死亡1人。</w:t>
      </w:r>
    </w:p>
    <w:p>
      <w:pPr>
        <w:pStyle w:val="17"/>
        <w:keepNext w:val="0"/>
        <w:keepLines w:val="0"/>
        <w:pageBreakBefore w:val="0"/>
        <w:kinsoku/>
        <w:overflowPunct/>
        <w:topLinePunct w:val="0"/>
        <w:autoSpaceDE/>
        <w:autoSpaceDN/>
        <w:bidi w:val="0"/>
        <w:snapToGrid w:val="0"/>
        <w:spacing w:line="570" w:lineRule="atLeast"/>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Fonts w:hint="eastAsia" w:ascii="方正仿宋_GBK" w:hAnsi="方正仿宋_GBK" w:eastAsia="方正仿宋_GBK" w:cs="方正仿宋_GBK"/>
          <w:b/>
          <w:bCs/>
          <w:color w:val="auto"/>
          <w:kern w:val="0"/>
          <w:sz w:val="32"/>
          <w:szCs w:val="32"/>
        </w:rPr>
        <w:t>C22质量指标</w:t>
      </w:r>
    </w:p>
    <w:p>
      <w:pPr>
        <w:pStyle w:val="17"/>
        <w:keepNext w:val="0"/>
        <w:keepLines w:val="0"/>
        <w:pageBreakBefore w:val="0"/>
        <w:numPr>
          <w:ilvl w:val="0"/>
          <w:numId w:val="0"/>
        </w:numPr>
        <w:kinsoku/>
        <w:overflowPunct/>
        <w:topLinePunct w:val="0"/>
        <w:autoSpaceDE/>
        <w:autoSpaceDN/>
        <w:bidi w:val="0"/>
        <w:snapToGrid w:val="0"/>
        <w:spacing w:line="570" w:lineRule="atLeast"/>
        <w:ind w:leftChars="0" w:firstLine="667" w:firstLineChars="200"/>
        <w:textAlignment w:val="auto"/>
        <w:rPr>
          <w:rStyle w:val="13"/>
          <w:rFonts w:hint="default" w:ascii="方正仿宋_GBK" w:hAnsi="方正仿宋_GBK" w:eastAsia="方正仿宋_GBK" w:cs="方正仿宋_GBK"/>
          <w:b/>
          <w:bCs w:val="0"/>
          <w:color w:val="auto"/>
          <w:spacing w:val="6"/>
          <w:sz w:val="32"/>
          <w:szCs w:val="32"/>
          <w:highlight w:val="none"/>
          <w:lang w:val="en-US" w:eastAsia="zh-CN"/>
        </w:rPr>
      </w:pPr>
      <w:r>
        <w:rPr>
          <w:rStyle w:val="13"/>
          <w:rFonts w:hint="eastAsia" w:ascii="方正仿宋_GBK" w:hAnsi="方正仿宋_GBK" w:eastAsia="方正仿宋_GBK" w:cs="方正仿宋_GBK"/>
          <w:b/>
          <w:bCs w:val="0"/>
          <w:color w:val="auto"/>
          <w:spacing w:val="6"/>
          <w:sz w:val="32"/>
          <w:szCs w:val="32"/>
          <w:highlight w:val="none"/>
          <w:lang w:val="en-US" w:eastAsia="zh-CN"/>
        </w:rPr>
        <w:t>1.C221工资及补助发放率指标:</w:t>
      </w:r>
    </w:p>
    <w:p>
      <w:pPr>
        <w:pStyle w:val="17"/>
        <w:keepNext w:val="0"/>
        <w:keepLines w:val="0"/>
        <w:pageBreakBefore w:val="0"/>
        <w:numPr>
          <w:ilvl w:val="0"/>
          <w:numId w:val="0"/>
        </w:numPr>
        <w:kinsoku/>
        <w:overflowPunct/>
        <w:topLinePunct w:val="0"/>
        <w:autoSpaceDE/>
        <w:autoSpaceDN/>
        <w:bidi w:val="0"/>
        <w:snapToGrid w:val="0"/>
        <w:spacing w:line="570" w:lineRule="atLeast"/>
        <w:ind w:leftChars="0" w:firstLine="664" w:firstLineChars="200"/>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val="0"/>
          <w:bCs/>
          <w:color w:val="auto"/>
          <w:spacing w:val="6"/>
          <w:sz w:val="32"/>
          <w:szCs w:val="32"/>
          <w:highlight w:val="none"/>
          <w:lang w:val="en-US" w:eastAsia="zh-CN"/>
        </w:rPr>
        <w:t>工资及补助发放率</w:t>
      </w:r>
      <w:r>
        <w:rPr>
          <w:rStyle w:val="13"/>
          <w:rFonts w:hint="eastAsia" w:ascii="方正仿宋_GBK" w:hAnsi="方正仿宋_GBK" w:eastAsia="方正仿宋_GBK" w:cs="方正仿宋_GBK"/>
          <w:b w:val="0"/>
          <w:color w:val="auto"/>
          <w:spacing w:val="6"/>
          <w:sz w:val="32"/>
          <w:szCs w:val="32"/>
          <w:highlight w:val="none"/>
          <w:lang w:val="en-US" w:eastAsia="zh-CN"/>
        </w:rPr>
        <w:t>预期指标是等于100%，经查看市监局全年支出台账、支付凭证，实际完成值是100%，指标完成率是100%，达到预期目标；</w:t>
      </w:r>
      <w:r>
        <w:rPr>
          <w:rStyle w:val="13"/>
          <w:rFonts w:hint="default" w:ascii="方正仿宋_GBK" w:hAnsi="方正仿宋_GBK" w:eastAsia="方正仿宋_GBK" w:cs="方正仿宋_GBK"/>
          <w:b w:val="0"/>
          <w:bCs w:val="0"/>
          <w:i w:val="0"/>
          <w:iCs w:val="0"/>
          <w:color w:val="auto"/>
          <w:spacing w:val="6"/>
          <w:kern w:val="2"/>
          <w:sz w:val="32"/>
          <w:szCs w:val="32"/>
          <w:highlight w:val="none"/>
          <w:vertAlign w:val="baseline"/>
          <w:lang w:val="en-US" w:eastAsia="zh-CN" w:bidi="ar-SA"/>
        </w:rPr>
        <w:t>该指标满分3分，根据评分标准得3分。</w:t>
      </w:r>
    </w:p>
    <w:p>
      <w:pPr>
        <w:pStyle w:val="17"/>
        <w:keepNext w:val="0"/>
        <w:keepLines w:val="0"/>
        <w:pageBreakBefore w:val="0"/>
        <w:numPr>
          <w:ilvl w:val="0"/>
          <w:numId w:val="0"/>
        </w:numPr>
        <w:kinsoku/>
        <w:overflowPunct/>
        <w:topLinePunct w:val="0"/>
        <w:autoSpaceDE/>
        <w:autoSpaceDN/>
        <w:bidi w:val="0"/>
        <w:snapToGrid w:val="0"/>
        <w:spacing w:line="570" w:lineRule="atLeast"/>
        <w:ind w:leftChars="0" w:firstLine="667" w:firstLineChars="200"/>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bCs w:val="0"/>
          <w:color w:val="auto"/>
          <w:spacing w:val="6"/>
          <w:sz w:val="32"/>
          <w:szCs w:val="32"/>
          <w:highlight w:val="none"/>
          <w:lang w:val="en-US" w:eastAsia="zh-CN"/>
        </w:rPr>
        <w:t>2.C222保障车辆及办公设备正常运转率指标:</w:t>
      </w:r>
    </w:p>
    <w:p>
      <w:pPr>
        <w:pStyle w:val="17"/>
        <w:keepNext w:val="0"/>
        <w:keepLines w:val="0"/>
        <w:pageBreakBefore w:val="0"/>
        <w:kinsoku/>
        <w:overflowPunct/>
        <w:topLinePunct w:val="0"/>
        <w:autoSpaceDE/>
        <w:autoSpaceDN/>
        <w:bidi w:val="0"/>
        <w:snapToGrid w:val="0"/>
        <w:spacing w:line="570" w:lineRule="atLeast"/>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val="0"/>
          <w:color w:val="auto"/>
          <w:spacing w:val="6"/>
          <w:sz w:val="32"/>
          <w:szCs w:val="32"/>
          <w:highlight w:val="none"/>
          <w:lang w:val="en-US" w:eastAsia="zh-CN"/>
        </w:rPr>
        <w:t>保障车辆及办公设备正常运转率预期指标是等于100%，经查看市监局全年支出台账、支付凭证、工作总结，实际完成值是100%，指标完成率是100%，达到预期目标；</w:t>
      </w:r>
      <w:r>
        <w:rPr>
          <w:rStyle w:val="13"/>
          <w:rFonts w:hint="default" w:ascii="方正仿宋_GBK" w:hAnsi="方正仿宋_GBK" w:eastAsia="方正仿宋_GBK" w:cs="方正仿宋_GBK"/>
          <w:b w:val="0"/>
          <w:bCs w:val="0"/>
          <w:i w:val="0"/>
          <w:iCs w:val="0"/>
          <w:color w:val="auto"/>
          <w:spacing w:val="6"/>
          <w:kern w:val="2"/>
          <w:sz w:val="32"/>
          <w:szCs w:val="32"/>
          <w:highlight w:val="none"/>
          <w:vertAlign w:val="baseline"/>
          <w:lang w:val="en-US" w:eastAsia="zh-CN" w:bidi="ar-SA"/>
        </w:rPr>
        <w:t>该指标满分3分，根据评分标准得3分。</w:t>
      </w:r>
    </w:p>
    <w:p>
      <w:pPr>
        <w:pStyle w:val="17"/>
        <w:keepNext w:val="0"/>
        <w:keepLines w:val="0"/>
        <w:pageBreakBefore w:val="0"/>
        <w:numPr>
          <w:ilvl w:val="0"/>
          <w:numId w:val="0"/>
        </w:numPr>
        <w:kinsoku/>
        <w:overflowPunct/>
        <w:topLinePunct w:val="0"/>
        <w:autoSpaceDE/>
        <w:autoSpaceDN/>
        <w:bidi w:val="0"/>
        <w:snapToGrid w:val="0"/>
        <w:spacing w:line="570" w:lineRule="atLeast"/>
        <w:ind w:leftChars="0" w:firstLine="667" w:firstLineChars="200"/>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bCs w:val="0"/>
          <w:color w:val="auto"/>
          <w:spacing w:val="6"/>
          <w:sz w:val="32"/>
          <w:szCs w:val="32"/>
          <w:highlight w:val="none"/>
          <w:lang w:val="en-US" w:eastAsia="zh-CN"/>
        </w:rPr>
        <w:t>3.C223部门预算资金到位率指标:</w:t>
      </w:r>
    </w:p>
    <w:p>
      <w:pPr>
        <w:pStyle w:val="17"/>
        <w:keepNext w:val="0"/>
        <w:keepLines w:val="0"/>
        <w:pageBreakBefore w:val="0"/>
        <w:kinsoku/>
        <w:overflowPunct/>
        <w:topLinePunct w:val="0"/>
        <w:autoSpaceDE/>
        <w:autoSpaceDN/>
        <w:bidi w:val="0"/>
        <w:snapToGrid w:val="0"/>
        <w:spacing w:line="570" w:lineRule="atLeast"/>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val="0"/>
          <w:color w:val="auto"/>
          <w:spacing w:val="6"/>
          <w:sz w:val="32"/>
          <w:szCs w:val="32"/>
          <w:highlight w:val="none"/>
          <w:lang w:val="en-US" w:eastAsia="zh-CN"/>
        </w:rPr>
        <w:t>部门预算资金到位率预期指标是等于100%，经查看市监局全年支出台账、支付凭证，实际完成值是100%，指标完成率是100%，达到预期目标；</w:t>
      </w:r>
      <w:r>
        <w:rPr>
          <w:rStyle w:val="13"/>
          <w:rFonts w:hint="default" w:ascii="方正仿宋_GBK" w:hAnsi="方正仿宋_GBK" w:eastAsia="方正仿宋_GBK" w:cs="方正仿宋_GBK"/>
          <w:b w:val="0"/>
          <w:bCs w:val="0"/>
          <w:i w:val="0"/>
          <w:iCs w:val="0"/>
          <w:color w:val="auto"/>
          <w:spacing w:val="6"/>
          <w:kern w:val="2"/>
          <w:sz w:val="32"/>
          <w:szCs w:val="32"/>
          <w:highlight w:val="none"/>
          <w:vertAlign w:val="baseline"/>
          <w:lang w:val="en-US" w:eastAsia="zh-CN" w:bidi="ar-SA"/>
        </w:rPr>
        <w:t>该指标满分3分，根据评分标准得3分。</w:t>
      </w:r>
    </w:p>
    <w:p>
      <w:pPr>
        <w:pStyle w:val="17"/>
        <w:keepNext w:val="0"/>
        <w:keepLines w:val="0"/>
        <w:pageBreakBefore w:val="0"/>
        <w:kinsoku/>
        <w:overflowPunct/>
        <w:topLinePunct w:val="0"/>
        <w:autoSpaceDE/>
        <w:autoSpaceDN/>
        <w:bidi w:val="0"/>
        <w:snapToGrid w:val="0"/>
        <w:spacing w:line="570" w:lineRule="atLeast"/>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default" w:ascii="方正仿宋_GBK" w:hAnsi="方正仿宋_GBK" w:eastAsia="方正仿宋_GBK" w:cs="方正仿宋_GBK"/>
          <w:b w:val="0"/>
          <w:color w:val="auto"/>
          <w:spacing w:val="6"/>
          <w:sz w:val="32"/>
          <w:szCs w:val="32"/>
          <w:highlight w:val="none"/>
          <w:lang w:val="en-US" w:eastAsia="zh-CN"/>
        </w:rPr>
        <w:t>合计得分9分。</w:t>
      </w:r>
    </w:p>
    <w:p>
      <w:pPr>
        <w:pStyle w:val="17"/>
        <w:keepNext w:val="0"/>
        <w:keepLines w:val="0"/>
        <w:pageBreakBefore w:val="0"/>
        <w:kinsoku/>
        <w:overflowPunct/>
        <w:topLinePunct w:val="0"/>
        <w:autoSpaceDE/>
        <w:autoSpaceDN/>
        <w:bidi w:val="0"/>
        <w:snapToGrid w:val="0"/>
        <w:spacing w:line="570" w:lineRule="atLeast"/>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val="0"/>
          <w:color w:val="auto"/>
          <w:spacing w:val="6"/>
          <w:sz w:val="32"/>
          <w:szCs w:val="32"/>
          <w:highlight w:val="none"/>
          <w:lang w:val="en-US" w:eastAsia="zh-CN"/>
        </w:rPr>
        <w:t>质量指标共计3个，完成3个，达到预期标准。质量指标完成。</w:t>
      </w:r>
    </w:p>
    <w:p>
      <w:pPr>
        <w:pStyle w:val="17"/>
        <w:keepNext w:val="0"/>
        <w:keepLines w:val="0"/>
        <w:pageBreakBefore w:val="0"/>
        <w:widowControl w:val="0"/>
        <w:kinsoku/>
        <w:wordWrap/>
        <w:overflowPunct/>
        <w:topLinePunct w:val="0"/>
        <w:autoSpaceDE/>
        <w:autoSpaceDN/>
        <w:bidi w:val="0"/>
        <w:adjustRightInd/>
        <w:snapToGrid w:val="0"/>
        <w:spacing w:line="570" w:lineRule="atLeast"/>
        <w:jc w:val="both"/>
        <w:textAlignment w:val="auto"/>
        <w:outlineLvl w:val="2"/>
        <w:rPr>
          <w:rStyle w:val="13"/>
          <w:rFonts w:hint="eastAsia" w:ascii="方正仿宋_GBK" w:hAnsi="方正仿宋_GBK" w:eastAsia="方正仿宋_GBK" w:cs="方正仿宋_GBK"/>
          <w:b/>
          <w:bCs/>
          <w:i w:val="0"/>
          <w:iCs w:val="0"/>
          <w:spacing w:val="6"/>
          <w:sz w:val="32"/>
          <w:szCs w:val="32"/>
          <w:highlight w:val="none"/>
          <w:lang w:val="en-US" w:eastAsia="zh-CN"/>
        </w:rPr>
      </w:pPr>
      <w:r>
        <w:rPr>
          <w:rFonts w:hint="eastAsia" w:ascii="方正仿宋_GBK" w:hAnsi="方正仿宋_GBK" w:eastAsia="方正仿宋_GBK" w:cs="方正仿宋_GBK"/>
          <w:b/>
          <w:bCs/>
          <w:color w:val="auto"/>
          <w:kern w:val="0"/>
          <w:sz w:val="32"/>
          <w:szCs w:val="32"/>
        </w:rPr>
        <w:t>C23时效指标</w:t>
      </w:r>
    </w:p>
    <w:p>
      <w:pPr>
        <w:pStyle w:val="17"/>
        <w:keepNext w:val="0"/>
        <w:keepLines w:val="0"/>
        <w:pageBreakBefore w:val="0"/>
        <w:numPr>
          <w:ilvl w:val="0"/>
          <w:numId w:val="0"/>
        </w:numPr>
        <w:kinsoku/>
        <w:overflowPunct/>
        <w:topLinePunct w:val="0"/>
        <w:autoSpaceDE/>
        <w:autoSpaceDN/>
        <w:bidi w:val="0"/>
        <w:snapToGrid w:val="0"/>
        <w:spacing w:line="570" w:lineRule="atLeast"/>
        <w:ind w:firstLine="667" w:firstLineChars="200"/>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bCs w:val="0"/>
          <w:color w:val="auto"/>
          <w:spacing w:val="6"/>
          <w:sz w:val="32"/>
          <w:szCs w:val="32"/>
          <w:highlight w:val="none"/>
          <w:lang w:val="en-US" w:eastAsia="zh-CN"/>
        </w:rPr>
        <w:t>1.C231工资及补助发放及时率指标:</w:t>
      </w:r>
    </w:p>
    <w:p>
      <w:pPr>
        <w:pStyle w:val="17"/>
        <w:keepNext w:val="0"/>
        <w:keepLines w:val="0"/>
        <w:pageBreakBefore w:val="0"/>
        <w:numPr>
          <w:ilvl w:val="0"/>
          <w:numId w:val="0"/>
        </w:numPr>
        <w:kinsoku/>
        <w:overflowPunct/>
        <w:topLinePunct w:val="0"/>
        <w:autoSpaceDE/>
        <w:autoSpaceDN/>
        <w:bidi w:val="0"/>
        <w:snapToGrid w:val="0"/>
        <w:spacing w:line="570" w:lineRule="atLeast"/>
        <w:ind w:firstLine="664" w:firstLineChars="200"/>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val="0"/>
          <w:color w:val="auto"/>
          <w:spacing w:val="6"/>
          <w:sz w:val="32"/>
          <w:szCs w:val="32"/>
          <w:highlight w:val="none"/>
          <w:lang w:val="en-US" w:eastAsia="zh-CN"/>
        </w:rPr>
        <w:t>工资及补助发放及时率预期指标是100%，经查看市监局全年支出台账、支付凭证，实际完成值是100%，指标完成率是100%，达到预期目标；</w:t>
      </w:r>
      <w:r>
        <w:rPr>
          <w:rStyle w:val="13"/>
          <w:rFonts w:hint="default" w:ascii="方正仿宋_GBK" w:hAnsi="方正仿宋_GBK" w:eastAsia="方正仿宋_GBK" w:cs="方正仿宋_GBK"/>
          <w:b w:val="0"/>
          <w:bCs w:val="0"/>
          <w:i w:val="0"/>
          <w:iCs w:val="0"/>
          <w:color w:val="auto"/>
          <w:spacing w:val="6"/>
          <w:kern w:val="2"/>
          <w:sz w:val="32"/>
          <w:szCs w:val="32"/>
          <w:highlight w:val="none"/>
          <w:vertAlign w:val="baseline"/>
          <w:lang w:val="en-US" w:eastAsia="zh-CN" w:bidi="ar-SA"/>
        </w:rPr>
        <w:t>该指标满分3分，根据评分标准得3分。</w:t>
      </w:r>
    </w:p>
    <w:p>
      <w:pPr>
        <w:pStyle w:val="17"/>
        <w:keepNext w:val="0"/>
        <w:keepLines w:val="0"/>
        <w:pageBreakBefore w:val="0"/>
        <w:kinsoku/>
        <w:overflowPunct/>
        <w:topLinePunct w:val="0"/>
        <w:autoSpaceDE/>
        <w:autoSpaceDN/>
        <w:bidi w:val="0"/>
        <w:snapToGrid w:val="0"/>
        <w:spacing w:line="570" w:lineRule="atLeast"/>
        <w:textAlignment w:val="auto"/>
        <w:rPr>
          <w:rStyle w:val="13"/>
          <w:rFonts w:hint="default" w:ascii="方正仿宋_GBK" w:hAnsi="方正仿宋_GBK" w:eastAsia="方正仿宋_GBK" w:cs="方正仿宋_GBK"/>
          <w:b/>
          <w:bCs w:val="0"/>
          <w:color w:val="auto"/>
          <w:spacing w:val="6"/>
          <w:sz w:val="32"/>
          <w:szCs w:val="32"/>
          <w:highlight w:val="none"/>
          <w:lang w:val="en-US" w:eastAsia="zh-CN"/>
        </w:rPr>
      </w:pPr>
      <w:r>
        <w:rPr>
          <w:rStyle w:val="13"/>
          <w:rFonts w:hint="eastAsia" w:ascii="方正仿宋_GBK" w:hAnsi="方正仿宋_GBK" w:eastAsia="方正仿宋_GBK" w:cs="方正仿宋_GBK"/>
          <w:b/>
          <w:bCs w:val="0"/>
          <w:color w:val="auto"/>
          <w:spacing w:val="6"/>
          <w:sz w:val="32"/>
          <w:szCs w:val="32"/>
          <w:highlight w:val="none"/>
          <w:lang w:val="en-US" w:eastAsia="zh-CN"/>
        </w:rPr>
        <w:t>2.C232项目截止期限指标:</w:t>
      </w:r>
    </w:p>
    <w:p>
      <w:pPr>
        <w:pStyle w:val="17"/>
        <w:keepNext w:val="0"/>
        <w:keepLines w:val="0"/>
        <w:pageBreakBefore w:val="0"/>
        <w:kinsoku/>
        <w:overflowPunct/>
        <w:topLinePunct w:val="0"/>
        <w:autoSpaceDE/>
        <w:autoSpaceDN/>
        <w:bidi w:val="0"/>
        <w:snapToGrid w:val="0"/>
        <w:spacing w:line="570" w:lineRule="atLeast"/>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val="0"/>
          <w:color w:val="auto"/>
          <w:spacing w:val="6"/>
          <w:sz w:val="32"/>
          <w:szCs w:val="32"/>
          <w:highlight w:val="none"/>
          <w:lang w:val="en-US" w:eastAsia="zh-CN"/>
        </w:rPr>
        <w:t>项目截止期限预期指标是2022年12月20日，经查看市监局全年支出台账、支付凭证，实际完成值是2022年12月20日，指标完成率是100%，达到预期目标；</w:t>
      </w:r>
      <w:r>
        <w:rPr>
          <w:rStyle w:val="13"/>
          <w:rFonts w:hint="default" w:ascii="方正仿宋_GBK" w:hAnsi="方正仿宋_GBK" w:eastAsia="方正仿宋_GBK" w:cs="方正仿宋_GBK"/>
          <w:b w:val="0"/>
          <w:bCs w:val="0"/>
          <w:i w:val="0"/>
          <w:iCs w:val="0"/>
          <w:color w:val="auto"/>
          <w:spacing w:val="6"/>
          <w:kern w:val="2"/>
          <w:sz w:val="32"/>
          <w:szCs w:val="32"/>
          <w:highlight w:val="none"/>
          <w:vertAlign w:val="baseline"/>
          <w:lang w:val="en-US" w:eastAsia="zh-CN" w:bidi="ar-SA"/>
        </w:rPr>
        <w:t>该指标满分3分，根据评分标准得3分。</w:t>
      </w:r>
    </w:p>
    <w:p>
      <w:pPr>
        <w:pStyle w:val="17"/>
        <w:keepNext w:val="0"/>
        <w:keepLines w:val="0"/>
        <w:pageBreakBefore w:val="0"/>
        <w:kinsoku/>
        <w:overflowPunct/>
        <w:topLinePunct w:val="0"/>
        <w:autoSpaceDE/>
        <w:autoSpaceDN/>
        <w:bidi w:val="0"/>
        <w:snapToGrid w:val="0"/>
        <w:spacing w:line="570" w:lineRule="atLeast"/>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default" w:ascii="方正仿宋_GBK" w:hAnsi="方正仿宋_GBK" w:eastAsia="方正仿宋_GBK" w:cs="方正仿宋_GBK"/>
          <w:b w:val="0"/>
          <w:color w:val="auto"/>
          <w:spacing w:val="6"/>
          <w:sz w:val="32"/>
          <w:szCs w:val="32"/>
          <w:highlight w:val="none"/>
          <w:lang w:val="en-US" w:eastAsia="zh-CN"/>
        </w:rPr>
        <w:t>合计得分6分。</w:t>
      </w:r>
    </w:p>
    <w:p>
      <w:pPr>
        <w:pStyle w:val="17"/>
        <w:keepNext w:val="0"/>
        <w:keepLines w:val="0"/>
        <w:pageBreakBefore w:val="0"/>
        <w:kinsoku/>
        <w:overflowPunct/>
        <w:topLinePunct w:val="0"/>
        <w:autoSpaceDE/>
        <w:autoSpaceDN/>
        <w:bidi w:val="0"/>
        <w:snapToGrid w:val="0"/>
        <w:spacing w:line="570" w:lineRule="atLeast"/>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val="0"/>
          <w:color w:val="auto"/>
          <w:spacing w:val="6"/>
          <w:sz w:val="32"/>
          <w:szCs w:val="32"/>
          <w:highlight w:val="none"/>
          <w:lang w:val="en-US" w:eastAsia="zh-CN"/>
        </w:rPr>
        <w:t>时效指标共计2个，完成2个，达到预期目标，时效指标完成。</w:t>
      </w:r>
    </w:p>
    <w:p>
      <w:pPr>
        <w:pStyle w:val="17"/>
        <w:keepNext w:val="0"/>
        <w:keepLines w:val="0"/>
        <w:pageBreakBefore w:val="0"/>
        <w:widowControl w:val="0"/>
        <w:kinsoku/>
        <w:wordWrap/>
        <w:overflowPunct/>
        <w:topLinePunct w:val="0"/>
        <w:autoSpaceDE/>
        <w:autoSpaceDN/>
        <w:bidi w:val="0"/>
        <w:adjustRightInd/>
        <w:snapToGrid w:val="0"/>
        <w:spacing w:line="570" w:lineRule="atLeast"/>
        <w:jc w:val="both"/>
        <w:textAlignment w:val="auto"/>
        <w:outlineLvl w:val="2"/>
        <w:rPr>
          <w:rStyle w:val="13"/>
          <w:rFonts w:hint="eastAsia" w:ascii="方正仿宋_GBK" w:hAnsi="方正仿宋_GBK" w:eastAsia="方正仿宋_GBK" w:cs="方正仿宋_GBK"/>
          <w:b/>
          <w:bCs/>
          <w:i w:val="0"/>
          <w:iCs w:val="0"/>
          <w:spacing w:val="6"/>
          <w:sz w:val="32"/>
          <w:szCs w:val="32"/>
          <w:highlight w:val="none"/>
          <w:lang w:val="en-US" w:eastAsia="zh-CN"/>
        </w:rPr>
      </w:pPr>
      <w:r>
        <w:rPr>
          <w:rFonts w:hint="eastAsia" w:ascii="方正仿宋_GBK" w:hAnsi="方正仿宋_GBK" w:eastAsia="方正仿宋_GBK" w:cs="方正仿宋_GBK"/>
          <w:b/>
          <w:bCs/>
          <w:color w:val="auto"/>
          <w:kern w:val="0"/>
          <w:sz w:val="32"/>
          <w:szCs w:val="32"/>
          <w:lang w:val="en-US" w:eastAsia="zh-CN"/>
        </w:rPr>
        <w:t>C24成本指标</w:t>
      </w:r>
    </w:p>
    <w:p>
      <w:pPr>
        <w:pStyle w:val="17"/>
        <w:keepNext w:val="0"/>
        <w:keepLines w:val="0"/>
        <w:pageBreakBefore w:val="0"/>
        <w:kinsoku/>
        <w:overflowPunct/>
        <w:topLinePunct w:val="0"/>
        <w:autoSpaceDE/>
        <w:autoSpaceDN/>
        <w:bidi w:val="0"/>
        <w:snapToGrid w:val="0"/>
        <w:spacing w:line="570" w:lineRule="atLeast"/>
        <w:textAlignment w:val="auto"/>
        <w:rPr>
          <w:rStyle w:val="13"/>
          <w:rFonts w:hint="default" w:ascii="方正仿宋_GBK" w:hAnsi="方正仿宋_GBK" w:eastAsia="方正仿宋_GBK" w:cs="方正仿宋_GBK"/>
          <w:b/>
          <w:bCs w:val="0"/>
          <w:color w:val="auto"/>
          <w:spacing w:val="6"/>
          <w:sz w:val="32"/>
          <w:szCs w:val="32"/>
          <w:highlight w:val="none"/>
          <w:lang w:val="en-US" w:eastAsia="zh-CN"/>
        </w:rPr>
      </w:pPr>
      <w:r>
        <w:rPr>
          <w:rStyle w:val="13"/>
          <w:rFonts w:hint="eastAsia" w:ascii="方正仿宋_GBK" w:hAnsi="方正仿宋_GBK" w:eastAsia="方正仿宋_GBK" w:cs="方正仿宋_GBK"/>
          <w:b/>
          <w:bCs w:val="0"/>
          <w:color w:val="auto"/>
          <w:spacing w:val="6"/>
          <w:sz w:val="32"/>
          <w:szCs w:val="32"/>
          <w:highlight w:val="none"/>
          <w:lang w:val="en-US" w:eastAsia="zh-CN"/>
        </w:rPr>
        <w:t>1.C241人员经费支出总额指标：</w:t>
      </w:r>
    </w:p>
    <w:p>
      <w:pPr>
        <w:pStyle w:val="17"/>
        <w:keepNext w:val="0"/>
        <w:keepLines w:val="0"/>
        <w:pageBreakBefore w:val="0"/>
        <w:kinsoku/>
        <w:overflowPunct/>
        <w:topLinePunct w:val="0"/>
        <w:autoSpaceDE/>
        <w:autoSpaceDN/>
        <w:bidi w:val="0"/>
        <w:snapToGrid w:val="0"/>
        <w:spacing w:line="570" w:lineRule="atLeast"/>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val="0"/>
          <w:color w:val="auto"/>
          <w:spacing w:val="6"/>
          <w:sz w:val="32"/>
          <w:szCs w:val="32"/>
          <w:highlight w:val="none"/>
          <w:lang w:val="en-US" w:eastAsia="zh-CN"/>
        </w:rPr>
        <w:t>人员经费支出总额预期指标是小于等于804.4万元，经查看市监局全年支出台账、支付凭证、部门决算表，实际完成值是804.4万元，指标完成率是100%，达到预期目标；</w:t>
      </w:r>
      <w:r>
        <w:rPr>
          <w:rStyle w:val="13"/>
          <w:rFonts w:hint="default" w:ascii="方正仿宋_GBK" w:hAnsi="方正仿宋_GBK" w:eastAsia="方正仿宋_GBK" w:cs="方正仿宋_GBK"/>
          <w:b w:val="0"/>
          <w:bCs w:val="0"/>
          <w:i w:val="0"/>
          <w:iCs w:val="0"/>
          <w:color w:val="auto"/>
          <w:spacing w:val="6"/>
          <w:kern w:val="2"/>
          <w:sz w:val="32"/>
          <w:szCs w:val="32"/>
          <w:highlight w:val="none"/>
          <w:vertAlign w:val="baseline"/>
          <w:lang w:val="en-US" w:eastAsia="zh-CN" w:bidi="ar-SA"/>
        </w:rPr>
        <w:t>该指标满分2分，根据评分标准得2分。</w:t>
      </w:r>
    </w:p>
    <w:p>
      <w:pPr>
        <w:pStyle w:val="17"/>
        <w:keepNext w:val="0"/>
        <w:keepLines w:val="0"/>
        <w:pageBreakBefore w:val="0"/>
        <w:kinsoku/>
        <w:overflowPunct/>
        <w:topLinePunct w:val="0"/>
        <w:autoSpaceDE/>
        <w:autoSpaceDN/>
        <w:bidi w:val="0"/>
        <w:snapToGrid w:val="0"/>
        <w:spacing w:line="570" w:lineRule="atLeast"/>
        <w:textAlignment w:val="auto"/>
        <w:rPr>
          <w:rStyle w:val="13"/>
          <w:rFonts w:hint="default"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bCs w:val="0"/>
          <w:color w:val="auto"/>
          <w:spacing w:val="6"/>
          <w:sz w:val="32"/>
          <w:szCs w:val="32"/>
          <w:highlight w:val="none"/>
          <w:lang w:val="en-US" w:eastAsia="zh-CN"/>
        </w:rPr>
        <w:t>2.C242全年保运转经费总额指标:</w:t>
      </w:r>
    </w:p>
    <w:p>
      <w:pPr>
        <w:pStyle w:val="17"/>
        <w:keepNext w:val="0"/>
        <w:keepLines w:val="0"/>
        <w:pageBreakBefore w:val="0"/>
        <w:kinsoku/>
        <w:overflowPunct/>
        <w:topLinePunct w:val="0"/>
        <w:autoSpaceDE/>
        <w:autoSpaceDN/>
        <w:bidi w:val="0"/>
        <w:snapToGrid w:val="0"/>
        <w:spacing w:line="570" w:lineRule="atLeast"/>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val="0"/>
          <w:color w:val="auto"/>
          <w:spacing w:val="6"/>
          <w:sz w:val="32"/>
          <w:szCs w:val="32"/>
          <w:highlight w:val="none"/>
          <w:lang w:val="en-US" w:eastAsia="zh-CN"/>
        </w:rPr>
        <w:t>全年保运转经费总额预期指标是28.93万元，经查看市监局全年支出台账、支付凭证、部门决算表，实际完成值是28.93万元，指标完成率是100%，达到预期目标；</w:t>
      </w:r>
      <w:r>
        <w:rPr>
          <w:rStyle w:val="13"/>
          <w:rFonts w:hint="default" w:ascii="方正仿宋_GBK" w:hAnsi="方正仿宋_GBK" w:eastAsia="方正仿宋_GBK" w:cs="方正仿宋_GBK"/>
          <w:b w:val="0"/>
          <w:bCs w:val="0"/>
          <w:i w:val="0"/>
          <w:iCs w:val="0"/>
          <w:color w:val="auto"/>
          <w:spacing w:val="6"/>
          <w:kern w:val="2"/>
          <w:sz w:val="32"/>
          <w:szCs w:val="32"/>
          <w:highlight w:val="none"/>
          <w:vertAlign w:val="baseline"/>
          <w:lang w:val="en-US" w:eastAsia="zh-CN" w:bidi="ar-SA"/>
        </w:rPr>
        <w:t>该指标满分2分，根据评分标准得2分。</w:t>
      </w:r>
    </w:p>
    <w:p>
      <w:pPr>
        <w:pStyle w:val="17"/>
        <w:keepNext w:val="0"/>
        <w:keepLines w:val="0"/>
        <w:pageBreakBefore w:val="0"/>
        <w:kinsoku/>
        <w:overflowPunct/>
        <w:topLinePunct w:val="0"/>
        <w:autoSpaceDE/>
        <w:autoSpaceDN/>
        <w:bidi w:val="0"/>
        <w:snapToGrid w:val="0"/>
        <w:spacing w:line="570" w:lineRule="atLeast"/>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default" w:ascii="方正仿宋_GBK" w:hAnsi="方正仿宋_GBK" w:eastAsia="方正仿宋_GBK" w:cs="方正仿宋_GBK"/>
          <w:b w:val="0"/>
          <w:bCs w:val="0"/>
          <w:i w:val="0"/>
          <w:iCs w:val="0"/>
          <w:color w:val="auto"/>
          <w:spacing w:val="6"/>
          <w:kern w:val="2"/>
          <w:sz w:val="32"/>
          <w:szCs w:val="32"/>
          <w:highlight w:val="none"/>
          <w:vertAlign w:val="baseline"/>
          <w:lang w:val="en-US" w:eastAsia="zh-CN" w:bidi="ar-SA"/>
        </w:rPr>
        <w:t>合计得分4分。</w:t>
      </w:r>
    </w:p>
    <w:p>
      <w:pPr>
        <w:pStyle w:val="17"/>
        <w:keepNext w:val="0"/>
        <w:keepLines w:val="0"/>
        <w:pageBreakBefore w:val="0"/>
        <w:kinsoku/>
        <w:overflowPunct/>
        <w:topLinePunct w:val="0"/>
        <w:autoSpaceDE/>
        <w:autoSpaceDN/>
        <w:bidi w:val="0"/>
        <w:snapToGrid w:val="0"/>
        <w:spacing w:line="570" w:lineRule="atLeast"/>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val="0"/>
          <w:color w:val="auto"/>
          <w:spacing w:val="6"/>
          <w:sz w:val="32"/>
          <w:szCs w:val="32"/>
          <w:highlight w:val="none"/>
          <w:lang w:val="en-US" w:eastAsia="zh-CN"/>
        </w:rPr>
        <w:t>成本指标共计2个，完成2个，达到预期目标，成本指标完成。</w:t>
      </w:r>
    </w:p>
    <w:p>
      <w:pPr>
        <w:pStyle w:val="17"/>
        <w:keepNext w:val="0"/>
        <w:keepLines w:val="0"/>
        <w:pageBreakBefore w:val="0"/>
        <w:numPr>
          <w:ilvl w:val="0"/>
          <w:numId w:val="0"/>
        </w:numPr>
        <w:kinsoku/>
        <w:overflowPunct/>
        <w:topLinePunct w:val="0"/>
        <w:autoSpaceDE/>
        <w:autoSpaceDN/>
        <w:bidi w:val="0"/>
        <w:snapToGrid w:val="0"/>
        <w:spacing w:line="570" w:lineRule="atLeast"/>
        <w:ind w:leftChars="200"/>
        <w:textAlignment w:val="auto"/>
        <w:outlineLvl w:val="1"/>
        <w:rPr>
          <w:rStyle w:val="13"/>
          <w:rFonts w:hint="eastAsia" w:ascii="方正楷体_GBK" w:hAnsi="方正楷体_GBK" w:eastAsia="方正楷体_GBK" w:cs="方正楷体_GBK"/>
          <w:b/>
          <w:bCs w:val="0"/>
          <w:color w:val="auto"/>
          <w:spacing w:val="6"/>
          <w:sz w:val="32"/>
          <w:szCs w:val="32"/>
          <w:highlight w:val="none"/>
          <w:lang w:val="en-US" w:eastAsia="zh-CN"/>
        </w:rPr>
      </w:pPr>
      <w:bookmarkStart w:id="85" w:name="_Toc1395_WPSOffice_Level2"/>
      <w:bookmarkStart w:id="86" w:name="_Toc13409"/>
      <w:r>
        <w:rPr>
          <w:rStyle w:val="13"/>
          <w:rFonts w:hint="eastAsia" w:ascii="方正楷体_GBK" w:hAnsi="方正楷体_GBK" w:eastAsia="方正楷体_GBK" w:cs="方正楷体_GBK"/>
          <w:b/>
          <w:bCs w:val="0"/>
          <w:color w:val="auto"/>
          <w:spacing w:val="6"/>
          <w:sz w:val="32"/>
          <w:szCs w:val="32"/>
          <w:highlight w:val="none"/>
          <w:lang w:val="en-US" w:eastAsia="zh-CN"/>
        </w:rPr>
        <w:t>（四）项目效益情况</w:t>
      </w:r>
      <w:bookmarkEnd w:id="85"/>
      <w:bookmarkEnd w:id="86"/>
    </w:p>
    <w:p>
      <w:pPr>
        <w:keepNext w:val="0"/>
        <w:keepLines w:val="0"/>
        <w:pageBreakBefore w:val="0"/>
        <w:widowControl/>
        <w:kinsoku/>
        <w:wordWrap/>
        <w:overflowPunct/>
        <w:topLinePunct w:val="0"/>
        <w:autoSpaceDE/>
        <w:autoSpaceDN/>
        <w:bidi w:val="0"/>
        <w:adjustRightInd/>
        <w:snapToGrid/>
        <w:spacing w:before="0" w:beforeAutospacing="0" w:after="0" w:afterAutospacing="0" w:line="570" w:lineRule="exact"/>
        <w:ind w:firstLine="640" w:firstLineChars="200"/>
        <w:jc w:val="center"/>
        <w:textAlignment w:val="baseline"/>
        <w:rPr>
          <w:rFonts w:hint="eastAsia" w:ascii="方正仿宋_GBK" w:hAnsi="方正仿宋_GBK" w:eastAsia="方正仿宋_GBK" w:cs="方正仿宋_GBK"/>
          <w:b/>
          <w:bCs w:val="0"/>
          <w:color w:val="auto"/>
          <w:kern w:val="0"/>
          <w:sz w:val="32"/>
          <w:szCs w:val="32"/>
          <w:highlight w:val="none"/>
          <w:lang w:val="en-US" w:eastAsia="zh-CN"/>
        </w:rPr>
      </w:pPr>
      <w:r>
        <w:rPr>
          <w:rFonts w:hint="eastAsia" w:ascii="方正仿宋_GBK" w:hAnsi="方正仿宋_GBK" w:eastAsia="方正仿宋_GBK" w:cs="方正仿宋_GBK"/>
          <w:color w:val="auto"/>
          <w:sz w:val="32"/>
          <w:szCs w:val="32"/>
        </w:rPr>
        <w:t>项目</w:t>
      </w:r>
      <w:r>
        <w:rPr>
          <w:rFonts w:hint="eastAsia" w:ascii="方正仿宋_GBK" w:hAnsi="方正仿宋_GBK" w:eastAsia="方正仿宋_GBK" w:cs="方正仿宋_GBK"/>
          <w:color w:val="auto"/>
          <w:sz w:val="32"/>
          <w:szCs w:val="32"/>
          <w:lang w:val="en-US" w:eastAsia="zh-CN"/>
        </w:rPr>
        <w:t>效益</w:t>
      </w:r>
      <w:r>
        <w:rPr>
          <w:rFonts w:hint="eastAsia" w:ascii="方正仿宋_GBK" w:hAnsi="方正仿宋_GBK" w:eastAsia="方正仿宋_GBK" w:cs="方正仿宋_GBK"/>
          <w:color w:val="auto"/>
          <w:sz w:val="32"/>
          <w:szCs w:val="32"/>
        </w:rPr>
        <w:t>类指标包括</w:t>
      </w:r>
      <w:r>
        <w:rPr>
          <w:rFonts w:hint="eastAsia" w:ascii="方正仿宋_GBK" w:hAnsi="方正仿宋_GBK" w:eastAsia="方正仿宋_GBK" w:cs="方正仿宋_GBK"/>
          <w:color w:val="auto"/>
          <w:sz w:val="32"/>
          <w:szCs w:val="32"/>
          <w:lang w:val="en-US" w:eastAsia="zh-CN"/>
        </w:rPr>
        <w:t>经济效益</w:t>
      </w:r>
      <w:r>
        <w:rPr>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lang w:val="en-US" w:eastAsia="zh-CN"/>
        </w:rPr>
        <w:t>社会效益</w:t>
      </w:r>
      <w:r>
        <w:rPr>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lang w:val="en-US" w:eastAsia="zh-CN"/>
        </w:rPr>
        <w:t>生态效益、可持续影响分析</w:t>
      </w:r>
      <w:r>
        <w:rPr>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lang w:val="en-US" w:eastAsia="zh-CN"/>
        </w:rPr>
        <w:t>满意度分析五</w:t>
      </w:r>
      <w:r>
        <w:rPr>
          <w:rFonts w:hint="eastAsia" w:ascii="方正仿宋_GBK" w:hAnsi="方正仿宋_GBK" w:eastAsia="方正仿宋_GBK" w:cs="方正仿宋_GBK"/>
          <w:color w:val="auto"/>
          <w:sz w:val="32"/>
          <w:szCs w:val="32"/>
        </w:rPr>
        <w:t>方面的内容，由</w:t>
      </w:r>
      <w:r>
        <w:rPr>
          <w:rFonts w:hint="eastAsia" w:ascii="方正仿宋_GBK" w:hAnsi="方正仿宋_GBK" w:eastAsia="方正仿宋_GBK" w:cs="方正仿宋_GBK"/>
          <w:color w:val="auto"/>
          <w:sz w:val="32"/>
          <w:szCs w:val="32"/>
          <w:highlight w:val="none"/>
          <w:lang w:val="en-US" w:eastAsia="zh-CN"/>
        </w:rPr>
        <w:t>2</w:t>
      </w:r>
      <w:r>
        <w:rPr>
          <w:rFonts w:hint="eastAsia" w:ascii="方正仿宋_GBK" w:hAnsi="方正仿宋_GBK" w:eastAsia="方正仿宋_GBK" w:cs="方正仿宋_GBK"/>
          <w:color w:val="auto"/>
          <w:sz w:val="32"/>
          <w:szCs w:val="32"/>
          <w:highlight w:val="none"/>
        </w:rPr>
        <w:t>个</w:t>
      </w:r>
      <w:r>
        <w:rPr>
          <w:rFonts w:hint="eastAsia" w:ascii="方正仿宋_GBK" w:hAnsi="方正仿宋_GBK" w:eastAsia="方正仿宋_GBK" w:cs="方正仿宋_GBK"/>
          <w:color w:val="auto"/>
          <w:sz w:val="32"/>
          <w:szCs w:val="32"/>
          <w:highlight w:val="none"/>
          <w:lang w:val="en-US" w:eastAsia="zh-CN"/>
        </w:rPr>
        <w:t>二</w:t>
      </w:r>
      <w:r>
        <w:rPr>
          <w:rFonts w:hint="eastAsia" w:ascii="方正仿宋_GBK" w:hAnsi="方正仿宋_GBK" w:eastAsia="方正仿宋_GBK" w:cs="方正仿宋_GBK"/>
          <w:color w:val="auto"/>
          <w:sz w:val="32"/>
          <w:szCs w:val="32"/>
          <w:highlight w:val="none"/>
        </w:rPr>
        <w:t>级指标</w:t>
      </w:r>
      <w:r>
        <w:rPr>
          <w:rFonts w:hint="eastAsia" w:ascii="方正仿宋_GBK" w:hAnsi="方正仿宋_GBK" w:eastAsia="方正仿宋_GBK" w:cs="方正仿宋_GBK"/>
          <w:color w:val="auto"/>
          <w:sz w:val="32"/>
          <w:szCs w:val="32"/>
          <w:highlight w:val="none"/>
          <w:lang w:eastAsia="zh-CN"/>
        </w:rPr>
        <w:t>和</w:t>
      </w:r>
      <w:r>
        <w:rPr>
          <w:rFonts w:hint="eastAsia" w:ascii="方正仿宋_GBK" w:hAnsi="方正仿宋_GBK" w:eastAsia="方正仿宋_GBK" w:cs="方正仿宋_GBK"/>
          <w:color w:val="auto"/>
          <w:sz w:val="32"/>
          <w:szCs w:val="32"/>
          <w:highlight w:val="none"/>
          <w:lang w:val="en-US" w:eastAsia="zh-CN"/>
        </w:rPr>
        <w:t>4个三级指标</w:t>
      </w:r>
      <w:r>
        <w:rPr>
          <w:rFonts w:hint="eastAsia" w:ascii="方正仿宋_GBK" w:hAnsi="方正仿宋_GBK" w:eastAsia="方正仿宋_GBK" w:cs="方正仿宋_GBK"/>
          <w:color w:val="auto"/>
          <w:sz w:val="32"/>
          <w:szCs w:val="32"/>
          <w:highlight w:val="none"/>
        </w:rPr>
        <w:t>构成</w:t>
      </w:r>
      <w:r>
        <w:rPr>
          <w:rFonts w:hint="eastAsia" w:ascii="方正仿宋_GBK" w:hAnsi="方正仿宋_GBK" w:eastAsia="方正仿宋_GBK" w:cs="方正仿宋_GBK"/>
          <w:color w:val="auto"/>
          <w:sz w:val="32"/>
          <w:szCs w:val="32"/>
        </w:rPr>
        <w:t>，权重分为</w:t>
      </w:r>
      <w:r>
        <w:rPr>
          <w:rFonts w:hint="eastAsia" w:ascii="方正仿宋_GBK" w:hAnsi="方正仿宋_GBK" w:eastAsia="方正仿宋_GBK" w:cs="方正仿宋_GBK"/>
          <w:color w:val="auto"/>
          <w:sz w:val="32"/>
          <w:szCs w:val="32"/>
          <w:lang w:val="en-US" w:eastAsia="zh-CN"/>
        </w:rPr>
        <w:t>20</w:t>
      </w:r>
      <w:r>
        <w:rPr>
          <w:rFonts w:hint="eastAsia" w:ascii="方正仿宋_GBK" w:hAnsi="方正仿宋_GBK" w:eastAsia="方正仿宋_GBK" w:cs="方正仿宋_GBK"/>
          <w:color w:val="auto"/>
          <w:sz w:val="32"/>
          <w:szCs w:val="32"/>
        </w:rPr>
        <w:t>分，实际得分</w:t>
      </w:r>
      <w:r>
        <w:rPr>
          <w:rFonts w:hint="eastAsia" w:ascii="方正仿宋_GBK" w:hAnsi="方正仿宋_GBK" w:eastAsia="方正仿宋_GBK" w:cs="方正仿宋_GBK"/>
          <w:color w:val="auto"/>
          <w:sz w:val="32"/>
          <w:szCs w:val="32"/>
          <w:lang w:val="en-US" w:eastAsia="zh-CN"/>
        </w:rPr>
        <w:t>20</w:t>
      </w:r>
      <w:r>
        <w:rPr>
          <w:rFonts w:hint="eastAsia" w:ascii="方正仿宋_GBK" w:hAnsi="方正仿宋_GBK" w:eastAsia="方正仿宋_GBK" w:cs="方正仿宋_GBK"/>
          <w:color w:val="auto"/>
          <w:sz w:val="32"/>
          <w:szCs w:val="32"/>
        </w:rPr>
        <w:t>分，得分率为</w:t>
      </w:r>
      <w:r>
        <w:rPr>
          <w:rFonts w:hint="eastAsia" w:ascii="方正仿宋_GBK" w:hAnsi="方正仿宋_GBK" w:eastAsia="方正仿宋_GBK" w:cs="方正仿宋_GBK"/>
          <w:color w:val="auto"/>
          <w:sz w:val="32"/>
          <w:szCs w:val="32"/>
          <w:lang w:val="en-US" w:eastAsia="zh-CN"/>
        </w:rPr>
        <w:t>100</w:t>
      </w:r>
      <w:r>
        <w:rPr>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b w:val="0"/>
          <w:bCs/>
          <w:color w:val="auto"/>
          <w:kern w:val="0"/>
          <w:sz w:val="32"/>
          <w:szCs w:val="32"/>
          <w:highlight w:val="none"/>
          <w:lang w:val="en-US" w:eastAsia="zh-CN"/>
        </w:rPr>
        <w:t>各指标业绩值和绩效分值如下表所示：</w:t>
      </w:r>
      <w:r>
        <w:rPr>
          <w:rFonts w:hint="eastAsia" w:ascii="方正仿宋_GBK" w:hAnsi="方正仿宋_GBK" w:eastAsia="方正仿宋_GBK" w:cs="方正仿宋_GBK"/>
          <w:b/>
          <w:bCs w:val="0"/>
          <w:color w:val="auto"/>
          <w:kern w:val="0"/>
          <w:sz w:val="32"/>
          <w:szCs w:val="32"/>
          <w:highlight w:val="none"/>
          <w:lang w:val="en-US" w:eastAsia="zh-CN"/>
        </w:rPr>
        <w:t>表4-4：项目效益指标及分值</w:t>
      </w:r>
    </w:p>
    <w:tbl>
      <w:tblPr>
        <w:tblStyle w:val="11"/>
        <w:tblW w:w="89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401"/>
        <w:gridCol w:w="1259"/>
        <w:gridCol w:w="1151"/>
        <w:gridCol w:w="879"/>
        <w:gridCol w:w="819"/>
        <w:gridCol w:w="901"/>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blHeader/>
        </w:trPr>
        <w:tc>
          <w:tcPr>
            <w:tcW w:w="1061" w:type="dxa"/>
            <w:shd w:val="clear" w:color="auto" w:fill="D7D7D7"/>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一级指标</w:t>
            </w:r>
          </w:p>
        </w:tc>
        <w:tc>
          <w:tcPr>
            <w:tcW w:w="1401" w:type="dxa"/>
            <w:shd w:val="clear" w:color="auto" w:fill="D7D7D7"/>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二级指标</w:t>
            </w:r>
          </w:p>
        </w:tc>
        <w:tc>
          <w:tcPr>
            <w:tcW w:w="1259" w:type="dxa"/>
            <w:shd w:val="clear" w:color="auto" w:fill="D7D7D7"/>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三级指标</w:t>
            </w:r>
          </w:p>
        </w:tc>
        <w:tc>
          <w:tcPr>
            <w:tcW w:w="1151" w:type="dxa"/>
            <w:shd w:val="clear" w:color="auto" w:fill="D7D7D7"/>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四级指标</w:t>
            </w:r>
          </w:p>
        </w:tc>
        <w:tc>
          <w:tcPr>
            <w:tcW w:w="879" w:type="dxa"/>
            <w:shd w:val="clear" w:color="auto" w:fill="D7D7D7"/>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权重</w:t>
            </w:r>
          </w:p>
        </w:tc>
        <w:tc>
          <w:tcPr>
            <w:tcW w:w="819" w:type="dxa"/>
            <w:shd w:val="clear" w:color="auto" w:fill="D7D7D7"/>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标杆值</w:t>
            </w:r>
          </w:p>
        </w:tc>
        <w:tc>
          <w:tcPr>
            <w:tcW w:w="901" w:type="dxa"/>
            <w:shd w:val="clear" w:color="auto" w:fill="D7D7D7"/>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得分</w:t>
            </w:r>
          </w:p>
        </w:tc>
        <w:tc>
          <w:tcPr>
            <w:tcW w:w="1481" w:type="dxa"/>
            <w:shd w:val="clear" w:color="auto" w:fill="D7D7D7"/>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061" w:type="dxa"/>
            <w:vMerge w:val="restar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C 部门绩效（50分）</w:t>
            </w:r>
          </w:p>
        </w:tc>
        <w:tc>
          <w:tcPr>
            <w:tcW w:w="1401" w:type="dxa"/>
            <w:vMerge w:val="restar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C3 部门效果（20分）</w:t>
            </w:r>
          </w:p>
        </w:tc>
        <w:tc>
          <w:tcPr>
            <w:tcW w:w="1259" w:type="dxa"/>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C31 社会效益指标</w:t>
            </w:r>
          </w:p>
        </w:tc>
        <w:tc>
          <w:tcPr>
            <w:tcW w:w="1151"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C311 降低四大安全风险</w:t>
            </w:r>
          </w:p>
        </w:tc>
        <w:tc>
          <w:tcPr>
            <w:tcW w:w="879" w:type="dxa"/>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5</w:t>
            </w:r>
          </w:p>
        </w:tc>
        <w:tc>
          <w:tcPr>
            <w:tcW w:w="819" w:type="dxa"/>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有效降低</w:t>
            </w:r>
          </w:p>
        </w:tc>
        <w:tc>
          <w:tcPr>
            <w:tcW w:w="901" w:type="dxa"/>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5</w:t>
            </w:r>
          </w:p>
        </w:tc>
        <w:tc>
          <w:tcPr>
            <w:tcW w:w="1481" w:type="dxa"/>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1061" w:type="dxa"/>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401" w:type="dxa"/>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259" w:type="dxa"/>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C32</w:t>
            </w:r>
            <w:r>
              <w:rPr>
                <w:rFonts w:hint="eastAsia" w:asciiTheme="minorEastAsia" w:hAnsiTheme="minorEastAsia" w:eastAsiaTheme="minorEastAsia" w:cstheme="minorEastAsia"/>
                <w:b/>
                <w:bCs/>
                <w:color w:val="auto"/>
                <w:kern w:val="0"/>
                <w:sz w:val="22"/>
                <w:szCs w:val="22"/>
                <w:lang w:val="en-US" w:eastAsia="zh-CN"/>
              </w:rPr>
              <w:t>可持续影响分析</w:t>
            </w:r>
            <w:r>
              <w:rPr>
                <w:rFonts w:hint="eastAsia" w:asciiTheme="minorEastAsia" w:hAnsiTheme="minorEastAsia" w:eastAsiaTheme="minorEastAsia" w:cstheme="minorEastAsia"/>
                <w:b/>
                <w:bCs/>
                <w:color w:val="auto"/>
                <w:kern w:val="0"/>
                <w:sz w:val="22"/>
                <w:szCs w:val="22"/>
              </w:rPr>
              <w:t>指标</w:t>
            </w:r>
          </w:p>
        </w:tc>
        <w:tc>
          <w:tcPr>
            <w:tcW w:w="1151"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C321促进四大行业健康有序发展，经营行为规范化</w:t>
            </w:r>
          </w:p>
        </w:tc>
        <w:tc>
          <w:tcPr>
            <w:tcW w:w="879" w:type="dxa"/>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5</w:t>
            </w:r>
          </w:p>
        </w:tc>
        <w:tc>
          <w:tcPr>
            <w:tcW w:w="819" w:type="dxa"/>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不断促进</w:t>
            </w:r>
          </w:p>
        </w:tc>
        <w:tc>
          <w:tcPr>
            <w:tcW w:w="901" w:type="dxa"/>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5</w:t>
            </w:r>
          </w:p>
        </w:tc>
        <w:tc>
          <w:tcPr>
            <w:tcW w:w="1481" w:type="dxa"/>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61" w:type="dxa"/>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401" w:type="dxa"/>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259" w:type="dxa"/>
            <w:vMerge w:val="restart"/>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C33 满意度情况</w:t>
            </w:r>
          </w:p>
        </w:tc>
        <w:tc>
          <w:tcPr>
            <w:tcW w:w="1151"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C331 在职干部满意度</w:t>
            </w:r>
          </w:p>
        </w:tc>
        <w:tc>
          <w:tcPr>
            <w:tcW w:w="879" w:type="dxa"/>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5</w:t>
            </w:r>
          </w:p>
        </w:tc>
        <w:tc>
          <w:tcPr>
            <w:tcW w:w="819"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lang w:val="en-US" w:eastAsia="zh-CN"/>
              </w:rPr>
              <w:t>=100%</w:t>
            </w:r>
          </w:p>
        </w:tc>
        <w:tc>
          <w:tcPr>
            <w:tcW w:w="901" w:type="dxa"/>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5</w:t>
            </w:r>
          </w:p>
        </w:tc>
        <w:tc>
          <w:tcPr>
            <w:tcW w:w="1481" w:type="dxa"/>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061" w:type="dxa"/>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401" w:type="dxa"/>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259" w:type="dxa"/>
            <w:vMerge w:val="continue"/>
            <w:vAlign w:val="center"/>
          </w:tcPr>
          <w:p>
            <w:pPr>
              <w:widowControl/>
              <w:jc w:val="both"/>
              <w:rPr>
                <w:rFonts w:hint="eastAsia" w:asciiTheme="minorEastAsia" w:hAnsiTheme="minorEastAsia" w:eastAsiaTheme="minorEastAsia" w:cstheme="minorEastAsia"/>
                <w:b/>
                <w:bCs/>
                <w:color w:val="auto"/>
                <w:kern w:val="0"/>
                <w:sz w:val="22"/>
                <w:szCs w:val="22"/>
              </w:rPr>
            </w:pPr>
          </w:p>
        </w:tc>
        <w:tc>
          <w:tcPr>
            <w:tcW w:w="1151"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bidi="ar-SA"/>
              </w:rPr>
            </w:pPr>
            <w:r>
              <w:rPr>
                <w:rFonts w:hint="eastAsia" w:asciiTheme="minorEastAsia" w:hAnsiTheme="minorEastAsia" w:eastAsiaTheme="minorEastAsia" w:cstheme="minorEastAsia"/>
                <w:b/>
                <w:bCs/>
                <w:color w:val="auto"/>
                <w:kern w:val="0"/>
                <w:sz w:val="22"/>
                <w:szCs w:val="22"/>
              </w:rPr>
              <w:t>C332 离退休干部满意度</w:t>
            </w:r>
          </w:p>
        </w:tc>
        <w:tc>
          <w:tcPr>
            <w:tcW w:w="879" w:type="dxa"/>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5</w:t>
            </w:r>
          </w:p>
        </w:tc>
        <w:tc>
          <w:tcPr>
            <w:tcW w:w="819" w:type="dxa"/>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lang w:val="en-US" w:eastAsia="zh-CN"/>
              </w:rPr>
              <w:t>=100%</w:t>
            </w:r>
          </w:p>
        </w:tc>
        <w:tc>
          <w:tcPr>
            <w:tcW w:w="901" w:type="dxa"/>
            <w:vAlign w:val="center"/>
          </w:tcPr>
          <w:p>
            <w:pPr>
              <w:widowControl/>
              <w:jc w:val="both"/>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val="en-US" w:eastAsia="zh-CN"/>
              </w:rPr>
              <w:t>5</w:t>
            </w:r>
          </w:p>
        </w:tc>
        <w:tc>
          <w:tcPr>
            <w:tcW w:w="1481" w:type="dxa"/>
            <w:vAlign w:val="center"/>
          </w:tcPr>
          <w:p>
            <w:pPr>
              <w:widowControl/>
              <w:jc w:val="both"/>
              <w:rPr>
                <w:rFonts w:hint="eastAsia" w:asciiTheme="minorEastAsia" w:hAnsiTheme="minorEastAsia" w:eastAsiaTheme="minorEastAsia" w:cstheme="minorEastAsia"/>
                <w:b/>
                <w:bCs/>
                <w:color w:val="auto"/>
                <w:kern w:val="0"/>
                <w:sz w:val="22"/>
                <w:szCs w:val="22"/>
              </w:rPr>
            </w:pPr>
            <w:r>
              <w:rPr>
                <w:rFonts w:hint="eastAsia" w:asciiTheme="minorEastAsia" w:hAnsiTheme="minorEastAsia" w:eastAsiaTheme="minorEastAsia" w:cstheme="minorEastAsia"/>
                <w:b/>
                <w:bCs/>
                <w:color w:val="auto"/>
                <w:kern w:val="0"/>
                <w:sz w:val="22"/>
                <w:szCs w:val="22"/>
                <w:lang w:val="en-US" w:eastAsia="zh-CN"/>
              </w:rPr>
              <w:t>100</w:t>
            </w:r>
            <w:r>
              <w:rPr>
                <w:rFonts w:hint="eastAsia" w:asciiTheme="minorEastAsia" w:hAnsiTheme="minorEastAsia" w:eastAsiaTheme="minorEastAsia" w:cstheme="minorEastAsia"/>
                <w:b/>
                <w:bCs/>
                <w:color w:val="auto"/>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4872" w:type="dxa"/>
            <w:gridSpan w:val="4"/>
            <w:vAlign w:val="center"/>
          </w:tcPr>
          <w:p>
            <w:pPr>
              <w:widowControl/>
              <w:jc w:val="center"/>
              <w:rPr>
                <w:rFonts w:hint="eastAsia" w:asciiTheme="minorEastAsia" w:hAnsiTheme="minorEastAsia" w:eastAsiaTheme="minorEastAsia" w:cstheme="minorEastAsia"/>
                <w:b/>
                <w:bCs/>
                <w:color w:val="auto"/>
                <w:kern w:val="0"/>
                <w:sz w:val="22"/>
                <w:szCs w:val="22"/>
                <w:lang w:eastAsia="zh-CN"/>
              </w:rPr>
            </w:pPr>
            <w:r>
              <w:rPr>
                <w:rFonts w:hint="eastAsia" w:asciiTheme="minorEastAsia" w:hAnsiTheme="minorEastAsia" w:eastAsiaTheme="minorEastAsia" w:cstheme="minorEastAsia"/>
                <w:b/>
                <w:bCs/>
                <w:color w:val="auto"/>
                <w:kern w:val="0"/>
                <w:sz w:val="22"/>
                <w:szCs w:val="22"/>
                <w:lang w:eastAsia="zh-CN"/>
              </w:rPr>
              <w:t>合计</w:t>
            </w:r>
          </w:p>
        </w:tc>
        <w:tc>
          <w:tcPr>
            <w:tcW w:w="879" w:type="dxa"/>
            <w:vAlign w:val="center"/>
          </w:tcPr>
          <w:p>
            <w:pPr>
              <w:widowControl/>
              <w:jc w:val="both"/>
              <w:rPr>
                <w:rFonts w:hint="default"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lang w:val="en-US" w:eastAsia="zh-CN"/>
              </w:rPr>
              <w:t>20</w:t>
            </w:r>
          </w:p>
        </w:tc>
        <w:tc>
          <w:tcPr>
            <w:tcW w:w="819" w:type="dxa"/>
            <w:vAlign w:val="center"/>
          </w:tcPr>
          <w:p>
            <w:pPr>
              <w:widowControl/>
              <w:jc w:val="both"/>
              <w:rPr>
                <w:rFonts w:hint="eastAsia" w:asciiTheme="minorEastAsia" w:hAnsiTheme="minorEastAsia" w:eastAsiaTheme="minorEastAsia" w:cstheme="minorEastAsia"/>
                <w:b/>
                <w:bCs/>
                <w:color w:val="auto"/>
                <w:kern w:val="0"/>
                <w:sz w:val="22"/>
                <w:szCs w:val="22"/>
                <w:lang w:val="en-US" w:eastAsia="zh-CN"/>
              </w:rPr>
            </w:pPr>
          </w:p>
        </w:tc>
        <w:tc>
          <w:tcPr>
            <w:tcW w:w="901" w:type="dxa"/>
            <w:vAlign w:val="center"/>
          </w:tcPr>
          <w:p>
            <w:pPr>
              <w:widowControl/>
              <w:jc w:val="both"/>
              <w:rPr>
                <w:rFonts w:hint="default"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lang w:val="en-US" w:eastAsia="zh-CN"/>
              </w:rPr>
              <w:t>20</w:t>
            </w:r>
          </w:p>
        </w:tc>
        <w:tc>
          <w:tcPr>
            <w:tcW w:w="1481" w:type="dxa"/>
            <w:vAlign w:val="center"/>
          </w:tcPr>
          <w:p>
            <w:pPr>
              <w:widowControl/>
              <w:jc w:val="both"/>
              <w:rPr>
                <w:rFonts w:hint="default" w:asciiTheme="minorEastAsia" w:hAnsiTheme="minorEastAsia" w:eastAsiaTheme="minorEastAsia" w:cstheme="minorEastAsia"/>
                <w:b/>
                <w:bCs/>
                <w:color w:val="auto"/>
                <w:kern w:val="0"/>
                <w:sz w:val="22"/>
                <w:szCs w:val="22"/>
                <w:lang w:val="en-US" w:eastAsia="zh-CN"/>
              </w:rPr>
            </w:pPr>
            <w:r>
              <w:rPr>
                <w:rFonts w:hint="eastAsia" w:asciiTheme="minorEastAsia" w:hAnsiTheme="minorEastAsia" w:eastAsiaTheme="minorEastAsia" w:cstheme="minorEastAsia"/>
                <w:b/>
                <w:bCs/>
                <w:color w:val="auto"/>
                <w:kern w:val="0"/>
                <w:sz w:val="22"/>
                <w:szCs w:val="22"/>
                <w:lang w:val="en-US" w:eastAsia="zh-CN"/>
              </w:rPr>
              <w:t>100%</w:t>
            </w:r>
          </w:p>
        </w:tc>
      </w:tr>
    </w:tbl>
    <w:p>
      <w:pPr>
        <w:pStyle w:val="16"/>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1"/>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b/>
          <w:bCs/>
          <w:color w:val="auto"/>
          <w:kern w:val="0"/>
          <w:sz w:val="32"/>
          <w:szCs w:val="32"/>
        </w:rPr>
        <w:t>C3 部门效果</w:t>
      </w:r>
    </w:p>
    <w:p>
      <w:pPr>
        <w:pStyle w:val="17"/>
        <w:keepNext w:val="0"/>
        <w:keepLines w:val="0"/>
        <w:pageBreakBefore w:val="0"/>
        <w:widowControl w:val="0"/>
        <w:kinsoku/>
        <w:wordWrap/>
        <w:overflowPunct/>
        <w:topLinePunct w:val="0"/>
        <w:autoSpaceDE/>
        <w:autoSpaceDN/>
        <w:bidi w:val="0"/>
        <w:adjustRightInd/>
        <w:snapToGrid w:val="0"/>
        <w:spacing w:line="570" w:lineRule="atLeast"/>
        <w:jc w:val="both"/>
        <w:textAlignment w:val="auto"/>
        <w:outlineLvl w:val="2"/>
        <w:rPr>
          <w:rStyle w:val="13"/>
          <w:rFonts w:hint="eastAsia" w:ascii="方正仿宋_GBK" w:hAnsi="方正仿宋_GBK" w:eastAsia="方正仿宋_GBK" w:cs="方正仿宋_GBK"/>
          <w:b/>
          <w:bCs/>
          <w:i w:val="0"/>
          <w:iCs w:val="0"/>
          <w:spacing w:val="6"/>
          <w:sz w:val="32"/>
          <w:szCs w:val="32"/>
          <w:highlight w:val="none"/>
          <w:lang w:val="en-US" w:eastAsia="zh-CN"/>
        </w:rPr>
      </w:pPr>
      <w:r>
        <w:rPr>
          <w:rFonts w:hint="eastAsia" w:ascii="方正仿宋_GBK" w:hAnsi="方正仿宋_GBK" w:eastAsia="方正仿宋_GBK" w:cs="方正仿宋_GBK"/>
          <w:b/>
          <w:bCs/>
          <w:color w:val="auto"/>
          <w:kern w:val="0"/>
          <w:sz w:val="32"/>
          <w:szCs w:val="32"/>
        </w:rPr>
        <w:t>C31 社会效益指标</w:t>
      </w:r>
    </w:p>
    <w:p>
      <w:pPr>
        <w:pStyle w:val="17"/>
        <w:keepNext w:val="0"/>
        <w:keepLines w:val="0"/>
        <w:pageBreakBefore w:val="0"/>
        <w:widowControl w:val="0"/>
        <w:kinsoku/>
        <w:wordWrap/>
        <w:overflowPunct/>
        <w:topLinePunct w:val="0"/>
        <w:autoSpaceDE/>
        <w:autoSpaceDN/>
        <w:bidi w:val="0"/>
        <w:adjustRightInd/>
        <w:snapToGrid w:val="0"/>
        <w:spacing w:line="570" w:lineRule="atLeast"/>
        <w:jc w:val="both"/>
        <w:textAlignment w:val="auto"/>
        <w:outlineLvl w:val="2"/>
        <w:rPr>
          <w:rStyle w:val="13"/>
          <w:rFonts w:hint="default" w:ascii="方正仿宋_GBK" w:hAnsi="方正仿宋_GBK" w:eastAsia="方正仿宋_GBK" w:cs="方正仿宋_GBK"/>
          <w:b/>
          <w:bCs/>
          <w:i w:val="0"/>
          <w:iCs w:val="0"/>
          <w:spacing w:val="6"/>
          <w:sz w:val="32"/>
          <w:szCs w:val="32"/>
          <w:highlight w:val="none"/>
          <w:lang w:val="en-US" w:eastAsia="zh-CN"/>
        </w:rPr>
      </w:pPr>
      <w:r>
        <w:rPr>
          <w:rStyle w:val="13"/>
          <w:rFonts w:hint="eastAsia" w:ascii="方正仿宋_GBK" w:hAnsi="方正仿宋_GBK" w:eastAsia="方正仿宋_GBK" w:cs="方正仿宋_GBK"/>
          <w:b/>
          <w:bCs/>
          <w:i w:val="0"/>
          <w:iCs w:val="0"/>
          <w:spacing w:val="6"/>
          <w:sz w:val="32"/>
          <w:szCs w:val="32"/>
          <w:highlight w:val="none"/>
          <w:lang w:val="en-US" w:eastAsia="zh-CN"/>
        </w:rPr>
        <w:t>1.C311</w:t>
      </w:r>
      <w:r>
        <w:rPr>
          <w:rStyle w:val="13"/>
          <w:rFonts w:hint="eastAsia" w:ascii="方正仿宋_GBK" w:hAnsi="方正仿宋_GBK" w:eastAsia="方正仿宋_GBK" w:cs="方正仿宋_GBK"/>
          <w:b/>
          <w:bCs w:val="0"/>
          <w:color w:val="auto"/>
          <w:spacing w:val="6"/>
          <w:sz w:val="32"/>
          <w:szCs w:val="32"/>
          <w:highlight w:val="none"/>
          <w:lang w:val="en-US" w:eastAsia="zh-CN"/>
        </w:rPr>
        <w:t>降低四大安全风险指标:</w:t>
      </w:r>
    </w:p>
    <w:p>
      <w:pPr>
        <w:pStyle w:val="17"/>
        <w:keepNext w:val="0"/>
        <w:keepLines w:val="0"/>
        <w:pageBreakBefore w:val="0"/>
        <w:kinsoku/>
        <w:overflowPunct/>
        <w:topLinePunct w:val="0"/>
        <w:autoSpaceDE/>
        <w:autoSpaceDN/>
        <w:bidi w:val="0"/>
        <w:snapToGrid w:val="0"/>
        <w:spacing w:line="570" w:lineRule="atLeast"/>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val="0"/>
          <w:color w:val="auto"/>
          <w:spacing w:val="6"/>
          <w:sz w:val="32"/>
          <w:szCs w:val="32"/>
          <w:highlight w:val="none"/>
          <w:lang w:val="en-US" w:eastAsia="zh-CN"/>
        </w:rPr>
        <w:t>降低四大安全风险指标，预期指标是有效降低，经查看市监局工作总结，实际完成值是有效降低，指标完成率是100%，达到单位履职能力对社会带来的影响预期目标。</w:t>
      </w:r>
      <w:r>
        <w:rPr>
          <w:rStyle w:val="13"/>
          <w:rFonts w:hint="default" w:ascii="方正仿宋_GBK" w:hAnsi="方正仿宋_GBK" w:eastAsia="方正仿宋_GBK" w:cs="方正仿宋_GBK"/>
          <w:b w:val="0"/>
          <w:bCs w:val="0"/>
          <w:i w:val="0"/>
          <w:iCs w:val="0"/>
          <w:color w:val="auto"/>
          <w:spacing w:val="6"/>
          <w:kern w:val="2"/>
          <w:sz w:val="32"/>
          <w:szCs w:val="32"/>
          <w:highlight w:val="none"/>
          <w:vertAlign w:val="baseline"/>
          <w:lang w:val="en-US" w:eastAsia="zh-CN" w:bidi="ar-SA"/>
        </w:rPr>
        <w:t>该指标满分5分，根据评分标准得5分。</w:t>
      </w:r>
    </w:p>
    <w:p>
      <w:pPr>
        <w:pStyle w:val="17"/>
        <w:keepNext w:val="0"/>
        <w:keepLines w:val="0"/>
        <w:pageBreakBefore w:val="0"/>
        <w:kinsoku/>
        <w:overflowPunct/>
        <w:topLinePunct w:val="0"/>
        <w:autoSpaceDE/>
        <w:autoSpaceDN/>
        <w:bidi w:val="0"/>
        <w:snapToGrid w:val="0"/>
        <w:spacing w:line="570" w:lineRule="atLeast"/>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default" w:ascii="方正仿宋_GBK" w:hAnsi="方正仿宋_GBK" w:eastAsia="方正仿宋_GBK" w:cs="方正仿宋_GBK"/>
          <w:b w:val="0"/>
          <w:bCs w:val="0"/>
          <w:i w:val="0"/>
          <w:iCs w:val="0"/>
          <w:color w:val="auto"/>
          <w:spacing w:val="6"/>
          <w:kern w:val="2"/>
          <w:sz w:val="32"/>
          <w:szCs w:val="32"/>
          <w:highlight w:val="none"/>
          <w:vertAlign w:val="baseline"/>
          <w:lang w:val="en-US" w:eastAsia="zh-CN" w:bidi="ar-SA"/>
        </w:rPr>
        <w:t>合计得分5分。</w:t>
      </w:r>
    </w:p>
    <w:p>
      <w:pPr>
        <w:pStyle w:val="17"/>
        <w:keepNext w:val="0"/>
        <w:keepLines w:val="0"/>
        <w:pageBreakBefore w:val="0"/>
        <w:kinsoku/>
        <w:overflowPunct/>
        <w:topLinePunct w:val="0"/>
        <w:autoSpaceDE/>
        <w:autoSpaceDN/>
        <w:bidi w:val="0"/>
        <w:snapToGrid w:val="0"/>
        <w:spacing w:line="570" w:lineRule="atLeast"/>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val="0"/>
          <w:color w:val="auto"/>
          <w:spacing w:val="6"/>
          <w:sz w:val="32"/>
          <w:szCs w:val="32"/>
          <w:highlight w:val="none"/>
          <w:lang w:val="en-US" w:eastAsia="zh-CN"/>
        </w:rPr>
        <w:t>社会效益指标共计1个，完成1个，达到单位履职能力对社会带来的影响预期目标，社会效益指标完成。</w:t>
      </w:r>
    </w:p>
    <w:p>
      <w:pPr>
        <w:pStyle w:val="17"/>
        <w:keepNext w:val="0"/>
        <w:keepLines w:val="0"/>
        <w:pageBreakBefore w:val="0"/>
        <w:widowControl w:val="0"/>
        <w:kinsoku/>
        <w:wordWrap/>
        <w:overflowPunct/>
        <w:topLinePunct w:val="0"/>
        <w:autoSpaceDE/>
        <w:autoSpaceDN/>
        <w:bidi w:val="0"/>
        <w:adjustRightInd/>
        <w:snapToGrid w:val="0"/>
        <w:spacing w:line="570" w:lineRule="atLeast"/>
        <w:jc w:val="both"/>
        <w:textAlignment w:val="auto"/>
        <w:outlineLvl w:val="2"/>
        <w:rPr>
          <w:rStyle w:val="13"/>
          <w:rFonts w:hint="eastAsia" w:ascii="方正仿宋_GBK" w:hAnsi="方正仿宋_GBK" w:eastAsia="方正仿宋_GBK" w:cs="方正仿宋_GBK"/>
          <w:b/>
          <w:bCs/>
          <w:i w:val="0"/>
          <w:iCs w:val="0"/>
          <w:spacing w:val="6"/>
          <w:sz w:val="32"/>
          <w:szCs w:val="32"/>
          <w:highlight w:val="none"/>
          <w:lang w:val="en-US" w:eastAsia="zh-CN"/>
        </w:rPr>
      </w:pPr>
      <w:r>
        <w:rPr>
          <w:rFonts w:hint="eastAsia" w:ascii="方正仿宋_GBK" w:hAnsi="方正仿宋_GBK" w:eastAsia="方正仿宋_GBK" w:cs="方正仿宋_GBK"/>
          <w:b/>
          <w:bCs/>
          <w:color w:val="auto"/>
          <w:kern w:val="0"/>
          <w:sz w:val="32"/>
          <w:szCs w:val="32"/>
        </w:rPr>
        <w:t>C32</w:t>
      </w:r>
      <w:r>
        <w:rPr>
          <w:rFonts w:hint="eastAsia" w:ascii="方正仿宋_GBK" w:hAnsi="方正仿宋_GBK" w:eastAsia="方正仿宋_GBK" w:cs="方正仿宋_GBK"/>
          <w:b/>
          <w:bCs/>
          <w:color w:val="auto"/>
          <w:kern w:val="0"/>
          <w:sz w:val="32"/>
          <w:szCs w:val="32"/>
          <w:lang w:val="en-US" w:eastAsia="zh-CN"/>
        </w:rPr>
        <w:t>可持续影响分析</w:t>
      </w:r>
      <w:r>
        <w:rPr>
          <w:rFonts w:hint="eastAsia" w:ascii="方正仿宋_GBK" w:hAnsi="方正仿宋_GBK" w:eastAsia="方正仿宋_GBK" w:cs="方正仿宋_GBK"/>
          <w:b/>
          <w:bCs/>
          <w:color w:val="auto"/>
          <w:kern w:val="0"/>
          <w:sz w:val="32"/>
          <w:szCs w:val="32"/>
        </w:rPr>
        <w:t>指标</w:t>
      </w:r>
    </w:p>
    <w:p>
      <w:pPr>
        <w:pStyle w:val="17"/>
        <w:keepNext w:val="0"/>
        <w:keepLines w:val="0"/>
        <w:pageBreakBefore w:val="0"/>
        <w:widowControl w:val="0"/>
        <w:kinsoku/>
        <w:wordWrap/>
        <w:overflowPunct/>
        <w:topLinePunct w:val="0"/>
        <w:autoSpaceDE/>
        <w:autoSpaceDN/>
        <w:bidi w:val="0"/>
        <w:adjustRightInd/>
        <w:snapToGrid w:val="0"/>
        <w:spacing w:line="570" w:lineRule="atLeast"/>
        <w:jc w:val="both"/>
        <w:textAlignment w:val="auto"/>
        <w:outlineLvl w:val="2"/>
        <w:rPr>
          <w:rStyle w:val="13"/>
          <w:rFonts w:hint="default" w:ascii="方正仿宋_GBK" w:hAnsi="方正仿宋_GBK" w:eastAsia="方正仿宋_GBK" w:cs="方正仿宋_GBK"/>
          <w:b/>
          <w:bCs w:val="0"/>
          <w:i w:val="0"/>
          <w:iCs w:val="0"/>
          <w:spacing w:val="6"/>
          <w:sz w:val="32"/>
          <w:szCs w:val="32"/>
          <w:highlight w:val="none"/>
          <w:lang w:val="en-US" w:eastAsia="zh-CN"/>
        </w:rPr>
      </w:pPr>
      <w:r>
        <w:rPr>
          <w:rStyle w:val="13"/>
          <w:rFonts w:hint="eastAsia" w:ascii="方正仿宋_GBK" w:hAnsi="方正仿宋_GBK" w:eastAsia="方正仿宋_GBK" w:cs="方正仿宋_GBK"/>
          <w:b/>
          <w:bCs/>
          <w:i w:val="0"/>
          <w:iCs w:val="0"/>
          <w:spacing w:val="6"/>
          <w:sz w:val="32"/>
          <w:szCs w:val="32"/>
          <w:highlight w:val="none"/>
          <w:lang w:val="en-US" w:eastAsia="zh-CN"/>
        </w:rPr>
        <w:t>1.C321</w:t>
      </w:r>
      <w:r>
        <w:rPr>
          <w:rStyle w:val="13"/>
          <w:rFonts w:hint="eastAsia" w:ascii="方正仿宋_GBK" w:hAnsi="方正仿宋_GBK" w:eastAsia="方正仿宋_GBK" w:cs="方正仿宋_GBK"/>
          <w:b/>
          <w:bCs w:val="0"/>
          <w:color w:val="auto"/>
          <w:spacing w:val="6"/>
          <w:sz w:val="32"/>
          <w:szCs w:val="32"/>
          <w:highlight w:val="none"/>
          <w:lang w:val="en-US" w:eastAsia="zh-CN"/>
        </w:rPr>
        <w:t>促进四大行业健康有序发展，经营行为规范化指标:</w:t>
      </w:r>
    </w:p>
    <w:p>
      <w:pPr>
        <w:pStyle w:val="17"/>
        <w:keepNext w:val="0"/>
        <w:keepLines w:val="0"/>
        <w:pageBreakBefore w:val="0"/>
        <w:kinsoku/>
        <w:overflowPunct/>
        <w:topLinePunct w:val="0"/>
        <w:autoSpaceDE/>
        <w:autoSpaceDN/>
        <w:bidi w:val="0"/>
        <w:snapToGrid w:val="0"/>
        <w:spacing w:line="570" w:lineRule="atLeast"/>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val="0"/>
          <w:color w:val="auto"/>
          <w:spacing w:val="6"/>
          <w:sz w:val="32"/>
          <w:szCs w:val="32"/>
          <w:highlight w:val="none"/>
          <w:lang w:val="en-US" w:eastAsia="zh-CN"/>
        </w:rPr>
        <w:t>促进四大行业健康有序发展，经营行为规范化指标，预期指标是不断促进，经查看市监局工作总结，实际完成值是不断促进，指标完成率是100%，实现部门绩效长效机制建设，提高工作效率目标。</w:t>
      </w:r>
      <w:r>
        <w:rPr>
          <w:rStyle w:val="13"/>
          <w:rFonts w:hint="default" w:ascii="方正仿宋_GBK" w:hAnsi="方正仿宋_GBK" w:eastAsia="方正仿宋_GBK" w:cs="方正仿宋_GBK"/>
          <w:b w:val="0"/>
          <w:bCs w:val="0"/>
          <w:i w:val="0"/>
          <w:iCs w:val="0"/>
          <w:color w:val="auto"/>
          <w:spacing w:val="6"/>
          <w:kern w:val="2"/>
          <w:sz w:val="32"/>
          <w:szCs w:val="32"/>
          <w:highlight w:val="none"/>
          <w:vertAlign w:val="baseline"/>
          <w:lang w:val="en-US" w:eastAsia="zh-CN" w:bidi="ar-SA"/>
        </w:rPr>
        <w:t>该指标满分5分，根据评分标准得5分。</w:t>
      </w:r>
    </w:p>
    <w:p>
      <w:pPr>
        <w:pStyle w:val="17"/>
        <w:keepNext w:val="0"/>
        <w:keepLines w:val="0"/>
        <w:pageBreakBefore w:val="0"/>
        <w:kinsoku/>
        <w:overflowPunct/>
        <w:topLinePunct w:val="0"/>
        <w:autoSpaceDE/>
        <w:autoSpaceDN/>
        <w:bidi w:val="0"/>
        <w:snapToGrid w:val="0"/>
        <w:spacing w:line="570" w:lineRule="atLeast"/>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default" w:ascii="方正仿宋_GBK" w:hAnsi="方正仿宋_GBK" w:eastAsia="方正仿宋_GBK" w:cs="方正仿宋_GBK"/>
          <w:b w:val="0"/>
          <w:bCs w:val="0"/>
          <w:i w:val="0"/>
          <w:iCs w:val="0"/>
          <w:color w:val="auto"/>
          <w:spacing w:val="6"/>
          <w:kern w:val="2"/>
          <w:sz w:val="32"/>
          <w:szCs w:val="32"/>
          <w:highlight w:val="none"/>
          <w:vertAlign w:val="baseline"/>
          <w:lang w:val="en-US" w:eastAsia="zh-CN" w:bidi="ar-SA"/>
        </w:rPr>
        <w:t>合计得分5分。</w:t>
      </w:r>
    </w:p>
    <w:p>
      <w:pPr>
        <w:pStyle w:val="17"/>
        <w:keepNext w:val="0"/>
        <w:keepLines w:val="0"/>
        <w:pageBreakBefore w:val="0"/>
        <w:kinsoku/>
        <w:overflowPunct/>
        <w:topLinePunct w:val="0"/>
        <w:autoSpaceDE/>
        <w:autoSpaceDN/>
        <w:bidi w:val="0"/>
        <w:snapToGrid w:val="0"/>
        <w:spacing w:line="570" w:lineRule="atLeast"/>
        <w:textAlignment w:val="auto"/>
        <w:rPr>
          <w:rStyle w:val="13"/>
          <w:rFonts w:hint="eastAsia" w:ascii="方正仿宋_GBK" w:hAnsi="方正仿宋_GBK" w:eastAsia="方正仿宋_GBK" w:cs="方正仿宋_GBK"/>
          <w:b w:val="0"/>
          <w:color w:val="000000"/>
          <w:spacing w:val="6"/>
          <w:kern w:val="2"/>
          <w:sz w:val="32"/>
          <w:szCs w:val="32"/>
          <w:lang w:val="en-US" w:eastAsia="zh-CN"/>
        </w:rPr>
      </w:pPr>
      <w:r>
        <w:rPr>
          <w:rStyle w:val="13"/>
          <w:rFonts w:hint="eastAsia" w:ascii="方正仿宋_GBK" w:hAnsi="方正仿宋_GBK" w:eastAsia="方正仿宋_GBK" w:cs="方正仿宋_GBK"/>
          <w:b w:val="0"/>
          <w:color w:val="auto"/>
          <w:spacing w:val="6"/>
          <w:sz w:val="32"/>
          <w:szCs w:val="32"/>
          <w:highlight w:val="none"/>
          <w:lang w:val="en-US" w:eastAsia="zh-CN"/>
        </w:rPr>
        <w:t>可持续影响指标共计1个，完成1个，达到预期目标，可持续影响指标完成。</w:t>
      </w:r>
    </w:p>
    <w:p>
      <w:pPr>
        <w:pStyle w:val="17"/>
        <w:keepNext w:val="0"/>
        <w:keepLines w:val="0"/>
        <w:pageBreakBefore w:val="0"/>
        <w:widowControl w:val="0"/>
        <w:kinsoku/>
        <w:wordWrap/>
        <w:overflowPunct/>
        <w:topLinePunct w:val="0"/>
        <w:autoSpaceDE/>
        <w:autoSpaceDN/>
        <w:bidi w:val="0"/>
        <w:adjustRightInd/>
        <w:snapToGrid w:val="0"/>
        <w:spacing w:line="570" w:lineRule="atLeast"/>
        <w:jc w:val="both"/>
        <w:textAlignment w:val="auto"/>
        <w:outlineLvl w:val="1"/>
        <w:rPr>
          <w:rStyle w:val="13"/>
          <w:rFonts w:hint="eastAsia" w:ascii="方正仿宋_GBK" w:hAnsi="方正仿宋_GBK" w:eastAsia="方正仿宋_GBK" w:cs="方正仿宋_GBK"/>
          <w:b/>
          <w:bCs w:val="0"/>
          <w:color w:val="auto"/>
          <w:spacing w:val="6"/>
          <w:sz w:val="32"/>
          <w:szCs w:val="32"/>
          <w:highlight w:val="none"/>
          <w:lang w:val="en-US" w:eastAsia="zh-CN"/>
        </w:rPr>
      </w:pPr>
      <w:bookmarkStart w:id="87" w:name="_Toc14169"/>
      <w:bookmarkStart w:id="88" w:name="_Toc764"/>
      <w:r>
        <w:rPr>
          <w:rFonts w:hint="eastAsia" w:ascii="方正仿宋_GBK" w:hAnsi="方正仿宋_GBK" w:eastAsia="方正仿宋_GBK" w:cs="方正仿宋_GBK"/>
          <w:b/>
          <w:bCs/>
          <w:color w:val="auto"/>
          <w:kern w:val="0"/>
          <w:sz w:val="32"/>
          <w:szCs w:val="32"/>
        </w:rPr>
        <w:t>C33 满意度情况</w:t>
      </w:r>
    </w:p>
    <w:p>
      <w:pPr>
        <w:pStyle w:val="17"/>
        <w:keepNext w:val="0"/>
        <w:keepLines w:val="0"/>
        <w:pageBreakBefore w:val="0"/>
        <w:widowControl w:val="0"/>
        <w:kinsoku/>
        <w:wordWrap/>
        <w:overflowPunct/>
        <w:topLinePunct w:val="0"/>
        <w:autoSpaceDE/>
        <w:autoSpaceDN/>
        <w:bidi w:val="0"/>
        <w:adjustRightInd/>
        <w:snapToGrid w:val="0"/>
        <w:spacing w:line="570" w:lineRule="atLeast"/>
        <w:jc w:val="both"/>
        <w:textAlignment w:val="auto"/>
        <w:outlineLvl w:val="1"/>
        <w:rPr>
          <w:rStyle w:val="13"/>
          <w:rFonts w:hint="eastAsia" w:ascii="方正仿宋_GBK" w:hAnsi="方正仿宋_GBK" w:eastAsia="方正仿宋_GBK" w:cs="方正仿宋_GBK"/>
          <w:b/>
          <w:bCs w:val="0"/>
          <w:color w:val="auto"/>
          <w:spacing w:val="6"/>
          <w:sz w:val="32"/>
          <w:szCs w:val="32"/>
          <w:highlight w:val="none"/>
          <w:lang w:val="en-US" w:eastAsia="zh-CN"/>
        </w:rPr>
      </w:pPr>
      <w:r>
        <w:rPr>
          <w:rStyle w:val="13"/>
          <w:rFonts w:hint="eastAsia" w:ascii="方正仿宋_GBK" w:hAnsi="方正仿宋_GBK" w:eastAsia="方正仿宋_GBK" w:cs="方正仿宋_GBK"/>
          <w:b/>
          <w:bCs w:val="0"/>
          <w:color w:val="auto"/>
          <w:spacing w:val="6"/>
          <w:sz w:val="32"/>
          <w:szCs w:val="32"/>
          <w:highlight w:val="none"/>
          <w:lang w:val="en-US" w:eastAsia="zh-CN"/>
        </w:rPr>
        <w:t>1.C331满意度指标完成情况分析</w:t>
      </w:r>
      <w:bookmarkEnd w:id="87"/>
      <w:bookmarkEnd w:id="88"/>
    </w:p>
    <w:p>
      <w:pPr>
        <w:pStyle w:val="17"/>
        <w:keepNext w:val="0"/>
        <w:keepLines w:val="0"/>
        <w:pageBreakBefore w:val="0"/>
        <w:kinsoku/>
        <w:overflowPunct/>
        <w:topLinePunct w:val="0"/>
        <w:autoSpaceDE/>
        <w:autoSpaceDN/>
        <w:bidi w:val="0"/>
        <w:snapToGrid w:val="0"/>
        <w:spacing w:line="570" w:lineRule="atLeast"/>
        <w:jc w:val="both"/>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val="0"/>
          <w:color w:val="auto"/>
          <w:spacing w:val="6"/>
          <w:sz w:val="32"/>
          <w:szCs w:val="32"/>
          <w:highlight w:val="none"/>
          <w:lang w:val="en-US" w:eastAsia="zh-CN"/>
        </w:rPr>
        <w:t>按计划完成项目实施，已做满意度调查问卷，具体如下：</w:t>
      </w:r>
    </w:p>
    <w:p>
      <w:pPr>
        <w:pStyle w:val="17"/>
        <w:keepNext w:val="0"/>
        <w:keepLines w:val="0"/>
        <w:pageBreakBefore w:val="0"/>
        <w:kinsoku/>
        <w:overflowPunct/>
        <w:topLinePunct w:val="0"/>
        <w:autoSpaceDE/>
        <w:autoSpaceDN/>
        <w:bidi w:val="0"/>
        <w:snapToGrid w:val="0"/>
        <w:spacing w:line="570" w:lineRule="atLeast"/>
        <w:jc w:val="both"/>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val="0"/>
          <w:color w:val="auto"/>
          <w:spacing w:val="6"/>
          <w:sz w:val="32"/>
          <w:szCs w:val="32"/>
          <w:highlight w:val="none"/>
          <w:lang w:val="en-US" w:eastAsia="zh-CN"/>
        </w:rPr>
        <w:t>在职干部满意度，预期指标是100%，实际完成值是100%，指标完成率是100%，达到单位服务对象对部门履职效果的满意度；</w:t>
      </w:r>
      <w:r>
        <w:rPr>
          <w:rStyle w:val="13"/>
          <w:rFonts w:hint="default" w:ascii="方正仿宋_GBK" w:hAnsi="方正仿宋_GBK" w:eastAsia="方正仿宋_GBK" w:cs="方正仿宋_GBK"/>
          <w:b w:val="0"/>
          <w:bCs w:val="0"/>
          <w:i w:val="0"/>
          <w:iCs w:val="0"/>
          <w:color w:val="auto"/>
          <w:spacing w:val="6"/>
          <w:kern w:val="2"/>
          <w:sz w:val="32"/>
          <w:szCs w:val="32"/>
          <w:highlight w:val="none"/>
          <w:vertAlign w:val="baseline"/>
          <w:lang w:val="en-US" w:eastAsia="zh-CN" w:bidi="ar-SA"/>
        </w:rPr>
        <w:t>该指标满分5分，根据评分标准得5分。</w:t>
      </w:r>
    </w:p>
    <w:p>
      <w:pPr>
        <w:pStyle w:val="17"/>
        <w:keepNext w:val="0"/>
        <w:keepLines w:val="0"/>
        <w:pageBreakBefore w:val="0"/>
        <w:kinsoku/>
        <w:overflowPunct/>
        <w:topLinePunct w:val="0"/>
        <w:autoSpaceDE/>
        <w:autoSpaceDN/>
        <w:bidi w:val="0"/>
        <w:snapToGrid w:val="0"/>
        <w:spacing w:line="570" w:lineRule="atLeast"/>
        <w:jc w:val="both"/>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val="0"/>
          <w:color w:val="auto"/>
          <w:spacing w:val="6"/>
          <w:sz w:val="32"/>
          <w:szCs w:val="32"/>
          <w:highlight w:val="none"/>
          <w:lang w:val="en-US" w:eastAsia="zh-CN"/>
        </w:rPr>
        <w:t>离退休干部满意度，预期指标是100%，实际完成值是100%，指标完成率是100%，达到单位服务对象对部门履职效果的满意度；</w:t>
      </w:r>
      <w:r>
        <w:rPr>
          <w:rStyle w:val="13"/>
          <w:rFonts w:hint="default" w:ascii="方正仿宋_GBK" w:hAnsi="方正仿宋_GBK" w:eastAsia="方正仿宋_GBK" w:cs="方正仿宋_GBK"/>
          <w:b w:val="0"/>
          <w:bCs w:val="0"/>
          <w:i w:val="0"/>
          <w:iCs w:val="0"/>
          <w:color w:val="auto"/>
          <w:spacing w:val="6"/>
          <w:kern w:val="2"/>
          <w:sz w:val="32"/>
          <w:szCs w:val="32"/>
          <w:highlight w:val="none"/>
          <w:vertAlign w:val="baseline"/>
          <w:lang w:val="en-US" w:eastAsia="zh-CN" w:bidi="ar-SA"/>
        </w:rPr>
        <w:t>该指标满分5分，根据评分标准得5分。</w:t>
      </w:r>
    </w:p>
    <w:p>
      <w:pPr>
        <w:pStyle w:val="17"/>
        <w:keepNext w:val="0"/>
        <w:keepLines w:val="0"/>
        <w:pageBreakBefore w:val="0"/>
        <w:kinsoku/>
        <w:overflowPunct/>
        <w:topLinePunct w:val="0"/>
        <w:autoSpaceDE/>
        <w:autoSpaceDN/>
        <w:bidi w:val="0"/>
        <w:snapToGrid w:val="0"/>
        <w:spacing w:line="570" w:lineRule="atLeast"/>
        <w:jc w:val="both"/>
        <w:textAlignment w:val="auto"/>
        <w:rPr>
          <w:rStyle w:val="13"/>
          <w:rFonts w:hint="default"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val="0"/>
          <w:color w:val="auto"/>
          <w:spacing w:val="6"/>
          <w:sz w:val="32"/>
          <w:szCs w:val="32"/>
          <w:highlight w:val="none"/>
          <w:lang w:val="en-US" w:eastAsia="zh-CN"/>
        </w:rPr>
        <w:t>对在职、离退休干部及服务对象进行问卷调查，实际回收有效问卷192份，有效率100%，调查结果：非常满意占92.19%，满意占7.81%，不满意占0%。</w:t>
      </w:r>
    </w:p>
    <w:p>
      <w:pPr>
        <w:pStyle w:val="17"/>
        <w:keepNext w:val="0"/>
        <w:keepLines w:val="0"/>
        <w:pageBreakBefore w:val="0"/>
        <w:kinsoku/>
        <w:overflowPunct/>
        <w:topLinePunct w:val="0"/>
        <w:autoSpaceDE/>
        <w:autoSpaceDN/>
        <w:bidi w:val="0"/>
        <w:snapToGrid w:val="0"/>
        <w:spacing w:line="570" w:lineRule="atLeast"/>
        <w:jc w:val="both"/>
        <w:textAlignment w:val="auto"/>
        <w:rPr>
          <w:rStyle w:val="13"/>
          <w:rFonts w:hint="eastAsia" w:ascii="方正仿宋_GBK" w:hAnsi="方正仿宋_GBK" w:eastAsia="方正仿宋_GBK" w:cs="方正仿宋_GBK"/>
          <w:b w:val="0"/>
          <w:color w:val="auto"/>
          <w:spacing w:val="6"/>
          <w:sz w:val="32"/>
          <w:szCs w:val="32"/>
          <w:highlight w:val="none"/>
          <w:lang w:val="en-US" w:eastAsia="zh-CN"/>
        </w:rPr>
      </w:pPr>
      <w:r>
        <w:rPr>
          <w:rStyle w:val="13"/>
          <w:rFonts w:hint="default" w:ascii="方正仿宋_GBK" w:hAnsi="方正仿宋_GBK" w:eastAsia="方正仿宋_GBK" w:cs="方正仿宋_GBK"/>
          <w:b w:val="0"/>
          <w:color w:val="auto"/>
          <w:spacing w:val="6"/>
          <w:sz w:val="32"/>
          <w:szCs w:val="32"/>
          <w:highlight w:val="none"/>
          <w:lang w:val="en-US" w:eastAsia="zh-CN"/>
        </w:rPr>
        <w:t>合计得分10分。</w:t>
      </w:r>
    </w:p>
    <w:p>
      <w:pPr>
        <w:pStyle w:val="17"/>
        <w:keepNext w:val="0"/>
        <w:keepLines w:val="0"/>
        <w:pageBreakBefore w:val="0"/>
        <w:numPr>
          <w:ilvl w:val="0"/>
          <w:numId w:val="0"/>
        </w:numPr>
        <w:kinsoku/>
        <w:overflowPunct/>
        <w:topLinePunct w:val="0"/>
        <w:autoSpaceDE/>
        <w:autoSpaceDN/>
        <w:bidi w:val="0"/>
        <w:snapToGrid w:val="0"/>
        <w:spacing w:line="570" w:lineRule="atLeast"/>
        <w:ind w:firstLine="664" w:firstLineChars="200"/>
        <w:jc w:val="both"/>
        <w:textAlignment w:val="auto"/>
        <w:rPr>
          <w:rStyle w:val="13"/>
          <w:rFonts w:hint="default" w:ascii="方正仿宋_GBK" w:hAnsi="方正仿宋_GBK" w:eastAsia="方正仿宋_GBK" w:cs="方正仿宋_GBK"/>
          <w:b w:val="0"/>
          <w:color w:val="auto"/>
          <w:spacing w:val="6"/>
          <w:sz w:val="32"/>
          <w:szCs w:val="32"/>
          <w:highlight w:val="none"/>
          <w:lang w:val="en-US" w:eastAsia="zh-CN"/>
        </w:rPr>
      </w:pPr>
      <w:r>
        <w:rPr>
          <w:rStyle w:val="13"/>
          <w:rFonts w:hint="eastAsia" w:ascii="方正仿宋_GBK" w:hAnsi="方正仿宋_GBK" w:eastAsia="方正仿宋_GBK" w:cs="方正仿宋_GBK"/>
          <w:b w:val="0"/>
          <w:color w:val="auto"/>
          <w:spacing w:val="6"/>
          <w:sz w:val="32"/>
          <w:szCs w:val="32"/>
          <w:highlight w:val="none"/>
          <w:lang w:val="en-US" w:eastAsia="zh-CN"/>
        </w:rPr>
        <w:t>满意度指标共计2个，完成2个，达到单位服务对象对部门履职效果的满意度，服务对象满意度指标完成。</w:t>
      </w:r>
    </w:p>
    <w:p>
      <w:pPr>
        <w:spacing w:line="560" w:lineRule="exact"/>
        <w:ind w:firstLine="640" w:firstLineChars="200"/>
        <w:jc w:val="both"/>
        <w:outlineLvl w:val="0"/>
        <w:rPr>
          <w:rFonts w:hint="default" w:ascii="方正黑体_GBK" w:hAnsi="方正黑体_GBK" w:eastAsia="方正黑体_GBK" w:cs="方正黑体_GBK"/>
          <w:color w:val="auto"/>
          <w:sz w:val="32"/>
          <w:szCs w:val="32"/>
          <w:lang w:val="en-US" w:eastAsia="zh-CN"/>
        </w:rPr>
      </w:pPr>
      <w:bookmarkStart w:id="89" w:name="_Toc14853"/>
      <w:bookmarkStart w:id="90" w:name="_Toc7354"/>
      <w:bookmarkStart w:id="91" w:name="_Toc4116_WPSOffice_Level1"/>
      <w:bookmarkStart w:id="92" w:name="_Toc24265"/>
      <w:bookmarkStart w:id="93" w:name="_Toc137030753"/>
      <w:r>
        <w:rPr>
          <w:rFonts w:hint="eastAsia" w:ascii="方正黑体_GBK" w:hAnsi="方正黑体_GBK" w:eastAsia="方正黑体_GBK" w:cs="方正黑体_GBK"/>
          <w:color w:val="auto"/>
          <w:sz w:val="32"/>
          <w:szCs w:val="32"/>
          <w:lang w:val="en-US" w:eastAsia="zh-CN"/>
        </w:rPr>
        <w:t>五</w:t>
      </w:r>
      <w:r>
        <w:rPr>
          <w:rFonts w:hint="eastAsia" w:ascii="方正黑体_GBK" w:hAnsi="方正黑体_GBK" w:eastAsia="方正黑体_GBK" w:cs="方正黑体_GBK"/>
          <w:color w:val="auto"/>
          <w:sz w:val="32"/>
          <w:szCs w:val="32"/>
        </w:rPr>
        <w:t>、</w:t>
      </w:r>
      <w:r>
        <w:rPr>
          <w:rFonts w:hint="eastAsia" w:ascii="方正黑体_GBK" w:hAnsi="方正黑体_GBK" w:eastAsia="方正黑体_GBK" w:cs="方正黑体_GBK"/>
          <w:color w:val="auto"/>
          <w:sz w:val="32"/>
          <w:szCs w:val="32"/>
          <w:lang w:val="en-US" w:eastAsia="zh-CN"/>
        </w:rPr>
        <w:t>主要经验及做法、</w:t>
      </w:r>
      <w:r>
        <w:rPr>
          <w:rFonts w:hint="eastAsia" w:ascii="方正黑体_GBK" w:hAnsi="方正黑体_GBK" w:eastAsia="方正黑体_GBK" w:cs="方正黑体_GBK"/>
          <w:color w:val="auto"/>
          <w:sz w:val="32"/>
          <w:szCs w:val="32"/>
        </w:rPr>
        <w:t>存在的问题及</w:t>
      </w:r>
      <w:bookmarkEnd w:id="89"/>
      <w:r>
        <w:rPr>
          <w:rFonts w:hint="eastAsia" w:ascii="方正黑体_GBK" w:hAnsi="方正黑体_GBK" w:eastAsia="方正黑体_GBK" w:cs="方正黑体_GBK"/>
          <w:color w:val="auto"/>
          <w:sz w:val="32"/>
          <w:szCs w:val="32"/>
          <w:lang w:val="en-US" w:eastAsia="zh-CN"/>
        </w:rPr>
        <w:t>原因分析</w:t>
      </w:r>
      <w:bookmarkEnd w:id="90"/>
      <w:bookmarkEnd w:id="91"/>
    </w:p>
    <w:p>
      <w:pPr>
        <w:pStyle w:val="16"/>
        <w:overflowPunct w:val="0"/>
        <w:autoSpaceDE w:val="0"/>
        <w:autoSpaceDN w:val="0"/>
        <w:adjustRightInd w:val="0"/>
        <w:snapToGrid w:val="0"/>
        <w:spacing w:line="560" w:lineRule="exact"/>
        <w:jc w:val="both"/>
        <w:outlineLvl w:val="1"/>
        <w:rPr>
          <w:rFonts w:hint="eastAsia" w:ascii="方正楷体_GBK" w:hAnsi="方正楷体_GBK" w:eastAsia="方正楷体_GBK" w:cs="方正楷体_GBK"/>
          <w:b/>
          <w:bCs/>
          <w:color w:val="auto"/>
          <w:sz w:val="32"/>
          <w:szCs w:val="32"/>
          <w:lang w:val="en-US" w:eastAsia="zh-CN"/>
        </w:rPr>
      </w:pPr>
      <w:bookmarkStart w:id="94" w:name="_Toc19917_WPSOffice_Level2"/>
      <w:bookmarkStart w:id="95" w:name="_Toc18215"/>
      <w:bookmarkStart w:id="96" w:name="_Toc22412"/>
      <w:r>
        <w:rPr>
          <w:rFonts w:hint="eastAsia" w:ascii="方正楷体_GBK" w:hAnsi="方正楷体_GBK" w:eastAsia="方正楷体_GBK" w:cs="方正楷体_GBK"/>
          <w:b/>
          <w:bCs/>
          <w:color w:val="auto"/>
          <w:sz w:val="32"/>
          <w:szCs w:val="32"/>
          <w:lang w:eastAsia="zh-CN"/>
        </w:rPr>
        <w:t>（</w:t>
      </w:r>
      <w:r>
        <w:rPr>
          <w:rFonts w:hint="eastAsia" w:ascii="方正楷体_GBK" w:hAnsi="方正楷体_GBK" w:eastAsia="方正楷体_GBK" w:cs="方正楷体_GBK"/>
          <w:b/>
          <w:bCs/>
          <w:color w:val="auto"/>
          <w:sz w:val="32"/>
          <w:szCs w:val="32"/>
          <w:lang w:val="en-US" w:eastAsia="zh-CN"/>
        </w:rPr>
        <w:t>一）主要经验及做法</w:t>
      </w:r>
      <w:bookmarkEnd w:id="94"/>
      <w:bookmarkEnd w:id="95"/>
    </w:p>
    <w:p>
      <w:pPr>
        <w:spacing w:line="560" w:lineRule="exact"/>
        <w:ind w:firstLine="640" w:firstLineChars="200"/>
        <w:jc w:val="both"/>
        <w:outlineLvl w:val="1"/>
        <w:rPr>
          <w:rFonts w:hint="eastAsia" w:ascii="方正仿宋_GBK" w:hAnsi="方正仿宋_GBK" w:eastAsia="方正仿宋_GBK" w:cs="方正仿宋_GBK"/>
          <w:bCs/>
          <w:color w:val="auto"/>
          <w:kern w:val="0"/>
          <w:sz w:val="32"/>
          <w:szCs w:val="32"/>
          <w:lang w:val="en-US" w:eastAsia="zh-CN" w:bidi="ar-SA"/>
        </w:rPr>
      </w:pPr>
      <w:bookmarkStart w:id="97" w:name="_Toc2017"/>
      <w:r>
        <w:rPr>
          <w:rFonts w:hint="eastAsia" w:ascii="方正仿宋_GBK" w:hAnsi="方正仿宋_GBK" w:eastAsia="方正仿宋_GBK" w:cs="方正仿宋_GBK"/>
          <w:bCs/>
          <w:color w:val="auto"/>
          <w:kern w:val="0"/>
          <w:sz w:val="32"/>
          <w:szCs w:val="32"/>
          <w:lang w:val="en-US" w:eastAsia="zh-CN" w:bidi="ar-SA"/>
        </w:rPr>
        <w:t>市监局推进深化改革与市场监管职能落实的两手抓、两不误，突出抓好食品安全、药品安全、产品质量安全和特种设备安全这四个关系人民群众身体健康、生命安全的大事。落实“四个最严”要求，做好食品安全示范街创建工作；开展“两品一械”：药品、医疗器械、化妆品、中药饮片安全专项整治工作。聚焦民生关切，持续推进信用体系建设，深化市场监管专项整治，优化服务供给，推进“放管服”改革，助推经济转型发展，持续优化营商环境。严格规范行政执法行为，开展全县粮食市场秩序专项整治，对12家粮食收购及粮食加工企业工开展现场整治，重点整治价格违法、价格垄断、计量违法行为以及其他违反市场监管法律法规行为。做好登记注册、信用、“双反双打”、价格、知识产权、网络交易、计量、标准化监管等重点业务工作。</w:t>
      </w:r>
    </w:p>
    <w:p>
      <w:pPr>
        <w:spacing w:line="560" w:lineRule="exact"/>
        <w:ind w:firstLine="643" w:firstLineChars="200"/>
        <w:jc w:val="both"/>
        <w:outlineLvl w:val="1"/>
        <w:rPr>
          <w:rFonts w:hint="eastAsia" w:ascii="方正楷体_GBK" w:hAnsi="方正楷体_GBK" w:eastAsia="方正楷体_GBK" w:cs="方正楷体_GBK"/>
          <w:b/>
          <w:bCs/>
          <w:color w:val="auto"/>
          <w:sz w:val="32"/>
          <w:szCs w:val="32"/>
        </w:rPr>
      </w:pPr>
      <w:bookmarkStart w:id="98" w:name="_Toc15678_WPSOffice_Level2"/>
      <w:r>
        <w:rPr>
          <w:rFonts w:hint="eastAsia" w:ascii="方正楷体_GBK" w:hAnsi="方正楷体_GBK" w:eastAsia="方正楷体_GBK" w:cs="方正楷体_GBK"/>
          <w:b/>
          <w:bCs/>
          <w:color w:val="auto"/>
          <w:sz w:val="32"/>
          <w:szCs w:val="32"/>
        </w:rPr>
        <w:t>（</w:t>
      </w:r>
      <w:r>
        <w:rPr>
          <w:rFonts w:hint="eastAsia" w:ascii="方正楷体_GBK" w:hAnsi="方正楷体_GBK" w:eastAsia="方正楷体_GBK" w:cs="方正楷体_GBK"/>
          <w:b/>
          <w:bCs/>
          <w:color w:val="auto"/>
          <w:sz w:val="32"/>
          <w:szCs w:val="32"/>
          <w:lang w:val="en-US" w:eastAsia="zh-CN"/>
        </w:rPr>
        <w:t>二</w:t>
      </w:r>
      <w:r>
        <w:rPr>
          <w:rFonts w:hint="eastAsia" w:ascii="方正楷体_GBK" w:hAnsi="方正楷体_GBK" w:eastAsia="方正楷体_GBK" w:cs="方正楷体_GBK"/>
          <w:b/>
          <w:bCs/>
          <w:color w:val="auto"/>
          <w:sz w:val="32"/>
          <w:szCs w:val="32"/>
        </w:rPr>
        <w:t>）存在的问题</w:t>
      </w:r>
      <w:bookmarkEnd w:id="96"/>
      <w:bookmarkEnd w:id="97"/>
      <w:bookmarkEnd w:id="98"/>
    </w:p>
    <w:p>
      <w:pPr>
        <w:pStyle w:val="16"/>
        <w:overflowPunct w:val="0"/>
        <w:autoSpaceDE w:val="0"/>
        <w:autoSpaceDN w:val="0"/>
        <w:adjustRightInd w:val="0"/>
        <w:snapToGrid w:val="0"/>
        <w:spacing w:line="560" w:lineRule="exact"/>
        <w:jc w:val="both"/>
        <w:outlineLvl w:val="9"/>
        <w:rPr>
          <w:rFonts w:hint="eastAsia" w:ascii="方正仿宋_GBK" w:hAnsi="方正仿宋_GBK" w:eastAsia="方正仿宋_GBK" w:cs="方正仿宋_GBK"/>
          <w:bCs/>
          <w:color w:val="auto"/>
          <w:sz w:val="32"/>
          <w:szCs w:val="32"/>
          <w:lang w:eastAsia="zh-CN"/>
        </w:rPr>
      </w:pPr>
      <w:r>
        <w:rPr>
          <w:rFonts w:hint="eastAsia" w:ascii="方正仿宋_GBK" w:hAnsi="方正仿宋_GBK" w:eastAsia="方正仿宋_GBK" w:cs="方正仿宋_GBK"/>
          <w:bCs/>
          <w:color w:val="auto"/>
          <w:sz w:val="32"/>
          <w:szCs w:val="32"/>
          <w:highlight w:val="none"/>
          <w:lang w:val="en-US" w:eastAsia="zh-CN"/>
        </w:rPr>
        <w:t>伽师县市场监督管理局培训任务较多，覆盖群体广泛，但部门</w:t>
      </w:r>
      <w:r>
        <w:rPr>
          <w:rFonts w:hint="eastAsia" w:ascii="方正仿宋_GBK" w:hAnsi="方正仿宋_GBK" w:eastAsia="方正仿宋_GBK" w:cs="方正仿宋_GBK"/>
          <w:bCs/>
          <w:color w:val="auto"/>
          <w:sz w:val="32"/>
          <w:szCs w:val="32"/>
          <w:highlight w:val="none"/>
        </w:rPr>
        <w:t>未</w:t>
      </w:r>
      <w:r>
        <w:rPr>
          <w:rFonts w:hint="eastAsia" w:ascii="方正仿宋_GBK" w:hAnsi="方正仿宋_GBK" w:eastAsia="方正仿宋_GBK" w:cs="方正仿宋_GBK"/>
          <w:bCs/>
          <w:color w:val="auto"/>
          <w:sz w:val="32"/>
          <w:szCs w:val="32"/>
          <w:highlight w:val="none"/>
          <w:lang w:val="en-US" w:eastAsia="zh-CN"/>
        </w:rPr>
        <w:t>针对各项培训内容</w:t>
      </w:r>
      <w:r>
        <w:rPr>
          <w:rFonts w:hint="eastAsia" w:ascii="方正仿宋_GBK" w:hAnsi="方正仿宋_GBK" w:eastAsia="方正仿宋_GBK" w:cs="方正仿宋_GBK"/>
          <w:bCs/>
          <w:color w:val="auto"/>
          <w:sz w:val="32"/>
          <w:szCs w:val="32"/>
          <w:highlight w:val="none"/>
        </w:rPr>
        <w:t>建立</w:t>
      </w:r>
      <w:r>
        <w:rPr>
          <w:rFonts w:hint="eastAsia" w:ascii="方正仿宋_GBK" w:hAnsi="方正仿宋_GBK" w:eastAsia="方正仿宋_GBK" w:cs="方正仿宋_GBK"/>
          <w:bCs/>
          <w:color w:val="auto"/>
          <w:sz w:val="32"/>
          <w:szCs w:val="32"/>
          <w:highlight w:val="none"/>
          <w:lang w:val="en-US" w:eastAsia="zh-CN"/>
        </w:rPr>
        <w:t>较完善的</w:t>
      </w:r>
      <w:r>
        <w:rPr>
          <w:rFonts w:hint="eastAsia" w:ascii="方正仿宋_GBK" w:hAnsi="方正仿宋_GBK" w:eastAsia="方正仿宋_GBK" w:cs="方正仿宋_GBK"/>
          <w:bCs/>
          <w:color w:val="auto"/>
          <w:sz w:val="32"/>
          <w:szCs w:val="32"/>
          <w:highlight w:val="none"/>
        </w:rPr>
        <w:t>业务能力提升机制</w:t>
      </w:r>
      <w:r>
        <w:rPr>
          <w:rFonts w:hint="eastAsia" w:ascii="方正仿宋_GBK" w:hAnsi="方正仿宋_GBK" w:eastAsia="方正仿宋_GBK" w:cs="方正仿宋_GBK"/>
          <w:bCs/>
          <w:color w:val="auto"/>
          <w:sz w:val="32"/>
          <w:szCs w:val="32"/>
          <w:highlight w:val="none"/>
          <w:lang w:eastAsia="zh-CN"/>
        </w:rPr>
        <w:t>及年度培训计划。</w:t>
      </w:r>
    </w:p>
    <w:p>
      <w:pPr>
        <w:pStyle w:val="16"/>
        <w:overflowPunct w:val="0"/>
        <w:autoSpaceDE w:val="0"/>
        <w:autoSpaceDN w:val="0"/>
        <w:adjustRightInd w:val="0"/>
        <w:snapToGrid w:val="0"/>
        <w:spacing w:line="560" w:lineRule="exact"/>
        <w:jc w:val="both"/>
        <w:outlineLvl w:val="0"/>
        <w:rPr>
          <w:rFonts w:hint="eastAsia" w:ascii="方正黑体_GBK" w:hAnsi="方正黑体_GBK" w:eastAsia="方正黑体_GBK" w:cs="方正黑体_GBK"/>
          <w:b w:val="0"/>
          <w:bCs/>
          <w:color w:val="auto"/>
          <w:sz w:val="32"/>
          <w:szCs w:val="32"/>
          <w:lang w:val="en-US" w:eastAsia="zh-CN"/>
        </w:rPr>
      </w:pPr>
      <w:bookmarkStart w:id="99" w:name="_Toc19608_WPSOffice_Level1"/>
      <w:bookmarkStart w:id="100" w:name="_Toc1202"/>
      <w:r>
        <w:rPr>
          <w:rFonts w:hint="eastAsia" w:ascii="方正黑体_GBK" w:hAnsi="方正黑体_GBK" w:eastAsia="方正黑体_GBK" w:cs="方正黑体_GBK"/>
          <w:b w:val="0"/>
          <w:bCs/>
          <w:color w:val="auto"/>
          <w:sz w:val="32"/>
          <w:szCs w:val="32"/>
          <w:lang w:val="en-US" w:eastAsia="zh-CN"/>
        </w:rPr>
        <w:t>六、有关建议</w:t>
      </w:r>
      <w:bookmarkEnd w:id="99"/>
      <w:bookmarkEnd w:id="100"/>
    </w:p>
    <w:p>
      <w:pPr>
        <w:pStyle w:val="16"/>
        <w:overflowPunct w:val="0"/>
        <w:autoSpaceDE w:val="0"/>
        <w:autoSpaceDN w:val="0"/>
        <w:adjustRightInd w:val="0"/>
        <w:snapToGrid w:val="0"/>
        <w:spacing w:line="560" w:lineRule="exact"/>
        <w:jc w:val="both"/>
        <w:outlineLvl w:val="9"/>
        <w:rPr>
          <w:rFonts w:hint="eastAsia" w:ascii="方正仿宋_GBK" w:hAnsi="方正仿宋_GBK" w:eastAsia="方正仿宋_GBK" w:cs="方正仿宋_GBK"/>
          <w:bCs/>
          <w:color w:val="auto"/>
          <w:sz w:val="32"/>
          <w:szCs w:val="32"/>
          <w:highlight w:val="none"/>
          <w:lang w:eastAsia="zh-CN"/>
        </w:rPr>
      </w:pPr>
      <w:r>
        <w:rPr>
          <w:rFonts w:hint="eastAsia" w:ascii="方正仿宋_GBK" w:hAnsi="方正仿宋_GBK" w:eastAsia="方正仿宋_GBK" w:cs="方正仿宋_GBK"/>
          <w:bCs/>
          <w:color w:val="auto"/>
          <w:sz w:val="32"/>
          <w:szCs w:val="32"/>
          <w:highlight w:val="none"/>
        </w:rPr>
        <w:t>建议</w:t>
      </w:r>
      <w:r>
        <w:rPr>
          <w:rFonts w:hint="eastAsia" w:ascii="方正仿宋_GBK" w:hAnsi="方正仿宋_GBK" w:eastAsia="方正仿宋_GBK" w:cs="方正仿宋_GBK"/>
          <w:bCs/>
          <w:color w:val="auto"/>
          <w:sz w:val="32"/>
          <w:szCs w:val="32"/>
          <w:highlight w:val="none"/>
          <w:lang w:val="en-US" w:eastAsia="zh-CN"/>
        </w:rPr>
        <w:t>伽师县市场监督管理局制定部门相关业务培训制度</w:t>
      </w:r>
      <w:r>
        <w:rPr>
          <w:rFonts w:hint="eastAsia" w:ascii="方正仿宋_GBK" w:hAnsi="方正仿宋_GBK" w:eastAsia="方正仿宋_GBK" w:cs="方正仿宋_GBK"/>
          <w:bCs/>
          <w:color w:val="auto"/>
          <w:sz w:val="32"/>
          <w:szCs w:val="32"/>
          <w:highlight w:val="none"/>
          <w:lang w:eastAsia="zh-CN"/>
        </w:rPr>
        <w:t>及年度培训计划，</w:t>
      </w:r>
      <w:r>
        <w:rPr>
          <w:rFonts w:hint="eastAsia" w:ascii="方正仿宋_GBK" w:hAnsi="方正仿宋_GBK" w:eastAsia="方正仿宋_GBK" w:cs="方正仿宋_GBK"/>
          <w:bCs/>
          <w:color w:val="auto"/>
          <w:sz w:val="32"/>
          <w:szCs w:val="32"/>
          <w:highlight w:val="none"/>
          <w:lang w:val="en-US" w:eastAsia="zh-CN"/>
        </w:rPr>
        <w:t>根据各项培训内容</w:t>
      </w:r>
      <w:r>
        <w:rPr>
          <w:rFonts w:hint="eastAsia" w:ascii="方正仿宋_GBK" w:hAnsi="方正仿宋_GBK" w:eastAsia="方正仿宋_GBK" w:cs="方正仿宋_GBK"/>
          <w:bCs/>
          <w:color w:val="auto"/>
          <w:sz w:val="32"/>
          <w:szCs w:val="32"/>
          <w:highlight w:val="none"/>
        </w:rPr>
        <w:t>建立</w:t>
      </w:r>
      <w:r>
        <w:rPr>
          <w:rFonts w:hint="eastAsia" w:ascii="方正仿宋_GBK" w:hAnsi="方正仿宋_GBK" w:eastAsia="方正仿宋_GBK" w:cs="方正仿宋_GBK"/>
          <w:bCs/>
          <w:color w:val="auto"/>
          <w:sz w:val="32"/>
          <w:szCs w:val="32"/>
          <w:highlight w:val="none"/>
          <w:lang w:val="en-US" w:eastAsia="zh-CN"/>
        </w:rPr>
        <w:t>完善</w:t>
      </w:r>
      <w:r>
        <w:rPr>
          <w:rFonts w:hint="eastAsia" w:ascii="方正仿宋_GBK" w:hAnsi="方正仿宋_GBK" w:eastAsia="方正仿宋_GBK" w:cs="方正仿宋_GBK"/>
          <w:bCs/>
          <w:color w:val="auto"/>
          <w:sz w:val="32"/>
          <w:szCs w:val="32"/>
          <w:highlight w:val="none"/>
        </w:rPr>
        <w:t>业务能力提升机制</w:t>
      </w:r>
      <w:r>
        <w:rPr>
          <w:rFonts w:hint="eastAsia" w:ascii="方正仿宋_GBK" w:hAnsi="方正仿宋_GBK" w:eastAsia="方正仿宋_GBK" w:cs="方正仿宋_GBK"/>
          <w:bCs/>
          <w:color w:val="auto"/>
          <w:sz w:val="32"/>
          <w:szCs w:val="32"/>
          <w:highlight w:val="none"/>
          <w:lang w:eastAsia="zh-CN"/>
        </w:rPr>
        <w:t>。</w:t>
      </w:r>
    </w:p>
    <w:p>
      <w:pPr>
        <w:pStyle w:val="3"/>
        <w:bidi w:val="0"/>
        <w:rPr>
          <w:rFonts w:hint="eastAsia"/>
          <w:lang w:val="en-US" w:eastAsia="zh-CN"/>
        </w:rPr>
      </w:pPr>
      <w:bookmarkStart w:id="101" w:name="_Toc6722_WPSOffice_Level1"/>
      <w:r>
        <w:rPr>
          <w:rFonts w:hint="eastAsia"/>
          <w:lang w:val="en-US" w:eastAsia="zh-CN"/>
        </w:rPr>
        <w:t>附件1 整体支出绩效目标自评表</w:t>
      </w:r>
      <w:bookmarkEnd w:id="101"/>
    </w:p>
    <w:p>
      <w:pPr>
        <w:pStyle w:val="26"/>
        <w:spacing w:before="0" w:after="0" w:line="560" w:lineRule="exact"/>
        <w:jc w:val="both"/>
        <w:outlineLvl w:val="9"/>
        <w:rPr>
          <w:rFonts w:hint="default" w:ascii="黑体" w:hAnsi="黑体" w:eastAsia="黑体"/>
          <w:b w:val="0"/>
          <w:bCs/>
          <w:color w:val="auto"/>
          <w:sz w:val="32"/>
          <w:szCs w:val="32"/>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53"/>
        <w:gridCol w:w="1189"/>
        <w:gridCol w:w="1196"/>
        <w:gridCol w:w="769"/>
        <w:gridCol w:w="772"/>
        <w:gridCol w:w="772"/>
        <w:gridCol w:w="935"/>
        <w:gridCol w:w="1020"/>
        <w:gridCol w:w="9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2" w:hRule="atLeast"/>
        </w:trPr>
        <w:tc>
          <w:tcPr>
            <w:tcW w:w="5000" w:type="pct"/>
            <w:gridSpan w:val="9"/>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部门（单位）整体支出绩效目标自评表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000" w:type="pct"/>
            <w:gridSpan w:val="9"/>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(2022年)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0" w:hRule="atLeast"/>
        </w:trPr>
        <w:tc>
          <w:tcPr>
            <w:tcW w:w="1883" w:type="pct"/>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部门（单位）名称</w:t>
            </w:r>
          </w:p>
        </w:tc>
        <w:tc>
          <w:tcPr>
            <w:tcW w:w="3116" w:type="pct"/>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伽师县工商行政管理局（本级）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45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714"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任务名称</w:t>
            </w: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完成情况</w:t>
            </w:r>
          </w:p>
        </w:tc>
        <w:tc>
          <w:tcPr>
            <w:tcW w:w="1387" w:type="pct"/>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预算金额（万元）</w:t>
            </w:r>
          </w:p>
        </w:tc>
        <w:tc>
          <w:tcPr>
            <w:tcW w:w="1728" w:type="pct"/>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实际执行（万元）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45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总额</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财政拨款</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其他资金</w:t>
            </w:r>
          </w:p>
        </w:tc>
        <w:tc>
          <w:tcPr>
            <w:tcW w:w="560"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总额</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财政拨款</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其他资金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0" w:hRule="atLeast"/>
        </w:trPr>
        <w:tc>
          <w:tcPr>
            <w:tcW w:w="45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年度主要任务</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任务1：本级部门预算编制内的工资</w:t>
            </w:r>
          </w:p>
        </w:tc>
        <w:tc>
          <w:tcPr>
            <w:tcW w:w="7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已完成任务1:严格执行全年预算编制内的工资预算支出，保障在职45人工资福利发放，及时缴纳社会保障等；保障退休及遗属补助46人，持续保障在职及退休干部政治生活待遇落实。</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lang w:val="en-US"/>
              </w:rPr>
            </w:pPr>
            <w:r>
              <w:rPr>
                <w:rFonts w:hint="eastAsia"/>
                <w:lang w:val="en-US" w:eastAsia="zh-CN"/>
              </w:rPr>
              <w:t>804.4</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18"/>
                <w:szCs w:val="18"/>
                <w:u w:val="none"/>
                <w:lang w:val="en-US"/>
              </w:rPr>
            </w:pPr>
            <w:r>
              <w:rPr>
                <w:rFonts w:hint="eastAsia" w:ascii="宋体" w:hAnsi="宋体" w:eastAsia="宋体" w:cs="宋体"/>
                <w:i w:val="0"/>
                <w:color w:val="000000"/>
                <w:kern w:val="0"/>
                <w:sz w:val="18"/>
                <w:szCs w:val="18"/>
                <w:u w:val="none"/>
                <w:lang w:val="en-US" w:eastAsia="zh-CN" w:bidi="ar"/>
              </w:rPr>
              <w:t>804.4</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0.00</w:t>
            </w:r>
          </w:p>
        </w:tc>
        <w:tc>
          <w:tcPr>
            <w:tcW w:w="5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18"/>
                <w:szCs w:val="18"/>
                <w:u w:val="none"/>
                <w:lang w:val="en-US"/>
              </w:rPr>
            </w:pPr>
            <w:r>
              <w:rPr>
                <w:rFonts w:hint="eastAsia" w:ascii="宋体" w:hAnsi="宋体" w:eastAsia="宋体" w:cs="宋体"/>
                <w:i w:val="0"/>
                <w:color w:val="000000"/>
                <w:kern w:val="0"/>
                <w:sz w:val="18"/>
                <w:szCs w:val="18"/>
                <w:u w:val="none"/>
                <w:lang w:val="en-US" w:eastAsia="zh-CN" w:bidi="ar"/>
              </w:rPr>
              <w:t>804.4</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18"/>
                <w:szCs w:val="18"/>
                <w:u w:val="none"/>
                <w:lang w:val="en-US"/>
              </w:rPr>
            </w:pPr>
            <w:r>
              <w:rPr>
                <w:rFonts w:hint="eastAsia" w:ascii="宋体" w:hAnsi="宋体" w:eastAsia="宋体" w:cs="宋体"/>
                <w:i w:val="0"/>
                <w:color w:val="000000"/>
                <w:kern w:val="0"/>
                <w:sz w:val="18"/>
                <w:szCs w:val="18"/>
                <w:u w:val="none"/>
                <w:lang w:val="en-US" w:eastAsia="zh-CN" w:bidi="ar"/>
              </w:rPr>
              <w:t>804.4</w:t>
            </w:r>
          </w:p>
        </w:tc>
        <w:tc>
          <w:tcPr>
            <w:tcW w:w="5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0" w:hRule="atLeast"/>
        </w:trPr>
        <w:tc>
          <w:tcPr>
            <w:tcW w:w="4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b/>
                <w:i w:val="0"/>
                <w:color w:val="000000"/>
                <w:sz w:val="18"/>
                <w:szCs w:val="18"/>
                <w:u w:val="none"/>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任务2：保障运转的公用经费</w:t>
            </w:r>
          </w:p>
        </w:tc>
        <w:tc>
          <w:tcPr>
            <w:tcW w:w="7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已完成任务2：严格执行全年公用经费预算支出，保障车辆运转经费、办公经费、办公用房取暖费的支出；充分履行市监局部门职能，不断促进四大行业健康有序发展，经营行为规范化。</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28.93</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28.93</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0.00</w:t>
            </w:r>
          </w:p>
        </w:tc>
        <w:tc>
          <w:tcPr>
            <w:tcW w:w="5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28.93</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28.93</w:t>
            </w:r>
          </w:p>
        </w:tc>
        <w:tc>
          <w:tcPr>
            <w:tcW w:w="5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5"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431"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金额合计</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18"/>
                <w:szCs w:val="18"/>
                <w:u w:val="none"/>
                <w:lang w:val="en-US"/>
              </w:rPr>
            </w:pPr>
            <w:r>
              <w:rPr>
                <w:rFonts w:hint="eastAsia" w:ascii="宋体" w:hAnsi="宋体" w:eastAsia="宋体" w:cs="宋体"/>
                <w:b/>
                <w:i w:val="0"/>
                <w:color w:val="000000"/>
                <w:kern w:val="0"/>
                <w:sz w:val="18"/>
                <w:szCs w:val="18"/>
                <w:u w:val="none"/>
                <w:lang w:val="en-US" w:eastAsia="zh-CN" w:bidi="ar"/>
              </w:rPr>
              <w:t>833.33</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18"/>
                <w:szCs w:val="18"/>
                <w:u w:val="none"/>
                <w:lang w:val="en-US"/>
              </w:rPr>
            </w:pPr>
            <w:r>
              <w:rPr>
                <w:rFonts w:hint="eastAsia" w:ascii="宋体" w:hAnsi="宋体" w:eastAsia="宋体" w:cs="宋体"/>
                <w:b/>
                <w:i w:val="0"/>
                <w:color w:val="000000"/>
                <w:kern w:val="0"/>
                <w:sz w:val="18"/>
                <w:szCs w:val="18"/>
                <w:u w:val="none"/>
                <w:lang w:val="en-US" w:eastAsia="zh-CN" w:bidi="ar"/>
              </w:rPr>
              <w:t>833.33</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0.00</w:t>
            </w:r>
          </w:p>
        </w:tc>
        <w:tc>
          <w:tcPr>
            <w:tcW w:w="5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18"/>
                <w:szCs w:val="18"/>
                <w:u w:val="none"/>
                <w:lang w:val="en-US"/>
              </w:rPr>
            </w:pPr>
            <w:r>
              <w:rPr>
                <w:rFonts w:hint="eastAsia" w:ascii="宋体" w:hAnsi="宋体" w:eastAsia="宋体" w:cs="宋体"/>
                <w:b/>
                <w:i w:val="0"/>
                <w:color w:val="000000"/>
                <w:kern w:val="0"/>
                <w:sz w:val="18"/>
                <w:szCs w:val="18"/>
                <w:u w:val="none"/>
                <w:lang w:val="en-US" w:eastAsia="zh-CN" w:bidi="ar"/>
              </w:rPr>
              <w:t>833.33</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18"/>
                <w:szCs w:val="18"/>
                <w:u w:val="none"/>
                <w:lang w:val="en-US"/>
              </w:rPr>
            </w:pPr>
            <w:r>
              <w:rPr>
                <w:rFonts w:hint="eastAsia" w:ascii="宋体" w:hAnsi="宋体" w:eastAsia="宋体" w:cs="宋体"/>
                <w:b/>
                <w:i w:val="0"/>
                <w:color w:val="000000"/>
                <w:kern w:val="0"/>
                <w:sz w:val="18"/>
                <w:szCs w:val="18"/>
                <w:u w:val="none"/>
                <w:lang w:val="en-US" w:eastAsia="zh-CN" w:bidi="ar"/>
              </w:rPr>
              <w:t>833.33</w:t>
            </w:r>
          </w:p>
        </w:tc>
        <w:tc>
          <w:tcPr>
            <w:tcW w:w="5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2356" w:type="pct"/>
            <w:gridSpan w:val="4"/>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预期目标</w:t>
            </w:r>
          </w:p>
        </w:tc>
        <w:tc>
          <w:tcPr>
            <w:tcW w:w="2191" w:type="pct"/>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实际完成目标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00"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年度总体目标</w:t>
            </w:r>
          </w:p>
        </w:tc>
        <w:tc>
          <w:tcPr>
            <w:tcW w:w="2356"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我单位2022年主要突出抓好四大安全监管工作、加强放管服改革，进一步优化营商环境、加快推进双随机、一公开监管工作、完成县委、县政府交办的其他事项；有效降低食品、药品产品质量及特种设备安全的风险，不断促进食品行业健康有序发展，经营行为规范化。</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目标1：严格执行全年预算编制内的工资预算支出，保障在职48人工资福利发放，及时缴纳社会保障等；保障退休及遗属补助46人，持续保障在职及退休干部政治生活待遇落实。</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目标2：严格执行全年公用经费预算支出，保障车辆运转经费、办公经费、办公用房取暖费的支出；充分履行市监局部门职能，不断 促进四大行业健康有序发展，经营行为规范化。</w:t>
            </w:r>
          </w:p>
        </w:tc>
        <w:tc>
          <w:tcPr>
            <w:tcW w:w="2191"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截至2022年12月31日，实际已保障了我单位45名人员全年工资及时发放，有效提高基层干部职工工作积极性和干部综合素养；保障46名退休及遗属人员生活补助的发放，持续保障在职及退休干部政治生活待遇落实，使其政治生活待遇有效落实；实际已保障了5辆公务用车的正常运转，持续保障了机构正常运行，有效提升公共服务能力，充分履行市监局部门职能，不断促进四大行业健康有序发展，经营行为规范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一级指标</w:t>
            </w:r>
          </w:p>
        </w:tc>
        <w:tc>
          <w:tcPr>
            <w:tcW w:w="716" w:type="pct"/>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二级指标</w:t>
            </w:r>
          </w:p>
        </w:tc>
        <w:tc>
          <w:tcPr>
            <w:tcW w:w="1948" w:type="pct"/>
            <w:gridSpan w:val="4"/>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三级指标</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预期指标值</w:t>
            </w:r>
          </w:p>
        </w:tc>
        <w:tc>
          <w:tcPr>
            <w:tcW w:w="5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实际完成指标值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45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年度绩效目标</w:t>
            </w:r>
          </w:p>
        </w:tc>
        <w:tc>
          <w:tcPr>
            <w:tcW w:w="71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产出指标</w:t>
            </w:r>
          </w:p>
        </w:tc>
        <w:tc>
          <w:tcPr>
            <w:tcW w:w="7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数量指标</w:t>
            </w:r>
          </w:p>
        </w:tc>
        <w:tc>
          <w:tcPr>
            <w:tcW w:w="1948"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保障在职人员人数（人）</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=48</w:t>
            </w:r>
          </w:p>
        </w:tc>
        <w:tc>
          <w:tcPr>
            <w:tcW w:w="5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4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数量指标</w:t>
            </w:r>
          </w:p>
        </w:tc>
        <w:tc>
          <w:tcPr>
            <w:tcW w:w="1948"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保障退休及遗属人数（人）</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=46</w:t>
            </w:r>
          </w:p>
        </w:tc>
        <w:tc>
          <w:tcPr>
            <w:tcW w:w="5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4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数量指标</w:t>
            </w:r>
          </w:p>
        </w:tc>
        <w:tc>
          <w:tcPr>
            <w:tcW w:w="1948"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公务保障用车数量（辆）</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5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4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数量指标</w:t>
            </w:r>
          </w:p>
        </w:tc>
        <w:tc>
          <w:tcPr>
            <w:tcW w:w="1948"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房屋建筑物供暖面积（平方米）</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=3433</w:t>
            </w:r>
          </w:p>
        </w:tc>
        <w:tc>
          <w:tcPr>
            <w:tcW w:w="5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3433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4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质量指标</w:t>
            </w:r>
          </w:p>
        </w:tc>
        <w:tc>
          <w:tcPr>
            <w:tcW w:w="1948"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工资及补助发放率（%）</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5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4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质量指标</w:t>
            </w:r>
          </w:p>
        </w:tc>
        <w:tc>
          <w:tcPr>
            <w:tcW w:w="1948"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保障车辆及办公设备正常运转率（%）</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5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4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质量指标</w:t>
            </w:r>
          </w:p>
        </w:tc>
        <w:tc>
          <w:tcPr>
            <w:tcW w:w="1948"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部门预算资金到位率（%）</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5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4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时效指标</w:t>
            </w:r>
          </w:p>
        </w:tc>
        <w:tc>
          <w:tcPr>
            <w:tcW w:w="1948"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工资及补助发放及时率（%）</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5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4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时效指标</w:t>
            </w:r>
          </w:p>
        </w:tc>
        <w:tc>
          <w:tcPr>
            <w:tcW w:w="1948"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项目截止期限</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2022年12月20日</w:t>
            </w:r>
          </w:p>
        </w:tc>
        <w:tc>
          <w:tcPr>
            <w:tcW w:w="5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2022年12月20日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4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成本指标</w:t>
            </w:r>
          </w:p>
        </w:tc>
        <w:tc>
          <w:tcPr>
            <w:tcW w:w="1948"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人员经费支出总额（万元）</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color w:val="000000"/>
                <w:sz w:val="18"/>
                <w:szCs w:val="18"/>
                <w:u w:val="none"/>
                <w:lang w:val="en-US"/>
              </w:rPr>
            </w:pPr>
            <w:r>
              <w:rPr>
                <w:rFonts w:hint="eastAsia" w:ascii="宋体" w:hAnsi="宋体" w:eastAsia="宋体" w:cs="宋体"/>
                <w:i w:val="0"/>
                <w:color w:val="000000"/>
                <w:kern w:val="0"/>
                <w:sz w:val="18"/>
                <w:szCs w:val="18"/>
                <w:u w:val="none"/>
                <w:lang w:val="en-US" w:eastAsia="zh-CN" w:bidi="ar"/>
              </w:rPr>
              <w:t>&lt;=804.4</w:t>
            </w:r>
          </w:p>
        </w:tc>
        <w:tc>
          <w:tcPr>
            <w:tcW w:w="5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color w:val="000000"/>
                <w:sz w:val="18"/>
                <w:szCs w:val="18"/>
                <w:u w:val="none"/>
                <w:lang w:val="en-US"/>
              </w:rPr>
            </w:pPr>
            <w:r>
              <w:rPr>
                <w:rFonts w:hint="eastAsia" w:ascii="宋体" w:hAnsi="宋体" w:eastAsia="宋体" w:cs="宋体"/>
                <w:i w:val="0"/>
                <w:color w:val="000000"/>
                <w:kern w:val="0"/>
                <w:sz w:val="18"/>
                <w:szCs w:val="18"/>
                <w:u w:val="none"/>
                <w:lang w:val="en-US" w:eastAsia="zh-CN" w:bidi="ar"/>
              </w:rPr>
              <w:t>804.4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4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成本指标</w:t>
            </w:r>
          </w:p>
        </w:tc>
        <w:tc>
          <w:tcPr>
            <w:tcW w:w="1948"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全年保运转经费总额（万元）</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&lt;=28.93</w:t>
            </w:r>
          </w:p>
        </w:tc>
        <w:tc>
          <w:tcPr>
            <w:tcW w:w="5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4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71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效益指标</w:t>
            </w:r>
          </w:p>
        </w:tc>
        <w:tc>
          <w:tcPr>
            <w:tcW w:w="7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社会效益指标</w:t>
            </w:r>
          </w:p>
        </w:tc>
        <w:tc>
          <w:tcPr>
            <w:tcW w:w="1948"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降低四大安全风险</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有效降低</w:t>
            </w:r>
          </w:p>
        </w:tc>
        <w:tc>
          <w:tcPr>
            <w:tcW w:w="5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有效降低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4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可持续影响指标</w:t>
            </w:r>
          </w:p>
        </w:tc>
        <w:tc>
          <w:tcPr>
            <w:tcW w:w="1948"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促进四大行业健康有序发展，经营行为规范化</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不断促进</w:t>
            </w:r>
          </w:p>
        </w:tc>
        <w:tc>
          <w:tcPr>
            <w:tcW w:w="5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不断促进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4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71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满意度指标</w:t>
            </w:r>
          </w:p>
        </w:tc>
        <w:tc>
          <w:tcPr>
            <w:tcW w:w="7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满意度指标 </w:t>
            </w:r>
          </w:p>
        </w:tc>
        <w:tc>
          <w:tcPr>
            <w:tcW w:w="1948"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在职干部满意度（%）</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5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4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满意度指标 </w:t>
            </w:r>
          </w:p>
        </w:tc>
        <w:tc>
          <w:tcPr>
            <w:tcW w:w="1948"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离退休干部满意度（%）</w:t>
            </w:r>
          </w:p>
        </w:tc>
        <w:tc>
          <w:tcPr>
            <w:tcW w:w="6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5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 w:hRule="atLeast"/>
        </w:trPr>
        <w:tc>
          <w:tcPr>
            <w:tcW w:w="451" w:type="pct"/>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714" w:type="pct"/>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716" w:type="pct"/>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61" w:type="pct"/>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63" w:type="pct"/>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63" w:type="pct"/>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60" w:type="pct"/>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611" w:type="pct"/>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6" w:type="pct"/>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451" w:type="pct"/>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联系人：</w:t>
            </w:r>
          </w:p>
        </w:tc>
        <w:tc>
          <w:tcPr>
            <w:tcW w:w="714" w:type="pct"/>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付新月</w:t>
            </w:r>
          </w:p>
        </w:tc>
        <w:tc>
          <w:tcPr>
            <w:tcW w:w="716" w:type="pct"/>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61" w:type="pct"/>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63" w:type="pct"/>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63" w:type="pct"/>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60" w:type="pct"/>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联系电话：</w:t>
            </w:r>
          </w:p>
        </w:tc>
        <w:tc>
          <w:tcPr>
            <w:tcW w:w="611" w:type="pct"/>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13899142688</w:t>
            </w:r>
          </w:p>
        </w:tc>
        <w:tc>
          <w:tcPr>
            <w:tcW w:w="556" w:type="pct"/>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bl>
    <w:p>
      <w:pPr>
        <w:pStyle w:val="26"/>
        <w:spacing w:before="0" w:after="0" w:line="560" w:lineRule="exact"/>
        <w:jc w:val="both"/>
        <w:outlineLvl w:val="9"/>
        <w:rPr>
          <w:rFonts w:hint="eastAsia" w:ascii="黑体" w:hAnsi="黑体" w:eastAsia="黑体"/>
          <w:b w:val="0"/>
          <w:bCs/>
          <w:color w:val="auto"/>
          <w:sz w:val="32"/>
          <w:szCs w:val="32"/>
        </w:rPr>
      </w:pPr>
    </w:p>
    <w:p>
      <w:pPr>
        <w:pStyle w:val="26"/>
        <w:spacing w:before="0" w:after="0" w:line="560" w:lineRule="exact"/>
        <w:jc w:val="both"/>
        <w:outlineLvl w:val="9"/>
        <w:rPr>
          <w:rFonts w:hint="eastAsia" w:ascii="黑体" w:hAnsi="黑体" w:eastAsia="黑体"/>
          <w:b w:val="0"/>
          <w:bCs/>
          <w:color w:val="auto"/>
          <w:sz w:val="32"/>
          <w:szCs w:val="32"/>
        </w:rPr>
      </w:pPr>
    </w:p>
    <w:p>
      <w:pPr>
        <w:pStyle w:val="26"/>
        <w:spacing w:before="0" w:after="0" w:line="560" w:lineRule="exact"/>
        <w:jc w:val="both"/>
        <w:outlineLvl w:val="9"/>
        <w:rPr>
          <w:rFonts w:hint="eastAsia" w:ascii="黑体" w:hAnsi="黑体" w:eastAsia="黑体"/>
          <w:b w:val="0"/>
          <w:bCs/>
          <w:color w:val="auto"/>
          <w:sz w:val="32"/>
          <w:szCs w:val="32"/>
        </w:rPr>
      </w:pPr>
    </w:p>
    <w:p>
      <w:pPr>
        <w:jc w:val="both"/>
        <w:rPr>
          <w:rFonts w:hint="eastAsia" w:ascii="黑体" w:hAnsi="黑体" w:eastAsia="黑体"/>
          <w:b w:val="0"/>
          <w:bCs/>
          <w:color w:val="auto"/>
          <w:sz w:val="32"/>
          <w:szCs w:val="32"/>
        </w:rPr>
        <w:sectPr>
          <w:footerReference r:id="rId4" w:type="default"/>
          <w:pgSz w:w="11906" w:h="16838"/>
          <w:pgMar w:top="1440" w:right="1800" w:bottom="1440" w:left="1800" w:header="851" w:footer="992" w:gutter="0"/>
          <w:pgNumType w:fmt="numberInDash" w:start="1"/>
          <w:cols w:space="425" w:num="1"/>
          <w:docGrid w:type="lines" w:linePitch="312" w:charSpace="0"/>
        </w:sectPr>
      </w:pPr>
    </w:p>
    <w:p>
      <w:pPr>
        <w:pStyle w:val="26"/>
        <w:spacing w:before="0" w:after="0" w:line="560" w:lineRule="exact"/>
        <w:jc w:val="both"/>
        <w:outlineLvl w:val="9"/>
        <w:rPr>
          <w:rFonts w:hint="eastAsia" w:ascii="黑体" w:hAnsi="黑体" w:eastAsia="黑体"/>
          <w:b w:val="0"/>
          <w:bCs/>
          <w:color w:val="auto"/>
          <w:sz w:val="32"/>
          <w:szCs w:val="32"/>
        </w:rPr>
      </w:pPr>
    </w:p>
    <w:p>
      <w:pPr>
        <w:pStyle w:val="3"/>
        <w:bidi w:val="0"/>
        <w:rPr>
          <w:rFonts w:hint="eastAsia"/>
          <w:lang w:eastAsia="zh-CN"/>
        </w:rPr>
      </w:pPr>
      <w:bookmarkStart w:id="102" w:name="_Toc5683"/>
      <w:bookmarkStart w:id="103" w:name="_Toc13269_WPSOffice_Level1"/>
      <w:r>
        <w:rPr>
          <w:rFonts w:hint="eastAsia"/>
        </w:rPr>
        <w:t>附件</w:t>
      </w:r>
      <w:r>
        <w:rPr>
          <w:rFonts w:hint="eastAsia"/>
          <w:lang w:val="en-US" w:eastAsia="zh-CN"/>
        </w:rPr>
        <w:t>2</w:t>
      </w:r>
      <w:r>
        <w:t xml:space="preserve"> </w:t>
      </w:r>
      <w:r>
        <w:rPr>
          <w:rFonts w:hint="eastAsia"/>
        </w:rPr>
        <w:t>综合评分</w:t>
      </w:r>
      <w:bookmarkEnd w:id="92"/>
      <w:bookmarkEnd w:id="93"/>
      <w:bookmarkEnd w:id="102"/>
      <w:r>
        <w:rPr>
          <w:rFonts w:hint="eastAsia"/>
          <w:lang w:eastAsia="zh-CN"/>
        </w:rPr>
        <w:t>指标体系</w:t>
      </w:r>
      <w:bookmarkEnd w:id="103"/>
    </w:p>
    <w:tbl>
      <w:tblPr>
        <w:tblStyle w:val="11"/>
        <w:tblW w:w="13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058"/>
        <w:gridCol w:w="1133"/>
        <w:gridCol w:w="1139"/>
        <w:gridCol w:w="709"/>
        <w:gridCol w:w="1047"/>
        <w:gridCol w:w="1015"/>
        <w:gridCol w:w="1057"/>
        <w:gridCol w:w="1562"/>
        <w:gridCol w:w="2444"/>
        <w:gridCol w:w="819"/>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blHeader/>
        </w:trPr>
        <w:tc>
          <w:tcPr>
            <w:tcW w:w="1061" w:type="dxa"/>
            <w:shd w:val="clear" w:color="auto" w:fill="D7D7D7"/>
            <w:vAlign w:val="center"/>
          </w:tcPr>
          <w:p>
            <w:pPr>
              <w:widowControl/>
              <w:jc w:val="both"/>
              <w:rPr>
                <w:rFonts w:ascii="仿宋" w:hAnsi="仿宋" w:eastAsia="仿宋" w:cs="宋体"/>
                <w:b/>
                <w:bCs/>
                <w:color w:val="auto"/>
                <w:kern w:val="0"/>
                <w:sz w:val="20"/>
                <w:szCs w:val="20"/>
              </w:rPr>
            </w:pPr>
            <w:r>
              <w:rPr>
                <w:rFonts w:hint="eastAsia" w:ascii="仿宋" w:hAnsi="仿宋" w:eastAsia="仿宋" w:cs="宋体"/>
                <w:b/>
                <w:bCs/>
                <w:color w:val="auto"/>
                <w:kern w:val="0"/>
                <w:sz w:val="20"/>
                <w:szCs w:val="20"/>
              </w:rPr>
              <w:t>一级指标</w:t>
            </w:r>
          </w:p>
        </w:tc>
        <w:tc>
          <w:tcPr>
            <w:tcW w:w="1058" w:type="dxa"/>
            <w:shd w:val="clear" w:color="auto" w:fill="D7D7D7"/>
            <w:vAlign w:val="center"/>
          </w:tcPr>
          <w:p>
            <w:pPr>
              <w:widowControl/>
              <w:jc w:val="both"/>
              <w:rPr>
                <w:rFonts w:ascii="仿宋" w:hAnsi="仿宋" w:eastAsia="仿宋" w:cs="宋体"/>
                <w:b/>
                <w:bCs/>
                <w:color w:val="auto"/>
                <w:kern w:val="0"/>
                <w:sz w:val="20"/>
                <w:szCs w:val="20"/>
              </w:rPr>
            </w:pPr>
            <w:r>
              <w:rPr>
                <w:rFonts w:hint="eastAsia" w:ascii="仿宋" w:hAnsi="仿宋" w:eastAsia="仿宋" w:cs="宋体"/>
                <w:b/>
                <w:bCs/>
                <w:color w:val="auto"/>
                <w:kern w:val="0"/>
                <w:sz w:val="20"/>
                <w:szCs w:val="20"/>
              </w:rPr>
              <w:t>二级指标</w:t>
            </w:r>
          </w:p>
        </w:tc>
        <w:tc>
          <w:tcPr>
            <w:tcW w:w="1133" w:type="dxa"/>
            <w:shd w:val="clear" w:color="auto" w:fill="D7D7D7"/>
            <w:vAlign w:val="center"/>
          </w:tcPr>
          <w:p>
            <w:pPr>
              <w:widowControl/>
              <w:jc w:val="both"/>
              <w:rPr>
                <w:rFonts w:ascii="仿宋" w:hAnsi="仿宋" w:eastAsia="仿宋" w:cs="宋体"/>
                <w:b/>
                <w:bCs/>
                <w:color w:val="auto"/>
                <w:kern w:val="0"/>
                <w:sz w:val="20"/>
                <w:szCs w:val="20"/>
              </w:rPr>
            </w:pPr>
            <w:r>
              <w:rPr>
                <w:rFonts w:hint="eastAsia" w:ascii="仿宋" w:hAnsi="仿宋" w:eastAsia="仿宋" w:cs="宋体"/>
                <w:b/>
                <w:bCs/>
                <w:color w:val="auto"/>
                <w:kern w:val="0"/>
                <w:sz w:val="20"/>
                <w:szCs w:val="20"/>
              </w:rPr>
              <w:t>三级指标</w:t>
            </w:r>
          </w:p>
        </w:tc>
        <w:tc>
          <w:tcPr>
            <w:tcW w:w="1139" w:type="dxa"/>
            <w:shd w:val="clear" w:color="auto" w:fill="D7D7D7"/>
            <w:vAlign w:val="center"/>
          </w:tcPr>
          <w:p>
            <w:pPr>
              <w:widowControl/>
              <w:jc w:val="both"/>
              <w:rPr>
                <w:rFonts w:ascii="仿宋" w:hAnsi="仿宋" w:eastAsia="仿宋" w:cs="宋体"/>
                <w:b/>
                <w:bCs/>
                <w:color w:val="auto"/>
                <w:kern w:val="0"/>
                <w:sz w:val="20"/>
                <w:szCs w:val="20"/>
              </w:rPr>
            </w:pPr>
            <w:r>
              <w:rPr>
                <w:rFonts w:hint="eastAsia" w:ascii="仿宋" w:hAnsi="仿宋" w:eastAsia="仿宋" w:cs="宋体"/>
                <w:b/>
                <w:bCs/>
                <w:color w:val="auto"/>
                <w:kern w:val="0"/>
                <w:sz w:val="20"/>
                <w:szCs w:val="20"/>
              </w:rPr>
              <w:t>四级指标</w:t>
            </w:r>
          </w:p>
        </w:tc>
        <w:tc>
          <w:tcPr>
            <w:tcW w:w="709" w:type="dxa"/>
            <w:shd w:val="clear" w:color="auto" w:fill="D7D7D7"/>
            <w:vAlign w:val="center"/>
          </w:tcPr>
          <w:p>
            <w:pPr>
              <w:widowControl/>
              <w:jc w:val="both"/>
              <w:rPr>
                <w:rFonts w:ascii="仿宋" w:hAnsi="仿宋" w:eastAsia="仿宋" w:cs="宋体"/>
                <w:b/>
                <w:bCs/>
                <w:color w:val="auto"/>
                <w:kern w:val="0"/>
                <w:sz w:val="20"/>
                <w:szCs w:val="20"/>
              </w:rPr>
            </w:pPr>
            <w:r>
              <w:rPr>
                <w:rFonts w:hint="eastAsia" w:ascii="仿宋" w:hAnsi="仿宋" w:eastAsia="仿宋" w:cs="宋体"/>
                <w:b/>
                <w:bCs/>
                <w:color w:val="auto"/>
                <w:kern w:val="0"/>
                <w:sz w:val="20"/>
                <w:szCs w:val="20"/>
              </w:rPr>
              <w:t>权重</w:t>
            </w:r>
          </w:p>
        </w:tc>
        <w:tc>
          <w:tcPr>
            <w:tcW w:w="1047" w:type="dxa"/>
            <w:shd w:val="clear" w:color="auto" w:fill="D7D7D7"/>
            <w:vAlign w:val="center"/>
          </w:tcPr>
          <w:p>
            <w:pPr>
              <w:widowControl/>
              <w:jc w:val="both"/>
              <w:rPr>
                <w:rFonts w:ascii="仿宋" w:hAnsi="仿宋" w:eastAsia="仿宋" w:cs="宋体"/>
                <w:b/>
                <w:bCs/>
                <w:color w:val="auto"/>
                <w:kern w:val="0"/>
                <w:sz w:val="20"/>
                <w:szCs w:val="20"/>
              </w:rPr>
            </w:pPr>
            <w:r>
              <w:rPr>
                <w:rFonts w:hint="eastAsia" w:ascii="仿宋" w:hAnsi="仿宋" w:eastAsia="仿宋" w:cs="宋体"/>
                <w:b/>
                <w:bCs/>
                <w:color w:val="auto"/>
                <w:kern w:val="0"/>
                <w:sz w:val="20"/>
                <w:szCs w:val="20"/>
              </w:rPr>
              <w:t>指标解释</w:t>
            </w:r>
          </w:p>
        </w:tc>
        <w:tc>
          <w:tcPr>
            <w:tcW w:w="1015" w:type="dxa"/>
            <w:shd w:val="clear" w:color="auto" w:fill="D7D7D7"/>
            <w:vAlign w:val="center"/>
          </w:tcPr>
          <w:p>
            <w:pPr>
              <w:widowControl/>
              <w:jc w:val="both"/>
              <w:rPr>
                <w:rFonts w:ascii="仿宋" w:hAnsi="仿宋" w:eastAsia="仿宋" w:cs="宋体"/>
                <w:b/>
                <w:bCs/>
                <w:color w:val="auto"/>
                <w:kern w:val="0"/>
                <w:sz w:val="20"/>
                <w:szCs w:val="20"/>
              </w:rPr>
            </w:pPr>
            <w:r>
              <w:rPr>
                <w:rFonts w:hint="eastAsia" w:ascii="仿宋" w:hAnsi="仿宋" w:eastAsia="仿宋" w:cs="宋体"/>
                <w:b/>
                <w:bCs/>
                <w:color w:val="auto"/>
                <w:kern w:val="0"/>
                <w:sz w:val="20"/>
                <w:szCs w:val="20"/>
              </w:rPr>
              <w:t>标杆值</w:t>
            </w:r>
          </w:p>
        </w:tc>
        <w:tc>
          <w:tcPr>
            <w:tcW w:w="1057" w:type="dxa"/>
            <w:shd w:val="clear" w:color="auto" w:fill="D7D7D7"/>
            <w:vAlign w:val="center"/>
          </w:tcPr>
          <w:p>
            <w:pPr>
              <w:widowControl/>
              <w:jc w:val="both"/>
              <w:rPr>
                <w:rFonts w:ascii="仿宋" w:hAnsi="仿宋" w:eastAsia="仿宋" w:cs="宋体"/>
                <w:b/>
                <w:bCs/>
                <w:color w:val="auto"/>
                <w:kern w:val="0"/>
                <w:sz w:val="20"/>
                <w:szCs w:val="20"/>
              </w:rPr>
            </w:pPr>
            <w:r>
              <w:rPr>
                <w:rFonts w:hint="eastAsia" w:ascii="仿宋" w:hAnsi="仿宋" w:eastAsia="仿宋" w:cs="宋体"/>
                <w:b/>
                <w:bCs/>
                <w:color w:val="auto"/>
                <w:kern w:val="0"/>
                <w:sz w:val="20"/>
                <w:szCs w:val="20"/>
              </w:rPr>
              <w:t>评价依据</w:t>
            </w:r>
          </w:p>
        </w:tc>
        <w:tc>
          <w:tcPr>
            <w:tcW w:w="1562" w:type="dxa"/>
            <w:shd w:val="clear" w:color="auto" w:fill="D7D7D7"/>
            <w:vAlign w:val="center"/>
          </w:tcPr>
          <w:p>
            <w:pPr>
              <w:widowControl/>
              <w:jc w:val="both"/>
              <w:rPr>
                <w:rFonts w:ascii="仿宋" w:hAnsi="仿宋" w:eastAsia="仿宋" w:cs="宋体"/>
                <w:b/>
                <w:bCs/>
                <w:color w:val="auto"/>
                <w:kern w:val="0"/>
                <w:sz w:val="20"/>
                <w:szCs w:val="20"/>
              </w:rPr>
            </w:pPr>
            <w:r>
              <w:rPr>
                <w:rFonts w:hint="eastAsia" w:ascii="仿宋" w:hAnsi="仿宋" w:eastAsia="仿宋" w:cs="宋体"/>
                <w:b/>
                <w:bCs/>
                <w:color w:val="auto"/>
                <w:kern w:val="0"/>
                <w:sz w:val="20"/>
                <w:szCs w:val="20"/>
              </w:rPr>
              <w:t>评分标准</w:t>
            </w:r>
          </w:p>
        </w:tc>
        <w:tc>
          <w:tcPr>
            <w:tcW w:w="2444" w:type="dxa"/>
            <w:shd w:val="clear" w:color="auto" w:fill="D7D7D7"/>
            <w:vAlign w:val="center"/>
          </w:tcPr>
          <w:p>
            <w:pPr>
              <w:widowControl/>
              <w:jc w:val="both"/>
              <w:rPr>
                <w:rFonts w:ascii="仿宋" w:hAnsi="仿宋" w:eastAsia="仿宋" w:cs="宋体"/>
                <w:b/>
                <w:bCs/>
                <w:color w:val="auto"/>
                <w:kern w:val="0"/>
                <w:sz w:val="20"/>
                <w:szCs w:val="20"/>
              </w:rPr>
            </w:pPr>
            <w:r>
              <w:rPr>
                <w:rFonts w:hint="eastAsia" w:ascii="仿宋" w:hAnsi="仿宋" w:eastAsia="仿宋" w:cs="宋体"/>
                <w:b/>
                <w:bCs/>
                <w:color w:val="auto"/>
                <w:kern w:val="0"/>
                <w:sz w:val="20"/>
                <w:szCs w:val="20"/>
              </w:rPr>
              <w:t>评分过程</w:t>
            </w:r>
          </w:p>
        </w:tc>
        <w:tc>
          <w:tcPr>
            <w:tcW w:w="819" w:type="dxa"/>
            <w:shd w:val="clear" w:color="auto" w:fill="D7D7D7"/>
            <w:vAlign w:val="center"/>
          </w:tcPr>
          <w:p>
            <w:pPr>
              <w:widowControl/>
              <w:jc w:val="both"/>
              <w:rPr>
                <w:rFonts w:ascii="仿宋" w:hAnsi="仿宋" w:eastAsia="仿宋" w:cs="宋体"/>
                <w:b/>
                <w:bCs/>
                <w:color w:val="auto"/>
                <w:kern w:val="0"/>
                <w:sz w:val="20"/>
                <w:szCs w:val="20"/>
              </w:rPr>
            </w:pPr>
            <w:r>
              <w:rPr>
                <w:rFonts w:hint="eastAsia" w:ascii="仿宋" w:hAnsi="仿宋" w:eastAsia="仿宋" w:cs="宋体"/>
                <w:b/>
                <w:bCs/>
                <w:color w:val="auto"/>
                <w:kern w:val="0"/>
                <w:sz w:val="20"/>
                <w:szCs w:val="20"/>
              </w:rPr>
              <w:t>得分</w:t>
            </w:r>
          </w:p>
        </w:tc>
        <w:tc>
          <w:tcPr>
            <w:tcW w:w="901" w:type="dxa"/>
            <w:shd w:val="clear" w:color="auto" w:fill="D7D7D7"/>
            <w:vAlign w:val="center"/>
          </w:tcPr>
          <w:p>
            <w:pPr>
              <w:widowControl/>
              <w:jc w:val="both"/>
              <w:rPr>
                <w:rFonts w:ascii="仿宋" w:hAnsi="仿宋" w:eastAsia="仿宋" w:cs="宋体"/>
                <w:b/>
                <w:bCs/>
                <w:color w:val="auto"/>
                <w:kern w:val="0"/>
                <w:sz w:val="20"/>
                <w:szCs w:val="20"/>
              </w:rPr>
            </w:pPr>
            <w:r>
              <w:rPr>
                <w:rFonts w:hint="eastAsia" w:ascii="仿宋" w:hAnsi="仿宋" w:eastAsia="仿宋" w:cs="宋体"/>
                <w:b/>
                <w:bCs/>
                <w:color w:val="auto"/>
                <w:kern w:val="0"/>
                <w:sz w:val="20"/>
                <w:szCs w:val="20"/>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1061" w:type="dxa"/>
            <w:vMerge w:val="restart"/>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A 部门决策（</w:t>
            </w:r>
            <w:r>
              <w:rPr>
                <w:rFonts w:hint="eastAsia" w:ascii="仿宋" w:hAnsi="仿宋" w:eastAsia="仿宋" w:cs="宋体"/>
                <w:color w:val="auto"/>
                <w:kern w:val="0"/>
                <w:sz w:val="20"/>
                <w:szCs w:val="20"/>
                <w:lang w:val="en-US" w:eastAsia="zh-CN"/>
              </w:rPr>
              <w:t>20</w:t>
            </w:r>
            <w:r>
              <w:rPr>
                <w:rFonts w:hint="eastAsia" w:ascii="仿宋" w:hAnsi="仿宋" w:eastAsia="仿宋" w:cs="宋体"/>
                <w:color w:val="auto"/>
                <w:kern w:val="0"/>
                <w:sz w:val="20"/>
                <w:szCs w:val="20"/>
              </w:rPr>
              <w:t>分）</w:t>
            </w:r>
          </w:p>
        </w:tc>
        <w:tc>
          <w:tcPr>
            <w:tcW w:w="1058" w:type="dxa"/>
            <w:vMerge w:val="restart"/>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A1 职能设置科学合理性（4分）</w:t>
            </w:r>
          </w:p>
        </w:tc>
        <w:tc>
          <w:tcPr>
            <w:tcW w:w="1133"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A11 职能设定明确性</w:t>
            </w: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w:t>
            </w:r>
          </w:p>
        </w:tc>
        <w:tc>
          <w:tcPr>
            <w:tcW w:w="709"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2</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考察部门对下属单位（科室）职能设定的明确性</w:t>
            </w:r>
          </w:p>
        </w:tc>
        <w:tc>
          <w:tcPr>
            <w:tcW w:w="1015"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明确</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部门三定方案；部门工作职责分解</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职能设置与“三定”方案一致，并分解到各部门，得2分；职责不清晰，得1分；未进行职责分解的，得0分。</w:t>
            </w:r>
          </w:p>
        </w:tc>
        <w:tc>
          <w:tcPr>
            <w:tcW w:w="2444"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职能设置</w:t>
            </w:r>
            <w:r>
              <w:rPr>
                <w:rFonts w:hint="eastAsia" w:ascii="仿宋" w:hAnsi="仿宋" w:eastAsia="仿宋" w:cs="宋体"/>
                <w:color w:val="auto"/>
                <w:kern w:val="0"/>
                <w:sz w:val="20"/>
                <w:szCs w:val="20"/>
                <w:lang w:val="en-US" w:eastAsia="zh-CN"/>
              </w:rPr>
              <w:t>与单位设定的</w:t>
            </w:r>
            <w:r>
              <w:rPr>
                <w:rFonts w:hint="eastAsia" w:ascii="仿宋" w:hAnsi="仿宋" w:eastAsia="仿宋" w:cs="宋体"/>
                <w:color w:val="auto"/>
                <w:kern w:val="0"/>
                <w:sz w:val="20"/>
                <w:szCs w:val="20"/>
              </w:rPr>
              <w:t>一致，并分解到各部门。综上所述，该指标得100%权重分。</w:t>
            </w:r>
          </w:p>
        </w:tc>
        <w:tc>
          <w:tcPr>
            <w:tcW w:w="81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2</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Merge w:val="continue"/>
            <w:vAlign w:val="center"/>
          </w:tcPr>
          <w:p>
            <w:pPr>
              <w:widowControl/>
              <w:jc w:val="both"/>
              <w:rPr>
                <w:rFonts w:ascii="仿宋" w:hAnsi="仿宋" w:eastAsia="仿宋" w:cs="宋体"/>
                <w:color w:val="auto"/>
                <w:kern w:val="0"/>
                <w:sz w:val="20"/>
                <w:szCs w:val="20"/>
              </w:rPr>
            </w:pPr>
          </w:p>
        </w:tc>
        <w:tc>
          <w:tcPr>
            <w:tcW w:w="1133"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A12 人员岗位职责明确性</w:t>
            </w: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w:t>
            </w:r>
          </w:p>
        </w:tc>
        <w:tc>
          <w:tcPr>
            <w:tcW w:w="70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2</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考察部门对人员岗位职责设定的明确性</w:t>
            </w:r>
          </w:p>
        </w:tc>
        <w:tc>
          <w:tcPr>
            <w:tcW w:w="1015"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明确</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人员岗位职责情况</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部门职责细化落实到岗位和人员，得2分；职责细化落实不完整，得1分；未细化落实，得0分。</w:t>
            </w:r>
          </w:p>
        </w:tc>
        <w:tc>
          <w:tcPr>
            <w:tcW w:w="2444"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根据</w:t>
            </w:r>
            <w:r>
              <w:rPr>
                <w:rFonts w:hint="eastAsia" w:ascii="仿宋" w:hAnsi="仿宋" w:eastAsia="仿宋" w:cs="宋体"/>
                <w:color w:val="auto"/>
                <w:kern w:val="0"/>
                <w:sz w:val="20"/>
                <w:szCs w:val="20"/>
                <w:lang w:val="en-US" w:eastAsia="zh-CN"/>
              </w:rPr>
              <w:t>伽师县市场监督管理局</w:t>
            </w:r>
            <w:r>
              <w:rPr>
                <w:rFonts w:hint="eastAsia" w:ascii="仿宋" w:hAnsi="仿宋" w:eastAsia="仿宋" w:cs="宋体"/>
                <w:color w:val="auto"/>
                <w:kern w:val="0"/>
                <w:sz w:val="20"/>
                <w:szCs w:val="20"/>
              </w:rPr>
              <w:t>干部职工花名册</w:t>
            </w:r>
            <w:r>
              <w:rPr>
                <w:rFonts w:hint="eastAsia" w:ascii="仿宋" w:hAnsi="仿宋" w:eastAsia="仿宋" w:cs="宋体"/>
                <w:color w:val="auto"/>
                <w:kern w:val="0"/>
                <w:sz w:val="20"/>
                <w:szCs w:val="20"/>
                <w:lang w:val="en-US" w:eastAsia="zh-CN"/>
              </w:rPr>
              <w:t>分析</w:t>
            </w:r>
            <w:r>
              <w:rPr>
                <w:rFonts w:hint="eastAsia" w:ascii="仿宋" w:hAnsi="仿宋" w:eastAsia="仿宋" w:cs="宋体"/>
                <w:color w:val="auto"/>
                <w:kern w:val="0"/>
                <w:sz w:val="20"/>
                <w:szCs w:val="20"/>
                <w:lang w:eastAsia="zh-CN"/>
              </w:rPr>
              <w:t>，</w:t>
            </w:r>
            <w:r>
              <w:rPr>
                <w:rFonts w:hint="eastAsia" w:ascii="仿宋" w:hAnsi="仿宋" w:eastAsia="仿宋" w:cs="宋体"/>
                <w:color w:val="auto"/>
                <w:kern w:val="0"/>
                <w:sz w:val="20"/>
                <w:szCs w:val="20"/>
              </w:rPr>
              <w:t>部门职责细化落实到岗位和人员。综上所述，该指标得满分。</w:t>
            </w:r>
          </w:p>
        </w:tc>
        <w:tc>
          <w:tcPr>
            <w:tcW w:w="81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2</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A2 部门中长期规划适应性（</w:t>
            </w:r>
            <w:r>
              <w:rPr>
                <w:rFonts w:hint="eastAsia" w:ascii="仿宋" w:hAnsi="仿宋" w:eastAsia="仿宋" w:cs="宋体"/>
                <w:color w:val="auto"/>
                <w:kern w:val="0"/>
                <w:sz w:val="20"/>
                <w:szCs w:val="20"/>
                <w:lang w:val="en-US" w:eastAsia="zh-CN"/>
              </w:rPr>
              <w:t>4</w:t>
            </w:r>
            <w:r>
              <w:rPr>
                <w:rFonts w:hint="eastAsia" w:ascii="仿宋" w:hAnsi="仿宋" w:eastAsia="仿宋" w:cs="宋体"/>
                <w:color w:val="auto"/>
                <w:kern w:val="0"/>
                <w:sz w:val="20"/>
                <w:szCs w:val="20"/>
              </w:rPr>
              <w:t>分）</w:t>
            </w:r>
          </w:p>
        </w:tc>
        <w:tc>
          <w:tcPr>
            <w:tcW w:w="1133"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A21 中长期规划科学合理性</w:t>
            </w: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w:t>
            </w:r>
          </w:p>
        </w:tc>
        <w:tc>
          <w:tcPr>
            <w:tcW w:w="70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2</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考察部门中长期规划的科学性，以及与本区及上级部门中长期规划的匹配性</w:t>
            </w:r>
          </w:p>
        </w:tc>
        <w:tc>
          <w:tcPr>
            <w:tcW w:w="1015"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合理</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部门规划报告，规划制定的相关论证或上级部门的认定</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中长期规划清晰、全面、完整，经相应的程序认定，得2分；缺失一项扣0.5分；无规划，不得分。</w:t>
            </w:r>
          </w:p>
        </w:tc>
        <w:tc>
          <w:tcPr>
            <w:tcW w:w="2444"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根据</w:t>
            </w:r>
            <w:r>
              <w:rPr>
                <w:rFonts w:hint="eastAsia" w:ascii="仿宋" w:hAnsi="仿宋" w:eastAsia="仿宋" w:cs="宋体"/>
                <w:color w:val="auto"/>
                <w:kern w:val="0"/>
                <w:sz w:val="20"/>
                <w:szCs w:val="20"/>
                <w:lang w:val="en-US" w:eastAsia="zh-CN"/>
              </w:rPr>
              <w:t>对</w:t>
            </w:r>
            <w:r>
              <w:rPr>
                <w:rFonts w:hint="eastAsia" w:ascii="仿宋" w:hAnsi="仿宋" w:eastAsia="仿宋" w:cs="宋体"/>
                <w:color w:val="auto"/>
                <w:kern w:val="0"/>
                <w:sz w:val="20"/>
                <w:szCs w:val="20"/>
              </w:rPr>
              <w:t>《</w:t>
            </w:r>
            <w:r>
              <w:rPr>
                <w:rFonts w:hint="eastAsia" w:ascii="仿宋" w:hAnsi="仿宋" w:eastAsia="仿宋" w:cs="宋体"/>
                <w:color w:val="auto"/>
                <w:kern w:val="0"/>
                <w:sz w:val="20"/>
                <w:szCs w:val="20"/>
                <w:lang w:val="en-US" w:eastAsia="zh-CN"/>
              </w:rPr>
              <w:t>伽师县市场监督管理局</w:t>
            </w:r>
            <w:r>
              <w:rPr>
                <w:rFonts w:hint="eastAsia" w:ascii="仿宋" w:hAnsi="仿宋" w:eastAsia="仿宋" w:cs="宋体"/>
                <w:color w:val="auto"/>
                <w:kern w:val="0"/>
                <w:sz w:val="20"/>
                <w:szCs w:val="20"/>
              </w:rPr>
              <w:t>“十四五”规划》</w:t>
            </w:r>
            <w:r>
              <w:rPr>
                <w:rFonts w:hint="eastAsia" w:ascii="仿宋" w:hAnsi="仿宋" w:eastAsia="仿宋" w:cs="宋体"/>
                <w:color w:val="auto"/>
                <w:kern w:val="0"/>
                <w:sz w:val="20"/>
                <w:szCs w:val="20"/>
                <w:lang w:val="en-US" w:eastAsia="zh-CN"/>
              </w:rPr>
              <w:t>分析，部门</w:t>
            </w:r>
            <w:r>
              <w:rPr>
                <w:rFonts w:hint="eastAsia" w:ascii="仿宋" w:hAnsi="仿宋" w:eastAsia="仿宋" w:cs="宋体"/>
                <w:color w:val="auto"/>
                <w:kern w:val="0"/>
                <w:sz w:val="20"/>
                <w:szCs w:val="20"/>
              </w:rPr>
              <w:t>中长期规划清晰、全面、完整，经相应的程序认定。综上所述，该指标得满分。</w:t>
            </w:r>
          </w:p>
        </w:tc>
        <w:tc>
          <w:tcPr>
            <w:tcW w:w="81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2</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A3 年度工作计划科学完整性（</w:t>
            </w:r>
            <w:r>
              <w:rPr>
                <w:rFonts w:hint="eastAsia" w:ascii="仿宋" w:hAnsi="仿宋" w:eastAsia="仿宋" w:cs="宋体"/>
                <w:color w:val="auto"/>
                <w:kern w:val="0"/>
                <w:sz w:val="20"/>
                <w:szCs w:val="20"/>
                <w:lang w:val="en-US" w:eastAsia="zh-CN"/>
              </w:rPr>
              <w:t>4</w:t>
            </w:r>
            <w:r>
              <w:rPr>
                <w:rFonts w:hint="eastAsia" w:ascii="仿宋" w:hAnsi="仿宋" w:eastAsia="仿宋" w:cs="宋体"/>
                <w:color w:val="auto"/>
                <w:kern w:val="0"/>
                <w:sz w:val="20"/>
                <w:szCs w:val="20"/>
              </w:rPr>
              <w:t>分）</w:t>
            </w:r>
          </w:p>
        </w:tc>
        <w:tc>
          <w:tcPr>
            <w:tcW w:w="1133"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A31工作计划的合理明确性</w:t>
            </w: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w:t>
            </w:r>
          </w:p>
        </w:tc>
        <w:tc>
          <w:tcPr>
            <w:tcW w:w="70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lang w:val="en-US" w:eastAsia="zh-CN"/>
              </w:rPr>
              <w:t>4</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考察年度工作计划的合理性、明确性，与本部门规划及上级部门的适应性</w:t>
            </w:r>
          </w:p>
        </w:tc>
        <w:tc>
          <w:tcPr>
            <w:tcW w:w="1015"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合理、明确</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年度工作计划经集体决策，所形成的正式文件</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部门工作计划明确、全面、完整，并经集体决策正式下发文件，得2分；缺失一项扣0.5分；无计划，不得分。</w:t>
            </w:r>
          </w:p>
        </w:tc>
        <w:tc>
          <w:tcPr>
            <w:tcW w:w="2444"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部门</w:t>
            </w:r>
            <w:r>
              <w:rPr>
                <w:rFonts w:hint="eastAsia" w:ascii="仿宋" w:hAnsi="仿宋" w:eastAsia="仿宋" w:cs="宋体"/>
                <w:color w:val="auto"/>
                <w:kern w:val="0"/>
                <w:sz w:val="20"/>
                <w:szCs w:val="20"/>
                <w:lang w:val="en-US" w:eastAsia="zh-CN"/>
              </w:rPr>
              <w:t>年度</w:t>
            </w:r>
            <w:r>
              <w:rPr>
                <w:rFonts w:hint="eastAsia" w:ascii="仿宋" w:hAnsi="仿宋" w:eastAsia="仿宋" w:cs="宋体"/>
                <w:color w:val="auto"/>
                <w:kern w:val="0"/>
                <w:sz w:val="20"/>
                <w:szCs w:val="20"/>
              </w:rPr>
              <w:t>工作计划明确、全面、完整，并经集体决策正式下发文件。综上所述，该指标得满分。</w:t>
            </w:r>
          </w:p>
        </w:tc>
        <w:tc>
          <w:tcPr>
            <w:tcW w:w="819"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4</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A4 年度绩效目标明确性（</w:t>
            </w:r>
            <w:r>
              <w:rPr>
                <w:rFonts w:hint="eastAsia" w:ascii="仿宋" w:hAnsi="仿宋" w:eastAsia="仿宋" w:cs="宋体"/>
                <w:color w:val="auto"/>
                <w:kern w:val="0"/>
                <w:sz w:val="20"/>
                <w:szCs w:val="20"/>
                <w:lang w:val="en-US" w:eastAsia="zh-CN"/>
              </w:rPr>
              <w:t>4</w:t>
            </w:r>
            <w:r>
              <w:rPr>
                <w:rFonts w:hint="eastAsia" w:ascii="仿宋" w:hAnsi="仿宋" w:eastAsia="仿宋" w:cs="宋体"/>
                <w:color w:val="auto"/>
                <w:kern w:val="0"/>
                <w:sz w:val="20"/>
                <w:szCs w:val="20"/>
              </w:rPr>
              <w:t>分）</w:t>
            </w:r>
          </w:p>
        </w:tc>
        <w:tc>
          <w:tcPr>
            <w:tcW w:w="1133"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A41 部门绩效目标的合理性、明确性、量化度</w:t>
            </w: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w:t>
            </w:r>
          </w:p>
        </w:tc>
        <w:tc>
          <w:tcPr>
            <w:tcW w:w="709"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4</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考察评价年度部门绩效目标制定依据是否充分，符合客观实际，绩效指标是否清晰、细化、可衡量</w:t>
            </w:r>
          </w:p>
        </w:tc>
        <w:tc>
          <w:tcPr>
            <w:tcW w:w="1015"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合理、明确、量化</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部门绩效目标设定情况</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绩效目标制定依据充分，符合客观实际，绩效指标清晰、细化、可考量，得2分；缺失一项扣0.5分；无目标，不得分。</w:t>
            </w:r>
          </w:p>
        </w:tc>
        <w:tc>
          <w:tcPr>
            <w:tcW w:w="2444"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根据</w:t>
            </w:r>
            <w:r>
              <w:rPr>
                <w:rFonts w:hint="eastAsia" w:ascii="仿宋" w:hAnsi="仿宋" w:eastAsia="仿宋" w:cs="宋体"/>
                <w:color w:val="auto"/>
                <w:kern w:val="0"/>
                <w:sz w:val="20"/>
                <w:szCs w:val="20"/>
                <w:lang w:val="en-US" w:eastAsia="zh-CN"/>
              </w:rPr>
              <w:t>评价组对</w:t>
            </w:r>
            <w:r>
              <w:rPr>
                <w:rFonts w:hint="eastAsia" w:ascii="仿宋" w:hAnsi="仿宋" w:eastAsia="仿宋" w:cs="宋体"/>
                <w:color w:val="auto"/>
                <w:kern w:val="0"/>
                <w:sz w:val="20"/>
                <w:szCs w:val="20"/>
              </w:rPr>
              <w:t>《部门（单位）整体支出绩效目标表》</w:t>
            </w:r>
            <w:r>
              <w:rPr>
                <w:rFonts w:hint="eastAsia" w:ascii="仿宋" w:hAnsi="仿宋" w:eastAsia="仿宋" w:cs="宋体"/>
                <w:color w:val="auto"/>
                <w:kern w:val="0"/>
                <w:sz w:val="20"/>
                <w:szCs w:val="20"/>
                <w:lang w:val="en-US" w:eastAsia="zh-CN"/>
              </w:rPr>
              <w:t>分析后，确认部门</w:t>
            </w:r>
            <w:r>
              <w:rPr>
                <w:rFonts w:hint="eastAsia" w:ascii="仿宋" w:hAnsi="仿宋" w:eastAsia="仿宋" w:cs="宋体"/>
                <w:color w:val="auto"/>
                <w:kern w:val="0"/>
                <w:sz w:val="20"/>
                <w:szCs w:val="20"/>
              </w:rPr>
              <w:t>绩效目标制定依据充分，符合客观实际，绩效指标清晰、细化、可考量，综上所述，该项指标得100%权重分。</w:t>
            </w:r>
          </w:p>
        </w:tc>
        <w:tc>
          <w:tcPr>
            <w:tcW w:w="819"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4</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Merge w:val="restart"/>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A5 年度部门预算计划科学性（</w:t>
            </w:r>
            <w:r>
              <w:rPr>
                <w:rFonts w:hint="eastAsia" w:ascii="仿宋" w:hAnsi="仿宋" w:eastAsia="仿宋" w:cs="宋体"/>
                <w:color w:val="auto"/>
                <w:kern w:val="0"/>
                <w:sz w:val="20"/>
                <w:szCs w:val="20"/>
                <w:lang w:val="en-US" w:eastAsia="zh-CN"/>
              </w:rPr>
              <w:t>6</w:t>
            </w:r>
            <w:r>
              <w:rPr>
                <w:rFonts w:hint="eastAsia" w:ascii="仿宋" w:hAnsi="仿宋" w:eastAsia="仿宋" w:cs="宋体"/>
                <w:color w:val="auto"/>
                <w:kern w:val="0"/>
                <w:sz w:val="20"/>
                <w:szCs w:val="20"/>
              </w:rPr>
              <w:t>分）</w:t>
            </w:r>
          </w:p>
        </w:tc>
        <w:tc>
          <w:tcPr>
            <w:tcW w:w="1133"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A51 年度部门预算计划完整合理性</w:t>
            </w: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w:t>
            </w:r>
          </w:p>
        </w:tc>
        <w:tc>
          <w:tcPr>
            <w:tcW w:w="709" w:type="dxa"/>
            <w:vAlign w:val="center"/>
          </w:tcPr>
          <w:p>
            <w:pPr>
              <w:widowControl/>
              <w:jc w:val="both"/>
              <w:rPr>
                <w:rFonts w:hint="eastAsia" w:ascii="仿宋" w:hAnsi="仿宋" w:eastAsia="仿宋" w:cs="宋体"/>
                <w:color w:val="auto"/>
                <w:kern w:val="0"/>
                <w:sz w:val="20"/>
                <w:szCs w:val="20"/>
                <w:lang w:val="en-US" w:eastAsia="zh-CN"/>
              </w:rPr>
            </w:pPr>
            <w:r>
              <w:rPr>
                <w:rFonts w:hint="eastAsia" w:ascii="仿宋" w:hAnsi="仿宋" w:eastAsia="仿宋" w:cs="宋体"/>
                <w:color w:val="auto"/>
                <w:kern w:val="0"/>
                <w:sz w:val="20"/>
                <w:szCs w:val="20"/>
                <w:lang w:val="en-US" w:eastAsia="zh-CN"/>
              </w:rPr>
              <w:t>4</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考察预算安排和工作计划的匹配性；重点工作资金的保障性，项目是否遵循轻重缓急按序保障</w:t>
            </w:r>
          </w:p>
        </w:tc>
        <w:tc>
          <w:tcPr>
            <w:tcW w:w="1015"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合理</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资金分配与工作计划内容的对应性；</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专项支出立项依据充分、支出内容与工作计划一一对应、重点工作重点保障、遵循轻重缓急按序保障、得2分；有不符上述情况或存在缺陷的每项扣0.5分，扣完为止。</w:t>
            </w:r>
          </w:p>
        </w:tc>
        <w:tc>
          <w:tcPr>
            <w:tcW w:w="2444" w:type="dxa"/>
            <w:vAlign w:val="center"/>
          </w:tcPr>
          <w:p>
            <w:pPr>
              <w:widowControl/>
              <w:jc w:val="both"/>
              <w:rPr>
                <w:rFonts w:hint="default" w:ascii="仿宋" w:hAnsi="仿宋" w:eastAsia="仿宋" w:cs="宋体"/>
                <w:color w:val="auto"/>
                <w:kern w:val="0"/>
                <w:sz w:val="20"/>
                <w:szCs w:val="20"/>
                <w:lang w:val="en-US" w:eastAsia="zh-CN"/>
              </w:rPr>
            </w:pPr>
            <w:r>
              <w:rPr>
                <w:rFonts w:hint="eastAsia" w:ascii="仿宋" w:hAnsi="仿宋" w:eastAsia="仿宋" w:cs="宋体"/>
                <w:color w:val="auto"/>
                <w:kern w:val="0"/>
                <w:sz w:val="20"/>
                <w:szCs w:val="20"/>
                <w:lang w:val="en-US" w:eastAsia="zh-CN"/>
              </w:rPr>
              <w:t>部门</w:t>
            </w:r>
            <w:r>
              <w:rPr>
                <w:rFonts w:hint="eastAsia" w:ascii="仿宋" w:hAnsi="仿宋" w:eastAsia="仿宋" w:cs="宋体"/>
                <w:color w:val="auto"/>
                <w:kern w:val="0"/>
                <w:sz w:val="20"/>
                <w:szCs w:val="20"/>
              </w:rPr>
              <w:t>专项支出立项依据充分、重点工作重点保障、遵循轻重缓急按序保障</w:t>
            </w:r>
            <w:r>
              <w:rPr>
                <w:rFonts w:hint="eastAsia" w:ascii="仿宋" w:hAnsi="仿宋" w:eastAsia="仿宋" w:cs="宋体"/>
                <w:color w:val="auto"/>
                <w:kern w:val="0"/>
                <w:sz w:val="20"/>
                <w:szCs w:val="20"/>
                <w:lang w:eastAsia="zh-CN"/>
              </w:rPr>
              <w:t>。</w:t>
            </w:r>
            <w:r>
              <w:rPr>
                <w:rFonts w:hint="eastAsia" w:ascii="仿宋" w:hAnsi="仿宋" w:eastAsia="仿宋" w:cs="宋体"/>
                <w:color w:val="auto"/>
                <w:kern w:val="0"/>
                <w:sz w:val="20"/>
                <w:szCs w:val="20"/>
                <w:lang w:val="en-US" w:eastAsia="zh-CN"/>
              </w:rPr>
              <w:t>综上所述，该指标得满分。</w:t>
            </w:r>
          </w:p>
        </w:tc>
        <w:tc>
          <w:tcPr>
            <w:tcW w:w="819" w:type="dxa"/>
            <w:vAlign w:val="center"/>
          </w:tcPr>
          <w:p>
            <w:pPr>
              <w:widowControl/>
              <w:jc w:val="both"/>
              <w:rPr>
                <w:rFonts w:hint="eastAsia" w:ascii="仿宋" w:hAnsi="仿宋" w:eastAsia="仿宋" w:cs="宋体"/>
                <w:color w:val="auto"/>
                <w:kern w:val="0"/>
                <w:sz w:val="20"/>
                <w:szCs w:val="20"/>
                <w:lang w:val="en-US" w:eastAsia="zh-CN"/>
              </w:rPr>
            </w:pPr>
            <w:r>
              <w:rPr>
                <w:rFonts w:hint="eastAsia" w:ascii="仿宋" w:hAnsi="仿宋" w:eastAsia="仿宋" w:cs="宋体"/>
                <w:color w:val="auto"/>
                <w:kern w:val="0"/>
                <w:sz w:val="20"/>
                <w:szCs w:val="20"/>
                <w:lang w:val="en-US" w:eastAsia="zh-CN"/>
              </w:rPr>
              <w:t>4</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Merge w:val="continue"/>
            <w:vAlign w:val="center"/>
          </w:tcPr>
          <w:p>
            <w:pPr>
              <w:widowControl/>
              <w:jc w:val="both"/>
              <w:rPr>
                <w:rFonts w:ascii="仿宋" w:hAnsi="仿宋" w:eastAsia="仿宋" w:cs="宋体"/>
                <w:color w:val="auto"/>
                <w:kern w:val="0"/>
                <w:sz w:val="20"/>
                <w:szCs w:val="20"/>
              </w:rPr>
            </w:pPr>
          </w:p>
        </w:tc>
        <w:tc>
          <w:tcPr>
            <w:tcW w:w="1133"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A52 年度部门预算计划规范性</w:t>
            </w: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w:t>
            </w:r>
          </w:p>
        </w:tc>
        <w:tc>
          <w:tcPr>
            <w:tcW w:w="70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2</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考察年度预算决策程序是否规范</w:t>
            </w:r>
          </w:p>
        </w:tc>
        <w:tc>
          <w:tcPr>
            <w:tcW w:w="1015"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规范</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预算经自下而上的申报，经过二上二下的预算程序，并经预算主管部门集体决策</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预算编制整体内容完整、预算申报程序准确、审批流程严谨、主管部门集体决策确定、得2分；有不符情况每项扣0.5分，扣完为止。</w:t>
            </w:r>
          </w:p>
        </w:tc>
        <w:tc>
          <w:tcPr>
            <w:tcW w:w="2444"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根据《2022年自治区本级部门预算编制管理工作规程》预算经自下而上的申报，经过二上二下的预算程序，并经预算主管部门集体决策</w:t>
            </w:r>
            <w:r>
              <w:rPr>
                <w:rFonts w:hint="eastAsia" w:ascii="仿宋" w:hAnsi="仿宋" w:eastAsia="仿宋" w:cs="宋体"/>
                <w:color w:val="auto"/>
                <w:kern w:val="0"/>
                <w:sz w:val="20"/>
                <w:szCs w:val="20"/>
                <w:lang w:eastAsia="zh-CN"/>
              </w:rPr>
              <w:t>，</w:t>
            </w:r>
            <w:r>
              <w:rPr>
                <w:rFonts w:hint="eastAsia" w:ascii="仿宋" w:hAnsi="仿宋" w:eastAsia="仿宋" w:cs="宋体"/>
                <w:color w:val="auto"/>
                <w:kern w:val="0"/>
                <w:sz w:val="20"/>
                <w:szCs w:val="20"/>
                <w:lang w:val="en-US" w:eastAsia="zh-CN"/>
              </w:rPr>
              <w:t>部门</w:t>
            </w:r>
            <w:r>
              <w:rPr>
                <w:rFonts w:hint="eastAsia" w:ascii="仿宋" w:hAnsi="仿宋" w:eastAsia="仿宋" w:cs="宋体"/>
                <w:color w:val="auto"/>
                <w:kern w:val="0"/>
                <w:sz w:val="20"/>
                <w:szCs w:val="20"/>
              </w:rPr>
              <w:t>预算决策程序规范。综上所述，该指标得满分。</w:t>
            </w:r>
          </w:p>
        </w:tc>
        <w:tc>
          <w:tcPr>
            <w:tcW w:w="81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2</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61" w:type="dxa"/>
            <w:vMerge w:val="restart"/>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B 部门管理（3</w:t>
            </w:r>
            <w:r>
              <w:rPr>
                <w:rFonts w:hint="eastAsia" w:ascii="仿宋" w:hAnsi="仿宋" w:eastAsia="仿宋" w:cs="宋体"/>
                <w:color w:val="auto"/>
                <w:kern w:val="0"/>
                <w:sz w:val="20"/>
                <w:szCs w:val="20"/>
                <w:lang w:val="en-US" w:eastAsia="zh-CN"/>
              </w:rPr>
              <w:t>0</w:t>
            </w:r>
            <w:r>
              <w:rPr>
                <w:rFonts w:hint="eastAsia" w:ascii="仿宋" w:hAnsi="仿宋" w:eastAsia="仿宋" w:cs="宋体"/>
                <w:color w:val="auto"/>
                <w:kern w:val="0"/>
                <w:sz w:val="20"/>
                <w:szCs w:val="20"/>
              </w:rPr>
              <w:t>分）</w:t>
            </w:r>
          </w:p>
        </w:tc>
        <w:tc>
          <w:tcPr>
            <w:tcW w:w="1058" w:type="dxa"/>
            <w:vMerge w:val="restart"/>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B1 部门预算执行管理（1</w:t>
            </w:r>
            <w:r>
              <w:rPr>
                <w:rFonts w:hint="eastAsia" w:ascii="仿宋" w:hAnsi="仿宋" w:eastAsia="仿宋" w:cs="宋体"/>
                <w:color w:val="auto"/>
                <w:kern w:val="0"/>
                <w:sz w:val="20"/>
                <w:szCs w:val="20"/>
                <w:lang w:val="en-US" w:eastAsia="zh-CN"/>
              </w:rPr>
              <w:t>0</w:t>
            </w:r>
            <w:r>
              <w:rPr>
                <w:rFonts w:hint="eastAsia" w:ascii="仿宋" w:hAnsi="仿宋" w:eastAsia="仿宋" w:cs="宋体"/>
                <w:color w:val="auto"/>
                <w:kern w:val="0"/>
                <w:sz w:val="20"/>
                <w:szCs w:val="20"/>
              </w:rPr>
              <w:t>分）</w:t>
            </w:r>
          </w:p>
        </w:tc>
        <w:tc>
          <w:tcPr>
            <w:tcW w:w="1133"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B11 基本支出预算执行率</w:t>
            </w: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w:t>
            </w:r>
          </w:p>
        </w:tc>
        <w:tc>
          <w:tcPr>
            <w:tcW w:w="70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2</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考察基本支出资金执行情况</w:t>
            </w:r>
          </w:p>
        </w:tc>
        <w:tc>
          <w:tcPr>
            <w:tcW w:w="1015"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资金执行率=决算数/调整后预算数；</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执行率在100%，得2分，每减1%扣0.1分，扣完为止。</w:t>
            </w:r>
          </w:p>
        </w:tc>
        <w:tc>
          <w:tcPr>
            <w:tcW w:w="2444"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根据</w:t>
            </w:r>
            <w:r>
              <w:rPr>
                <w:rFonts w:hint="eastAsia" w:ascii="仿宋" w:hAnsi="仿宋" w:eastAsia="仿宋" w:cs="宋体"/>
                <w:color w:val="auto"/>
                <w:kern w:val="0"/>
                <w:sz w:val="20"/>
                <w:szCs w:val="20"/>
                <w:lang w:val="en-US" w:eastAsia="zh-CN"/>
              </w:rPr>
              <w:t>伽师县市场监督管理局</w:t>
            </w:r>
            <w:r>
              <w:rPr>
                <w:rFonts w:hint="eastAsia" w:ascii="仿宋" w:hAnsi="仿宋" w:eastAsia="仿宋" w:cs="宋体"/>
                <w:color w:val="auto"/>
                <w:kern w:val="0"/>
                <w:sz w:val="20"/>
                <w:szCs w:val="20"/>
              </w:rPr>
              <w:t>2022年收入支出决算表，基本支出决算数为</w:t>
            </w:r>
            <w:r>
              <w:rPr>
                <w:rFonts w:hint="eastAsia" w:ascii="仿宋" w:hAnsi="仿宋" w:eastAsia="仿宋" w:cs="宋体"/>
                <w:color w:val="auto"/>
                <w:kern w:val="0"/>
                <w:sz w:val="20"/>
                <w:szCs w:val="20"/>
                <w:lang w:val="en-US" w:eastAsia="zh-CN"/>
              </w:rPr>
              <w:t>952.43</w:t>
            </w:r>
            <w:r>
              <w:rPr>
                <w:rFonts w:hint="eastAsia" w:ascii="仿宋" w:hAnsi="仿宋" w:eastAsia="仿宋" w:cs="宋体"/>
                <w:color w:val="auto"/>
                <w:kern w:val="0"/>
                <w:sz w:val="20"/>
                <w:szCs w:val="20"/>
              </w:rPr>
              <w:t>万元，资金执行率</w:t>
            </w:r>
            <w:r>
              <w:rPr>
                <w:rFonts w:hint="eastAsia" w:ascii="仿宋" w:hAnsi="仿宋" w:eastAsia="仿宋" w:cs="宋体"/>
                <w:color w:val="auto"/>
                <w:kern w:val="0"/>
                <w:sz w:val="20"/>
                <w:szCs w:val="20"/>
                <w:lang w:val="en-US" w:eastAsia="zh-CN"/>
              </w:rPr>
              <w:t>100</w:t>
            </w:r>
            <w:r>
              <w:rPr>
                <w:rFonts w:hint="eastAsia" w:ascii="仿宋" w:hAnsi="仿宋" w:eastAsia="仿宋" w:cs="宋体"/>
                <w:color w:val="auto"/>
                <w:kern w:val="0"/>
                <w:sz w:val="20"/>
                <w:szCs w:val="20"/>
              </w:rPr>
              <w:t>%，综上所述，该指标得</w:t>
            </w:r>
            <w:r>
              <w:rPr>
                <w:rFonts w:hint="eastAsia" w:ascii="仿宋" w:hAnsi="仿宋" w:eastAsia="仿宋" w:cs="宋体"/>
                <w:color w:val="auto"/>
                <w:kern w:val="0"/>
                <w:sz w:val="20"/>
                <w:szCs w:val="20"/>
                <w:lang w:val="en-US" w:eastAsia="zh-CN"/>
              </w:rPr>
              <w:t>100%</w:t>
            </w:r>
            <w:r>
              <w:rPr>
                <w:rFonts w:hint="eastAsia" w:ascii="仿宋" w:hAnsi="仿宋" w:eastAsia="仿宋" w:cs="宋体"/>
                <w:color w:val="auto"/>
                <w:kern w:val="0"/>
                <w:sz w:val="20"/>
                <w:szCs w:val="20"/>
              </w:rPr>
              <w:t>权重分。</w:t>
            </w:r>
          </w:p>
        </w:tc>
        <w:tc>
          <w:tcPr>
            <w:tcW w:w="819"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2</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lang w:val="en-US" w:eastAsia="zh-CN"/>
              </w:rPr>
              <w:t>100</w:t>
            </w:r>
            <w:r>
              <w:rPr>
                <w:rFonts w:hint="eastAsia" w:ascii="仿宋" w:hAnsi="仿宋" w:eastAsia="仿宋" w:cs="宋体"/>
                <w:color w:val="auto"/>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Merge w:val="continue"/>
            <w:vAlign w:val="center"/>
          </w:tcPr>
          <w:p>
            <w:pPr>
              <w:widowControl/>
              <w:jc w:val="both"/>
              <w:rPr>
                <w:rFonts w:ascii="仿宋" w:hAnsi="仿宋" w:eastAsia="仿宋" w:cs="宋体"/>
                <w:color w:val="auto"/>
                <w:kern w:val="0"/>
                <w:sz w:val="20"/>
                <w:szCs w:val="20"/>
              </w:rPr>
            </w:pPr>
          </w:p>
        </w:tc>
        <w:tc>
          <w:tcPr>
            <w:tcW w:w="1133"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B12 项目支出预算执行率</w:t>
            </w: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w:t>
            </w:r>
          </w:p>
        </w:tc>
        <w:tc>
          <w:tcPr>
            <w:tcW w:w="709" w:type="dxa"/>
            <w:vAlign w:val="center"/>
          </w:tcPr>
          <w:p>
            <w:pPr>
              <w:widowControl/>
              <w:jc w:val="both"/>
              <w:rPr>
                <w:rFonts w:hint="default" w:ascii="仿宋" w:hAnsi="仿宋" w:eastAsia="仿宋" w:cs="宋体"/>
                <w:color w:val="auto"/>
                <w:kern w:val="0"/>
                <w:sz w:val="20"/>
                <w:szCs w:val="20"/>
                <w:lang w:val="en-US" w:eastAsia="zh-CN"/>
              </w:rPr>
            </w:pPr>
            <w:r>
              <w:rPr>
                <w:rFonts w:hint="eastAsia" w:ascii="仿宋" w:hAnsi="仿宋" w:eastAsia="仿宋" w:cs="宋体"/>
                <w:color w:val="auto"/>
                <w:kern w:val="0"/>
                <w:sz w:val="20"/>
                <w:szCs w:val="20"/>
                <w:lang w:val="en-US" w:eastAsia="zh-CN"/>
              </w:rPr>
              <w:t>2</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考察项目资金执行情况和重点项目完成情况</w:t>
            </w:r>
          </w:p>
        </w:tc>
        <w:tc>
          <w:tcPr>
            <w:tcW w:w="1015"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资金执行率=决算数/调整后预算数；</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1、执行率在95%以上，得</w:t>
            </w:r>
            <w:r>
              <w:rPr>
                <w:rFonts w:hint="eastAsia" w:ascii="仿宋" w:hAnsi="仿宋" w:eastAsia="仿宋" w:cs="宋体"/>
                <w:color w:val="auto"/>
                <w:kern w:val="0"/>
                <w:sz w:val="20"/>
                <w:szCs w:val="20"/>
                <w:highlight w:val="none"/>
                <w:lang w:eastAsia="zh-CN"/>
              </w:rPr>
              <w:t>1</w:t>
            </w:r>
            <w:r>
              <w:rPr>
                <w:rFonts w:hint="eastAsia" w:ascii="仿宋" w:hAnsi="仿宋" w:eastAsia="仿宋" w:cs="宋体"/>
                <w:color w:val="auto"/>
                <w:kern w:val="0"/>
                <w:sz w:val="20"/>
                <w:szCs w:val="20"/>
              </w:rPr>
              <w:t>.5分，每减1%扣0.1分，扣完为止。2、重点项目数量完成率在100%，得</w:t>
            </w:r>
            <w:r>
              <w:rPr>
                <w:rFonts w:hint="eastAsia" w:ascii="仿宋" w:hAnsi="仿宋" w:eastAsia="仿宋" w:cs="宋体"/>
                <w:color w:val="auto"/>
                <w:kern w:val="0"/>
                <w:sz w:val="20"/>
                <w:szCs w:val="20"/>
                <w:highlight w:val="none"/>
                <w:lang w:eastAsia="zh-CN"/>
              </w:rPr>
              <w:t>1</w:t>
            </w:r>
            <w:r>
              <w:rPr>
                <w:rFonts w:hint="eastAsia" w:ascii="仿宋" w:hAnsi="仿宋" w:eastAsia="仿宋" w:cs="宋体"/>
                <w:color w:val="auto"/>
                <w:kern w:val="0"/>
                <w:sz w:val="20"/>
                <w:szCs w:val="20"/>
                <w:highlight w:val="none"/>
                <w:lang w:val="en-US" w:eastAsia="zh-CN"/>
              </w:rPr>
              <w:t>.5</w:t>
            </w:r>
            <w:r>
              <w:rPr>
                <w:rFonts w:hint="eastAsia" w:ascii="仿宋" w:hAnsi="仿宋" w:eastAsia="仿宋" w:cs="宋体"/>
                <w:color w:val="auto"/>
                <w:kern w:val="0"/>
                <w:sz w:val="20"/>
                <w:szCs w:val="20"/>
              </w:rPr>
              <w:t>分，每减1%扣0.1分，扣完为止。</w:t>
            </w:r>
          </w:p>
        </w:tc>
        <w:tc>
          <w:tcPr>
            <w:tcW w:w="2444"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lang w:val="en-US" w:eastAsia="zh-CN"/>
              </w:rPr>
              <w:t>1、伽师县市场监督管理局2022年</w:t>
            </w:r>
            <w:r>
              <w:rPr>
                <w:rFonts w:hint="eastAsia" w:ascii="仿宋" w:hAnsi="仿宋" w:eastAsia="仿宋" w:cs="宋体"/>
                <w:color w:val="auto"/>
                <w:kern w:val="0"/>
                <w:sz w:val="20"/>
                <w:szCs w:val="20"/>
              </w:rPr>
              <w:t>调整后</w:t>
            </w:r>
            <w:r>
              <w:rPr>
                <w:rFonts w:hint="eastAsia" w:ascii="仿宋" w:hAnsi="仿宋" w:eastAsia="仿宋" w:cs="宋体"/>
                <w:color w:val="auto"/>
                <w:kern w:val="0"/>
                <w:sz w:val="20"/>
                <w:szCs w:val="20"/>
                <w:lang w:val="en-US" w:eastAsia="zh-CN"/>
              </w:rPr>
              <w:t>项目</w:t>
            </w:r>
            <w:r>
              <w:rPr>
                <w:rFonts w:hint="eastAsia" w:ascii="仿宋" w:hAnsi="仿宋" w:eastAsia="仿宋" w:cs="宋体"/>
                <w:color w:val="auto"/>
                <w:kern w:val="0"/>
                <w:sz w:val="20"/>
                <w:szCs w:val="20"/>
              </w:rPr>
              <w:t>预算数为</w:t>
            </w:r>
            <w:r>
              <w:rPr>
                <w:rFonts w:hint="eastAsia" w:ascii="仿宋" w:hAnsi="仿宋" w:eastAsia="仿宋" w:cs="宋体"/>
                <w:color w:val="auto"/>
                <w:kern w:val="0"/>
                <w:sz w:val="20"/>
                <w:szCs w:val="20"/>
                <w:lang w:val="en-US" w:eastAsia="zh-CN"/>
              </w:rPr>
              <w:t>119.1</w:t>
            </w:r>
            <w:r>
              <w:rPr>
                <w:rFonts w:hint="eastAsia" w:ascii="仿宋" w:hAnsi="仿宋" w:eastAsia="仿宋" w:cs="宋体"/>
                <w:color w:val="auto"/>
                <w:kern w:val="0"/>
                <w:sz w:val="20"/>
                <w:szCs w:val="20"/>
              </w:rPr>
              <w:t>万元，决算</w:t>
            </w:r>
            <w:r>
              <w:rPr>
                <w:rFonts w:hint="eastAsia" w:ascii="仿宋" w:hAnsi="仿宋" w:eastAsia="仿宋" w:cs="宋体"/>
                <w:color w:val="auto"/>
                <w:kern w:val="0"/>
                <w:sz w:val="20"/>
                <w:szCs w:val="20"/>
                <w:lang w:val="en-US" w:eastAsia="zh-CN"/>
              </w:rPr>
              <w:t>支出</w:t>
            </w:r>
            <w:r>
              <w:rPr>
                <w:rFonts w:hint="eastAsia" w:ascii="仿宋" w:hAnsi="仿宋" w:eastAsia="仿宋" w:cs="宋体"/>
                <w:color w:val="auto"/>
                <w:kern w:val="0"/>
                <w:sz w:val="20"/>
                <w:szCs w:val="20"/>
              </w:rPr>
              <w:t>数为</w:t>
            </w:r>
            <w:r>
              <w:rPr>
                <w:rFonts w:hint="eastAsia" w:ascii="仿宋" w:hAnsi="仿宋" w:eastAsia="仿宋" w:cs="宋体"/>
                <w:color w:val="auto"/>
                <w:kern w:val="0"/>
                <w:sz w:val="20"/>
                <w:szCs w:val="20"/>
                <w:lang w:val="en-US" w:eastAsia="zh-CN"/>
              </w:rPr>
              <w:t>119.1</w:t>
            </w:r>
            <w:r>
              <w:rPr>
                <w:rFonts w:hint="eastAsia" w:ascii="仿宋" w:hAnsi="仿宋" w:eastAsia="仿宋" w:cs="宋体"/>
                <w:color w:val="auto"/>
                <w:kern w:val="0"/>
                <w:sz w:val="20"/>
                <w:szCs w:val="20"/>
              </w:rPr>
              <w:t>万元，</w:t>
            </w:r>
            <w:r>
              <w:rPr>
                <w:rFonts w:hint="eastAsia" w:ascii="仿宋" w:hAnsi="仿宋" w:eastAsia="仿宋" w:cs="宋体"/>
                <w:color w:val="auto"/>
                <w:kern w:val="0"/>
                <w:sz w:val="20"/>
                <w:szCs w:val="20"/>
                <w:lang w:val="en-US" w:eastAsia="zh-CN"/>
              </w:rPr>
              <w:t>项目</w:t>
            </w:r>
            <w:r>
              <w:rPr>
                <w:rFonts w:hint="eastAsia" w:ascii="仿宋" w:hAnsi="仿宋" w:eastAsia="仿宋" w:cs="宋体"/>
                <w:color w:val="auto"/>
                <w:kern w:val="0"/>
                <w:sz w:val="20"/>
                <w:szCs w:val="20"/>
              </w:rPr>
              <w:t>资金执行率为</w:t>
            </w:r>
            <w:r>
              <w:rPr>
                <w:rFonts w:hint="eastAsia" w:ascii="仿宋" w:hAnsi="仿宋" w:eastAsia="仿宋" w:cs="宋体"/>
                <w:color w:val="auto"/>
                <w:kern w:val="0"/>
                <w:sz w:val="20"/>
                <w:szCs w:val="20"/>
                <w:lang w:val="en-US" w:eastAsia="zh-CN"/>
              </w:rPr>
              <w:t>100</w:t>
            </w:r>
            <w:r>
              <w:rPr>
                <w:rFonts w:hint="eastAsia" w:ascii="仿宋" w:hAnsi="仿宋" w:eastAsia="仿宋" w:cs="宋体"/>
                <w:color w:val="auto"/>
                <w:kern w:val="0"/>
                <w:sz w:val="20"/>
                <w:szCs w:val="20"/>
              </w:rPr>
              <w:t>%</w:t>
            </w:r>
            <w:r>
              <w:rPr>
                <w:rFonts w:hint="eastAsia" w:ascii="仿宋" w:hAnsi="仿宋" w:eastAsia="仿宋" w:cs="宋体"/>
                <w:color w:val="auto"/>
                <w:kern w:val="0"/>
                <w:sz w:val="20"/>
                <w:szCs w:val="20"/>
                <w:lang w:eastAsia="zh-CN"/>
              </w:rPr>
              <w:t>。</w:t>
            </w:r>
            <w:r>
              <w:rPr>
                <w:rFonts w:hint="eastAsia" w:ascii="仿宋" w:hAnsi="仿宋" w:eastAsia="仿宋" w:cs="宋体"/>
                <w:color w:val="auto"/>
                <w:kern w:val="0"/>
                <w:sz w:val="20"/>
                <w:szCs w:val="20"/>
                <w:lang w:val="en-US" w:eastAsia="zh-CN"/>
              </w:rPr>
              <w:t>2、</w:t>
            </w:r>
            <w:r>
              <w:rPr>
                <w:rFonts w:hint="eastAsia" w:ascii="仿宋" w:hAnsi="仿宋" w:eastAsia="仿宋" w:cs="宋体"/>
                <w:color w:val="auto"/>
                <w:kern w:val="0"/>
                <w:sz w:val="20"/>
                <w:szCs w:val="20"/>
              </w:rPr>
              <w:t>根据</w:t>
            </w:r>
            <w:r>
              <w:rPr>
                <w:rFonts w:hint="eastAsia" w:ascii="仿宋" w:hAnsi="仿宋" w:eastAsia="仿宋" w:cs="宋体"/>
                <w:color w:val="auto"/>
                <w:kern w:val="0"/>
                <w:sz w:val="20"/>
                <w:szCs w:val="20"/>
                <w:lang w:val="en-US" w:eastAsia="zh-CN"/>
              </w:rPr>
              <w:t>部门</w:t>
            </w:r>
            <w:r>
              <w:rPr>
                <w:rFonts w:hint="eastAsia" w:ascii="仿宋" w:hAnsi="仿宋" w:eastAsia="仿宋" w:cs="宋体"/>
                <w:color w:val="auto"/>
                <w:kern w:val="0"/>
                <w:sz w:val="20"/>
                <w:szCs w:val="20"/>
              </w:rPr>
              <w:t>重点项目情况统计表，</w:t>
            </w:r>
            <w:r>
              <w:rPr>
                <w:rFonts w:hint="eastAsia" w:ascii="仿宋" w:hAnsi="仿宋" w:eastAsia="仿宋" w:cs="宋体"/>
                <w:color w:val="auto"/>
                <w:kern w:val="0"/>
                <w:sz w:val="20"/>
                <w:szCs w:val="20"/>
                <w:lang w:val="en-US" w:eastAsia="zh-CN"/>
              </w:rPr>
              <w:t>重点项目</w:t>
            </w:r>
            <w:r>
              <w:rPr>
                <w:rFonts w:hint="eastAsia" w:ascii="仿宋" w:hAnsi="仿宋" w:eastAsia="仿宋" w:cs="宋体"/>
                <w:color w:val="auto"/>
                <w:kern w:val="0"/>
                <w:sz w:val="20"/>
                <w:szCs w:val="20"/>
              </w:rPr>
              <w:t>完成率</w:t>
            </w:r>
            <w:r>
              <w:rPr>
                <w:rFonts w:hint="eastAsia" w:ascii="仿宋" w:hAnsi="仿宋" w:eastAsia="仿宋" w:cs="宋体"/>
                <w:color w:val="auto"/>
                <w:kern w:val="0"/>
                <w:sz w:val="20"/>
                <w:szCs w:val="20"/>
                <w:lang w:val="en-US" w:eastAsia="zh-CN"/>
              </w:rPr>
              <w:t>为</w:t>
            </w:r>
            <w:r>
              <w:rPr>
                <w:rFonts w:hint="eastAsia" w:ascii="仿宋" w:hAnsi="仿宋" w:eastAsia="仿宋" w:cs="宋体"/>
                <w:color w:val="auto"/>
                <w:kern w:val="0"/>
                <w:sz w:val="20"/>
                <w:szCs w:val="20"/>
              </w:rPr>
              <w:t>100%。综上所述，该指标得100%权重分。</w:t>
            </w:r>
          </w:p>
        </w:tc>
        <w:tc>
          <w:tcPr>
            <w:tcW w:w="819"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2</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Merge w:val="continue"/>
            <w:vAlign w:val="center"/>
          </w:tcPr>
          <w:p>
            <w:pPr>
              <w:widowControl/>
              <w:jc w:val="both"/>
              <w:rPr>
                <w:rFonts w:ascii="仿宋" w:hAnsi="仿宋" w:eastAsia="仿宋" w:cs="宋体"/>
                <w:color w:val="auto"/>
                <w:kern w:val="0"/>
                <w:sz w:val="20"/>
                <w:szCs w:val="20"/>
              </w:rPr>
            </w:pPr>
          </w:p>
        </w:tc>
        <w:tc>
          <w:tcPr>
            <w:tcW w:w="1133"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B13 三公经费控制情况</w:t>
            </w: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w:t>
            </w:r>
          </w:p>
        </w:tc>
        <w:tc>
          <w:tcPr>
            <w:tcW w:w="709"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1</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考察三公经费支出的控制情况</w:t>
            </w:r>
          </w:p>
        </w:tc>
        <w:tc>
          <w:tcPr>
            <w:tcW w:w="1015" w:type="dxa"/>
            <w:vAlign w:val="center"/>
          </w:tcPr>
          <w:p>
            <w:pPr>
              <w:widowControl/>
              <w:jc w:val="both"/>
              <w:rPr>
                <w:rFonts w:hint="default" w:ascii="仿宋" w:hAnsi="仿宋" w:eastAsia="仿宋" w:cs="宋体"/>
                <w:color w:val="auto"/>
                <w:kern w:val="0"/>
                <w:sz w:val="20"/>
                <w:szCs w:val="20"/>
                <w:lang w:val="en-US" w:eastAsia="zh-CN"/>
              </w:rPr>
            </w:pPr>
            <w:r>
              <w:rPr>
                <w:rFonts w:hint="eastAsia" w:ascii="仿宋" w:hAnsi="仿宋" w:eastAsia="仿宋" w:cs="宋体"/>
                <w:color w:val="auto"/>
                <w:kern w:val="0"/>
                <w:sz w:val="20"/>
                <w:szCs w:val="20"/>
              </w:rPr>
              <w:t>＜</w:t>
            </w:r>
            <w:r>
              <w:rPr>
                <w:rFonts w:hint="eastAsia" w:ascii="仿宋" w:hAnsi="仿宋" w:eastAsia="仿宋" w:cs="宋体"/>
                <w:color w:val="auto"/>
                <w:kern w:val="0"/>
                <w:sz w:val="20"/>
                <w:szCs w:val="20"/>
                <w:lang w:val="en-US" w:eastAsia="zh-CN"/>
              </w:rPr>
              <w:t>16.57万元</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当年度支出数应小于等于当年度的控制数</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当年度支出数小于等于当年度的控制数，得2分，大于不得分。</w:t>
            </w:r>
          </w:p>
        </w:tc>
        <w:tc>
          <w:tcPr>
            <w:tcW w:w="2444"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根据基础表</w:t>
            </w:r>
            <w:r>
              <w:rPr>
                <w:rFonts w:hint="eastAsia" w:ascii="仿宋" w:hAnsi="仿宋" w:eastAsia="仿宋" w:cs="宋体"/>
                <w:color w:val="auto"/>
                <w:kern w:val="0"/>
                <w:sz w:val="20"/>
                <w:szCs w:val="20"/>
                <w:lang w:val="en-US" w:eastAsia="zh-CN"/>
              </w:rPr>
              <w:t>2</w:t>
            </w:r>
            <w:r>
              <w:rPr>
                <w:rFonts w:hint="eastAsia" w:ascii="仿宋" w:hAnsi="仿宋" w:eastAsia="仿宋" w:cs="宋体"/>
                <w:color w:val="auto"/>
                <w:kern w:val="0"/>
                <w:sz w:val="20"/>
                <w:szCs w:val="20"/>
              </w:rPr>
              <w:t xml:space="preserve"> </w:t>
            </w:r>
            <w:r>
              <w:rPr>
                <w:rFonts w:hint="eastAsia" w:ascii="仿宋" w:hAnsi="仿宋" w:eastAsia="仿宋" w:cs="宋体"/>
                <w:color w:val="auto"/>
                <w:kern w:val="0"/>
                <w:sz w:val="20"/>
                <w:szCs w:val="20"/>
                <w:lang w:val="en-US" w:eastAsia="zh-CN"/>
              </w:rPr>
              <w:t>伽师县市场监督管理局</w:t>
            </w:r>
            <w:r>
              <w:rPr>
                <w:rFonts w:hint="eastAsia" w:ascii="仿宋" w:hAnsi="仿宋" w:eastAsia="仿宋" w:cs="宋体"/>
                <w:color w:val="auto"/>
                <w:kern w:val="0"/>
                <w:sz w:val="20"/>
                <w:szCs w:val="20"/>
              </w:rPr>
              <w:t>“三公经费”使用情况统计表，当年度支出数</w:t>
            </w:r>
            <w:r>
              <w:rPr>
                <w:rFonts w:hint="eastAsia" w:ascii="仿宋" w:hAnsi="仿宋" w:eastAsia="仿宋" w:cs="宋体"/>
                <w:color w:val="auto"/>
                <w:kern w:val="0"/>
                <w:sz w:val="20"/>
                <w:szCs w:val="20"/>
                <w:lang w:val="en-US" w:eastAsia="zh-CN"/>
              </w:rPr>
              <w:t>16.57万元等于</w:t>
            </w:r>
            <w:r>
              <w:rPr>
                <w:rFonts w:hint="eastAsia" w:ascii="仿宋" w:hAnsi="仿宋" w:eastAsia="仿宋" w:cs="宋体"/>
                <w:color w:val="auto"/>
                <w:kern w:val="0"/>
                <w:sz w:val="20"/>
                <w:szCs w:val="20"/>
              </w:rPr>
              <w:t>当年度的控制数</w:t>
            </w:r>
            <w:r>
              <w:rPr>
                <w:rFonts w:hint="eastAsia" w:ascii="仿宋" w:hAnsi="仿宋" w:eastAsia="仿宋" w:cs="宋体"/>
                <w:color w:val="auto"/>
                <w:kern w:val="0"/>
                <w:sz w:val="20"/>
                <w:szCs w:val="20"/>
                <w:lang w:val="en-US" w:eastAsia="zh-CN"/>
              </w:rPr>
              <w:t>16.57万元</w:t>
            </w:r>
            <w:r>
              <w:rPr>
                <w:rFonts w:hint="eastAsia" w:ascii="仿宋" w:hAnsi="仿宋" w:eastAsia="仿宋" w:cs="宋体"/>
                <w:color w:val="auto"/>
                <w:kern w:val="0"/>
                <w:sz w:val="20"/>
                <w:szCs w:val="20"/>
              </w:rPr>
              <w:t>。综上所述，该指标得100%权重分。</w:t>
            </w:r>
          </w:p>
        </w:tc>
        <w:tc>
          <w:tcPr>
            <w:tcW w:w="819"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1</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Merge w:val="continue"/>
            <w:vAlign w:val="center"/>
          </w:tcPr>
          <w:p>
            <w:pPr>
              <w:widowControl/>
              <w:jc w:val="both"/>
              <w:rPr>
                <w:rFonts w:ascii="仿宋" w:hAnsi="仿宋" w:eastAsia="仿宋" w:cs="宋体"/>
                <w:color w:val="auto"/>
                <w:kern w:val="0"/>
                <w:sz w:val="20"/>
                <w:szCs w:val="20"/>
              </w:rPr>
            </w:pPr>
          </w:p>
        </w:tc>
        <w:tc>
          <w:tcPr>
            <w:tcW w:w="1133"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B14 预算调整率</w:t>
            </w: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w:t>
            </w:r>
          </w:p>
        </w:tc>
        <w:tc>
          <w:tcPr>
            <w:tcW w:w="709"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1</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年度预算的调整情况，考察预算编制准确性。</w:t>
            </w:r>
          </w:p>
        </w:tc>
        <w:tc>
          <w:tcPr>
            <w:tcW w:w="1015"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±10%以内</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(项目年初批复数-年度决算数)/年初批复数*100%,是否超10%</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1、部门预算总额调整幅度在±10%以内，得2分，每增减1%扣0.1分，2分扣完为止。2、单个项目预算调整幅度在±10%以内，得1分，每增减1%扣0.1分，1分扣完为止。</w:t>
            </w:r>
          </w:p>
        </w:tc>
        <w:tc>
          <w:tcPr>
            <w:tcW w:w="2444"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根据</w:t>
            </w:r>
            <w:r>
              <w:rPr>
                <w:rFonts w:hint="eastAsia" w:ascii="仿宋" w:hAnsi="仿宋" w:eastAsia="仿宋" w:cs="宋体"/>
                <w:color w:val="auto"/>
                <w:kern w:val="0"/>
                <w:sz w:val="20"/>
                <w:szCs w:val="20"/>
                <w:highlight w:val="none"/>
                <w:lang w:val="en-US" w:eastAsia="zh-CN"/>
              </w:rPr>
              <w:t>伽师县市场监督管理局</w:t>
            </w:r>
            <w:r>
              <w:rPr>
                <w:rFonts w:hint="eastAsia" w:ascii="仿宋" w:hAnsi="仿宋" w:eastAsia="仿宋" w:cs="宋体"/>
                <w:color w:val="auto"/>
                <w:kern w:val="0"/>
                <w:sz w:val="20"/>
                <w:szCs w:val="20"/>
              </w:rPr>
              <w:t>2022年收入支出决算表，年初预算数</w:t>
            </w:r>
            <w:r>
              <w:rPr>
                <w:rFonts w:hint="eastAsia" w:ascii="仿宋" w:hAnsi="仿宋" w:eastAsia="仿宋" w:cs="宋体"/>
                <w:color w:val="auto"/>
                <w:kern w:val="0"/>
                <w:sz w:val="20"/>
                <w:szCs w:val="20"/>
                <w:lang w:val="en-US" w:eastAsia="zh-CN"/>
              </w:rPr>
              <w:t>729.44</w:t>
            </w:r>
            <w:r>
              <w:rPr>
                <w:rFonts w:hint="eastAsia" w:ascii="仿宋" w:hAnsi="仿宋" w:eastAsia="仿宋" w:cs="宋体"/>
                <w:color w:val="auto"/>
                <w:kern w:val="0"/>
                <w:sz w:val="20"/>
                <w:szCs w:val="20"/>
              </w:rPr>
              <w:t>万元，决算数</w:t>
            </w:r>
            <w:r>
              <w:rPr>
                <w:rFonts w:hint="eastAsia" w:ascii="仿宋" w:hAnsi="仿宋" w:eastAsia="仿宋" w:cs="宋体"/>
                <w:color w:val="auto"/>
                <w:kern w:val="0"/>
                <w:sz w:val="20"/>
                <w:szCs w:val="20"/>
                <w:lang w:val="en-US" w:eastAsia="zh-CN"/>
              </w:rPr>
              <w:t>952.43</w:t>
            </w:r>
            <w:r>
              <w:rPr>
                <w:rFonts w:hint="eastAsia" w:ascii="仿宋" w:hAnsi="仿宋" w:eastAsia="仿宋" w:cs="宋体"/>
                <w:color w:val="auto"/>
                <w:kern w:val="0"/>
                <w:sz w:val="20"/>
                <w:szCs w:val="20"/>
              </w:rPr>
              <w:t>万元，</w:t>
            </w:r>
            <w:r>
              <w:rPr>
                <w:rFonts w:hint="eastAsia" w:ascii="仿宋" w:hAnsi="仿宋" w:eastAsia="仿宋" w:cs="宋体"/>
                <w:color w:val="auto"/>
                <w:kern w:val="0"/>
                <w:sz w:val="20"/>
                <w:szCs w:val="20"/>
                <w:lang w:val="en-US" w:eastAsia="zh-CN"/>
              </w:rPr>
              <w:t>预算</w:t>
            </w:r>
            <w:r>
              <w:rPr>
                <w:rFonts w:hint="eastAsia" w:ascii="仿宋" w:hAnsi="仿宋" w:eastAsia="仿宋" w:cs="宋体"/>
                <w:color w:val="auto"/>
                <w:kern w:val="0"/>
                <w:sz w:val="20"/>
                <w:szCs w:val="20"/>
              </w:rPr>
              <w:t>调整率</w:t>
            </w:r>
            <w:r>
              <w:rPr>
                <w:rFonts w:hint="eastAsia" w:ascii="仿宋" w:hAnsi="仿宋" w:eastAsia="仿宋" w:cs="宋体"/>
                <w:color w:val="auto"/>
                <w:kern w:val="0"/>
                <w:sz w:val="20"/>
                <w:szCs w:val="20"/>
                <w:lang w:val="en-US" w:eastAsia="zh-CN"/>
              </w:rPr>
              <w:t>为23.5</w:t>
            </w:r>
            <w:r>
              <w:rPr>
                <w:rFonts w:hint="eastAsia" w:ascii="仿宋" w:hAnsi="仿宋" w:eastAsia="仿宋" w:cs="宋体"/>
                <w:color w:val="auto"/>
                <w:kern w:val="0"/>
                <w:sz w:val="20"/>
                <w:szCs w:val="20"/>
              </w:rPr>
              <w:t>%，综上所述，该项指标</w:t>
            </w:r>
            <w:r>
              <w:rPr>
                <w:rFonts w:hint="eastAsia" w:ascii="仿宋" w:hAnsi="仿宋" w:eastAsia="仿宋" w:cs="宋体"/>
                <w:color w:val="auto"/>
                <w:kern w:val="0"/>
                <w:sz w:val="20"/>
                <w:szCs w:val="20"/>
                <w:lang w:val="en-US" w:eastAsia="zh-CN"/>
              </w:rPr>
              <w:t>不得分</w:t>
            </w:r>
            <w:r>
              <w:rPr>
                <w:rFonts w:hint="eastAsia" w:ascii="仿宋" w:hAnsi="仿宋" w:eastAsia="仿宋" w:cs="宋体"/>
                <w:color w:val="auto"/>
                <w:kern w:val="0"/>
                <w:sz w:val="20"/>
                <w:szCs w:val="20"/>
              </w:rPr>
              <w:t>。</w:t>
            </w:r>
          </w:p>
        </w:tc>
        <w:tc>
          <w:tcPr>
            <w:tcW w:w="81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0</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Merge w:val="continue"/>
            <w:vAlign w:val="center"/>
          </w:tcPr>
          <w:p>
            <w:pPr>
              <w:widowControl/>
              <w:jc w:val="both"/>
              <w:rPr>
                <w:rFonts w:ascii="仿宋" w:hAnsi="仿宋" w:eastAsia="仿宋" w:cs="宋体"/>
                <w:color w:val="auto"/>
                <w:kern w:val="0"/>
                <w:sz w:val="20"/>
                <w:szCs w:val="20"/>
              </w:rPr>
            </w:pPr>
          </w:p>
        </w:tc>
        <w:tc>
          <w:tcPr>
            <w:tcW w:w="1133"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B15 资金使用合规性</w:t>
            </w: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w:t>
            </w:r>
          </w:p>
        </w:tc>
        <w:tc>
          <w:tcPr>
            <w:tcW w:w="70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2</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资金使用是否规范，符合财务管理相关规定。</w:t>
            </w:r>
          </w:p>
        </w:tc>
        <w:tc>
          <w:tcPr>
            <w:tcW w:w="1015"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合规</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以第三方机构抽查为依据；以纪检监察、审计、财政检查为依据（定义为重大违规、违纪事项的一票否决制）</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资金的拨付审批程序完整、项目的重大开支经集体决策程序、资金实际用途与预算批复相一致、不存在截留、挤占、挪用、虚列支出，以上评价要点全部合规得2分，一项不符合扣0.5分，扣完为止。有重大违规违纪行为的一票否决。</w:t>
            </w:r>
          </w:p>
        </w:tc>
        <w:tc>
          <w:tcPr>
            <w:tcW w:w="2444"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根据《关于批复自治区本级2022年部门预算的通知》（新财预〔2022〕1号）、</w:t>
            </w:r>
            <w:r>
              <w:rPr>
                <w:rFonts w:hint="eastAsia" w:ascii="仿宋" w:hAnsi="仿宋" w:eastAsia="仿宋" w:cs="宋体"/>
                <w:color w:val="auto"/>
                <w:kern w:val="0"/>
                <w:sz w:val="20"/>
                <w:szCs w:val="20"/>
                <w:lang w:val="en-US" w:eastAsia="zh-CN"/>
              </w:rPr>
              <w:t>伽师县市场监督管理局</w:t>
            </w:r>
            <w:r>
              <w:rPr>
                <w:rFonts w:hint="eastAsia" w:ascii="仿宋" w:hAnsi="仿宋" w:eastAsia="仿宋" w:cs="宋体"/>
                <w:color w:val="auto"/>
                <w:kern w:val="0"/>
                <w:sz w:val="20"/>
                <w:szCs w:val="20"/>
              </w:rPr>
              <w:t>收入支出决算表、访谈调研、资金使用符合</w:t>
            </w:r>
            <w:r>
              <w:rPr>
                <w:rFonts w:hint="eastAsia" w:ascii="仿宋" w:hAnsi="仿宋" w:eastAsia="仿宋" w:cs="宋体"/>
                <w:color w:val="auto"/>
                <w:kern w:val="0"/>
                <w:sz w:val="20"/>
                <w:szCs w:val="20"/>
                <w:lang w:val="en-US" w:eastAsia="zh-CN"/>
              </w:rPr>
              <w:t>伽师县市场监督管理局</w:t>
            </w:r>
            <w:r>
              <w:rPr>
                <w:rFonts w:hint="eastAsia" w:ascii="仿宋" w:hAnsi="仿宋" w:eastAsia="仿宋" w:cs="宋体"/>
                <w:color w:val="auto"/>
                <w:kern w:val="0"/>
                <w:sz w:val="20"/>
                <w:szCs w:val="20"/>
              </w:rPr>
              <w:t>预算管理办法及财务管理制度，资金的拨付审批程序完整、项目的重大开支经集体决策程序、资金实际用途与预算批复相一致、不存在截留、挤占、挪用、虚列支出。综上所述，该项指标得100%权重分。</w:t>
            </w:r>
          </w:p>
        </w:tc>
        <w:tc>
          <w:tcPr>
            <w:tcW w:w="81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2</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Merge w:val="continue"/>
            <w:vAlign w:val="center"/>
          </w:tcPr>
          <w:p>
            <w:pPr>
              <w:widowControl/>
              <w:jc w:val="both"/>
              <w:rPr>
                <w:rFonts w:ascii="仿宋" w:hAnsi="仿宋" w:eastAsia="仿宋" w:cs="宋体"/>
                <w:color w:val="auto"/>
                <w:kern w:val="0"/>
                <w:sz w:val="20"/>
                <w:szCs w:val="20"/>
              </w:rPr>
            </w:pPr>
          </w:p>
        </w:tc>
        <w:tc>
          <w:tcPr>
            <w:tcW w:w="1133"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B16 存量资金控制情况</w:t>
            </w: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w:t>
            </w:r>
          </w:p>
        </w:tc>
        <w:tc>
          <w:tcPr>
            <w:tcW w:w="70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2</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考察存量资金的使用和控制情况</w:t>
            </w:r>
          </w:p>
        </w:tc>
        <w:tc>
          <w:tcPr>
            <w:tcW w:w="1015"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可控</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结余结转资金执行情况；存量资金消化情况</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1、结余结转资金按照财政规定执行，得1分，未按照规定执行的，扣1分；2、存量资金按照财政规定年限消化，得1分，未按照规定执行的，扣1分。（基本支出中职工福利费、医疗保险可留用）</w:t>
            </w:r>
          </w:p>
        </w:tc>
        <w:tc>
          <w:tcPr>
            <w:tcW w:w="2444"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1、结余结转资金按照财政规定执行。2、存量资金按照财政规定年限消化。综上所述，该项指标得100%权重分。</w:t>
            </w:r>
          </w:p>
        </w:tc>
        <w:tc>
          <w:tcPr>
            <w:tcW w:w="81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2</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trPr>
        <w:tc>
          <w:tcPr>
            <w:tcW w:w="1061" w:type="dxa"/>
            <w:vMerge w:val="restart"/>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B 部门管理（3</w:t>
            </w:r>
            <w:r>
              <w:rPr>
                <w:rFonts w:hint="eastAsia" w:ascii="仿宋" w:hAnsi="仿宋" w:eastAsia="仿宋" w:cs="宋体"/>
                <w:color w:val="auto"/>
                <w:kern w:val="0"/>
                <w:sz w:val="20"/>
                <w:szCs w:val="20"/>
                <w:lang w:val="en-US" w:eastAsia="zh-CN"/>
              </w:rPr>
              <w:t>0</w:t>
            </w:r>
            <w:r>
              <w:rPr>
                <w:rFonts w:hint="eastAsia" w:ascii="仿宋" w:hAnsi="仿宋" w:eastAsia="仿宋" w:cs="宋体"/>
                <w:color w:val="auto"/>
                <w:kern w:val="0"/>
                <w:sz w:val="20"/>
                <w:szCs w:val="20"/>
              </w:rPr>
              <w:t>分）</w:t>
            </w:r>
          </w:p>
        </w:tc>
        <w:tc>
          <w:tcPr>
            <w:tcW w:w="1058" w:type="dxa"/>
            <w:vMerge w:val="restart"/>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B2 内部制度管理（2</w:t>
            </w:r>
            <w:r>
              <w:rPr>
                <w:rFonts w:hint="eastAsia" w:ascii="仿宋" w:hAnsi="仿宋" w:eastAsia="仿宋" w:cs="宋体"/>
                <w:color w:val="auto"/>
                <w:kern w:val="0"/>
                <w:sz w:val="20"/>
                <w:szCs w:val="20"/>
                <w:lang w:val="en-US" w:eastAsia="zh-CN"/>
              </w:rPr>
              <w:t>0</w:t>
            </w:r>
            <w:r>
              <w:rPr>
                <w:rFonts w:hint="eastAsia" w:ascii="仿宋" w:hAnsi="仿宋" w:eastAsia="仿宋" w:cs="宋体"/>
                <w:color w:val="auto"/>
                <w:kern w:val="0"/>
                <w:sz w:val="20"/>
                <w:szCs w:val="20"/>
              </w:rPr>
              <w:t>分）</w:t>
            </w:r>
          </w:p>
        </w:tc>
        <w:tc>
          <w:tcPr>
            <w:tcW w:w="1133" w:type="dxa"/>
            <w:vMerge w:val="restart"/>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B21 项目管理制度</w:t>
            </w: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B211 项目管理制度健全性</w:t>
            </w:r>
          </w:p>
        </w:tc>
        <w:tc>
          <w:tcPr>
            <w:tcW w:w="70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2</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考察作为部门主要职能，为社会提供公共产品与服务的项目管理制度是否建立健全</w:t>
            </w:r>
          </w:p>
        </w:tc>
        <w:tc>
          <w:tcPr>
            <w:tcW w:w="1015"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健全</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列示具体制度名称、内容、文件</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项目管理制度健全、内容完整，得2分；制度有缺失或制度存在明显缺陷每项目扣0.5分，扣完为止；无制度不得分。</w:t>
            </w:r>
          </w:p>
        </w:tc>
        <w:tc>
          <w:tcPr>
            <w:tcW w:w="2444"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lang w:val="en-US" w:eastAsia="zh-CN"/>
              </w:rPr>
              <w:t>伽师县市场监督管理局管理制度健全，内容完整，具体制度为</w:t>
            </w:r>
            <w:r>
              <w:rPr>
                <w:rFonts w:hint="eastAsia" w:ascii="仿宋" w:hAnsi="仿宋" w:eastAsia="仿宋" w:cs="宋体"/>
                <w:color w:val="auto"/>
                <w:kern w:val="0"/>
                <w:sz w:val="20"/>
                <w:szCs w:val="20"/>
              </w:rPr>
              <w:t>《伽师县市场监督管理局部门单位预算绩效管理工作实施办法》，《伽师县市场监督管理局单位财务管理制度》</w:t>
            </w:r>
            <w:r>
              <w:rPr>
                <w:rFonts w:hint="eastAsia" w:ascii="仿宋" w:hAnsi="仿宋" w:eastAsia="仿宋" w:cs="宋体"/>
                <w:color w:val="auto"/>
                <w:kern w:val="0"/>
                <w:sz w:val="20"/>
                <w:szCs w:val="20"/>
                <w:lang w:val="en-US" w:eastAsia="zh-CN"/>
              </w:rPr>
              <w:t>经查阅分析，以上</w:t>
            </w:r>
            <w:r>
              <w:rPr>
                <w:rFonts w:hint="eastAsia" w:ascii="仿宋" w:hAnsi="仿宋" w:eastAsia="仿宋" w:cs="宋体"/>
                <w:color w:val="auto"/>
                <w:kern w:val="0"/>
                <w:sz w:val="20"/>
                <w:szCs w:val="20"/>
              </w:rPr>
              <w:t>制度</w:t>
            </w:r>
            <w:r>
              <w:rPr>
                <w:rFonts w:hint="eastAsia" w:ascii="仿宋" w:hAnsi="仿宋" w:eastAsia="仿宋" w:cs="宋体"/>
                <w:color w:val="auto"/>
                <w:kern w:val="0"/>
                <w:sz w:val="20"/>
                <w:szCs w:val="20"/>
                <w:lang w:val="en-US" w:eastAsia="zh-CN"/>
              </w:rPr>
              <w:t>均无明显</w:t>
            </w:r>
            <w:r>
              <w:rPr>
                <w:rFonts w:hint="eastAsia" w:ascii="仿宋" w:hAnsi="仿宋" w:eastAsia="仿宋" w:cs="宋体"/>
                <w:color w:val="auto"/>
                <w:kern w:val="0"/>
                <w:sz w:val="20"/>
                <w:szCs w:val="20"/>
              </w:rPr>
              <w:t>缺失缺陷。综上所述，该项指标得100%权重分。</w:t>
            </w:r>
          </w:p>
        </w:tc>
        <w:tc>
          <w:tcPr>
            <w:tcW w:w="81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2</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Merge w:val="continue"/>
            <w:vAlign w:val="center"/>
          </w:tcPr>
          <w:p>
            <w:pPr>
              <w:widowControl/>
              <w:jc w:val="both"/>
              <w:rPr>
                <w:rFonts w:ascii="仿宋" w:hAnsi="仿宋" w:eastAsia="仿宋" w:cs="宋体"/>
                <w:color w:val="auto"/>
                <w:kern w:val="0"/>
                <w:sz w:val="20"/>
                <w:szCs w:val="20"/>
              </w:rPr>
            </w:pPr>
          </w:p>
        </w:tc>
        <w:tc>
          <w:tcPr>
            <w:tcW w:w="1133" w:type="dxa"/>
            <w:vMerge w:val="continue"/>
            <w:vAlign w:val="center"/>
          </w:tcPr>
          <w:p>
            <w:pPr>
              <w:widowControl/>
              <w:jc w:val="both"/>
              <w:rPr>
                <w:rFonts w:ascii="仿宋" w:hAnsi="仿宋" w:eastAsia="仿宋" w:cs="宋体"/>
                <w:color w:val="auto"/>
                <w:kern w:val="0"/>
                <w:sz w:val="20"/>
                <w:szCs w:val="20"/>
              </w:rPr>
            </w:pP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B212 项目管理制度执行有效性</w:t>
            </w:r>
          </w:p>
        </w:tc>
        <w:tc>
          <w:tcPr>
            <w:tcW w:w="70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2</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考察部门是否按照项目管理制度有效执行</w:t>
            </w:r>
          </w:p>
        </w:tc>
        <w:tc>
          <w:tcPr>
            <w:tcW w:w="1015"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有效</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项目执行的相关资料</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按照管理制度有效执行、管理纪录清晰完整，得2分；未按制度执行或管理记录缺失每发现一项扣0.5分，扣完为止。</w:t>
            </w:r>
          </w:p>
        </w:tc>
        <w:tc>
          <w:tcPr>
            <w:tcW w:w="2444"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根据访谈调研</w:t>
            </w:r>
            <w:r>
              <w:rPr>
                <w:rFonts w:hint="eastAsia" w:ascii="仿宋" w:hAnsi="仿宋" w:eastAsia="仿宋" w:cs="宋体"/>
                <w:color w:val="auto"/>
                <w:kern w:val="0"/>
                <w:sz w:val="20"/>
                <w:szCs w:val="20"/>
                <w:lang w:val="en-US" w:eastAsia="zh-CN"/>
              </w:rPr>
              <w:t>及部门提供的相关资料核实分析，部门</w:t>
            </w:r>
            <w:r>
              <w:rPr>
                <w:rFonts w:hint="eastAsia" w:ascii="仿宋" w:hAnsi="仿宋" w:eastAsia="仿宋" w:cs="宋体"/>
                <w:color w:val="auto"/>
                <w:kern w:val="0"/>
                <w:sz w:val="20"/>
                <w:szCs w:val="20"/>
              </w:rPr>
              <w:t>项目</w:t>
            </w:r>
            <w:r>
              <w:rPr>
                <w:rFonts w:hint="eastAsia" w:ascii="仿宋" w:hAnsi="仿宋" w:eastAsia="仿宋" w:cs="宋体"/>
                <w:color w:val="auto"/>
                <w:kern w:val="0"/>
                <w:sz w:val="20"/>
                <w:szCs w:val="20"/>
                <w:lang w:val="en-US" w:eastAsia="zh-CN"/>
              </w:rPr>
              <w:t>严格</w:t>
            </w:r>
            <w:r>
              <w:rPr>
                <w:rFonts w:hint="eastAsia" w:ascii="仿宋" w:hAnsi="仿宋" w:eastAsia="仿宋" w:cs="宋体"/>
                <w:color w:val="auto"/>
                <w:kern w:val="0"/>
                <w:sz w:val="20"/>
                <w:szCs w:val="20"/>
              </w:rPr>
              <w:t>按照管理制度有效执行、管理纪录清晰完整。综上所述，该项指标得100%权重分。</w:t>
            </w:r>
          </w:p>
        </w:tc>
        <w:tc>
          <w:tcPr>
            <w:tcW w:w="81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2</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Merge w:val="continue"/>
            <w:vAlign w:val="center"/>
          </w:tcPr>
          <w:p>
            <w:pPr>
              <w:widowControl/>
              <w:jc w:val="both"/>
              <w:rPr>
                <w:rFonts w:ascii="仿宋" w:hAnsi="仿宋" w:eastAsia="仿宋" w:cs="宋体"/>
                <w:color w:val="auto"/>
                <w:kern w:val="0"/>
                <w:sz w:val="20"/>
                <w:szCs w:val="20"/>
              </w:rPr>
            </w:pPr>
          </w:p>
        </w:tc>
        <w:tc>
          <w:tcPr>
            <w:tcW w:w="1133" w:type="dxa"/>
            <w:vMerge w:val="restart"/>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B22 财务管理制度</w:t>
            </w: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B221 财务制度健全性</w:t>
            </w:r>
          </w:p>
        </w:tc>
        <w:tc>
          <w:tcPr>
            <w:tcW w:w="70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2</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考察部门是否建立健全财务管理制度。</w:t>
            </w:r>
          </w:p>
        </w:tc>
        <w:tc>
          <w:tcPr>
            <w:tcW w:w="1015"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健全</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列示具体制度名称、内容、文件</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建立了完善的财务管理制度，包括：1、资金使用审核管理制度；2、会计核算管理，得2分；制度有缺失或制度存在明显缺陷每项目扣0.5分，扣完为止；无制度不得分。</w:t>
            </w:r>
          </w:p>
        </w:tc>
        <w:tc>
          <w:tcPr>
            <w:tcW w:w="2444"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根据访谈调研及</w:t>
            </w:r>
            <w:r>
              <w:rPr>
                <w:rFonts w:hint="eastAsia" w:ascii="仿宋" w:hAnsi="仿宋" w:eastAsia="仿宋" w:cs="宋体"/>
                <w:color w:val="auto"/>
                <w:kern w:val="0"/>
                <w:sz w:val="20"/>
                <w:szCs w:val="20"/>
                <w:lang w:val="en-US" w:eastAsia="zh-CN"/>
              </w:rPr>
              <w:t>对</w:t>
            </w:r>
            <w:r>
              <w:rPr>
                <w:rFonts w:hint="eastAsia" w:ascii="仿宋" w:hAnsi="仿宋" w:eastAsia="仿宋" w:cs="宋体"/>
                <w:color w:val="auto"/>
                <w:kern w:val="0"/>
                <w:sz w:val="20"/>
                <w:szCs w:val="20"/>
              </w:rPr>
              <w:t>《伽师县市场监督管理局部门单位预算绩效管理工作实施办法》，《伽师县市场监督管理局单位财务管理制度》</w:t>
            </w:r>
            <w:r>
              <w:rPr>
                <w:rFonts w:hint="eastAsia" w:ascii="仿宋" w:hAnsi="仿宋" w:eastAsia="仿宋" w:cs="宋体"/>
                <w:color w:val="auto"/>
                <w:kern w:val="0"/>
                <w:sz w:val="20"/>
                <w:szCs w:val="20"/>
                <w:lang w:val="en-US" w:eastAsia="zh-CN"/>
              </w:rPr>
              <w:t>等</w:t>
            </w:r>
            <w:r>
              <w:rPr>
                <w:rFonts w:hint="eastAsia" w:ascii="仿宋" w:hAnsi="仿宋" w:eastAsia="仿宋" w:cs="宋体"/>
                <w:color w:val="auto"/>
                <w:kern w:val="0"/>
                <w:sz w:val="20"/>
                <w:szCs w:val="20"/>
              </w:rPr>
              <w:t>财务管理制度</w:t>
            </w:r>
            <w:r>
              <w:rPr>
                <w:rFonts w:hint="eastAsia" w:ascii="仿宋" w:hAnsi="仿宋" w:eastAsia="仿宋" w:cs="宋体"/>
                <w:color w:val="auto"/>
                <w:kern w:val="0"/>
                <w:sz w:val="20"/>
                <w:szCs w:val="20"/>
                <w:lang w:val="en-US" w:eastAsia="zh-CN"/>
              </w:rPr>
              <w:t>进行分析，确认部门</w:t>
            </w:r>
            <w:r>
              <w:rPr>
                <w:rFonts w:hint="eastAsia" w:ascii="仿宋" w:hAnsi="仿宋" w:eastAsia="仿宋" w:cs="宋体"/>
                <w:color w:val="auto"/>
                <w:kern w:val="0"/>
                <w:sz w:val="20"/>
                <w:szCs w:val="20"/>
              </w:rPr>
              <w:t>建立了完善的财务管理制度</w:t>
            </w:r>
            <w:r>
              <w:rPr>
                <w:rFonts w:hint="eastAsia" w:ascii="仿宋" w:hAnsi="仿宋" w:eastAsia="仿宋" w:cs="宋体"/>
                <w:color w:val="auto"/>
                <w:kern w:val="0"/>
                <w:sz w:val="20"/>
                <w:szCs w:val="20"/>
                <w:lang w:eastAsia="zh-CN"/>
              </w:rPr>
              <w:t>，</w:t>
            </w:r>
            <w:r>
              <w:rPr>
                <w:rFonts w:hint="eastAsia" w:ascii="仿宋" w:hAnsi="仿宋" w:eastAsia="仿宋" w:cs="宋体"/>
                <w:color w:val="auto"/>
                <w:kern w:val="0"/>
                <w:sz w:val="20"/>
                <w:szCs w:val="20"/>
                <w:lang w:val="en-US" w:eastAsia="zh-CN"/>
              </w:rPr>
              <w:t>且以上制度无明显缺失缺陷</w:t>
            </w:r>
            <w:r>
              <w:rPr>
                <w:rFonts w:hint="eastAsia" w:ascii="仿宋" w:hAnsi="仿宋" w:eastAsia="仿宋" w:cs="宋体"/>
                <w:color w:val="auto"/>
                <w:kern w:val="0"/>
                <w:sz w:val="20"/>
                <w:szCs w:val="20"/>
              </w:rPr>
              <w:t>。综上所述，该项指标得100%权重分。</w:t>
            </w:r>
          </w:p>
        </w:tc>
        <w:tc>
          <w:tcPr>
            <w:tcW w:w="81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2</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Merge w:val="continue"/>
            <w:vAlign w:val="center"/>
          </w:tcPr>
          <w:p>
            <w:pPr>
              <w:widowControl/>
              <w:jc w:val="both"/>
              <w:rPr>
                <w:rFonts w:ascii="仿宋" w:hAnsi="仿宋" w:eastAsia="仿宋" w:cs="宋体"/>
                <w:color w:val="auto"/>
                <w:kern w:val="0"/>
                <w:sz w:val="20"/>
                <w:szCs w:val="20"/>
              </w:rPr>
            </w:pPr>
          </w:p>
        </w:tc>
        <w:tc>
          <w:tcPr>
            <w:tcW w:w="1133" w:type="dxa"/>
            <w:vMerge w:val="continue"/>
            <w:vAlign w:val="center"/>
          </w:tcPr>
          <w:p>
            <w:pPr>
              <w:widowControl/>
              <w:jc w:val="both"/>
              <w:rPr>
                <w:rFonts w:ascii="仿宋" w:hAnsi="仿宋" w:eastAsia="仿宋" w:cs="宋体"/>
                <w:color w:val="auto"/>
                <w:kern w:val="0"/>
                <w:sz w:val="20"/>
                <w:szCs w:val="20"/>
              </w:rPr>
            </w:pP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B222 财务制度执行有效性</w:t>
            </w:r>
          </w:p>
        </w:tc>
        <w:tc>
          <w:tcPr>
            <w:tcW w:w="70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2</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考察日常财务处理中财务制度执行有效性</w:t>
            </w:r>
          </w:p>
        </w:tc>
        <w:tc>
          <w:tcPr>
            <w:tcW w:w="1015"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有效</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日常财务资料</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按照财务管理制度有效执行，得2分；执行过程中未按照制度执行每项扣0.5分，扣完为止。</w:t>
            </w:r>
          </w:p>
        </w:tc>
        <w:tc>
          <w:tcPr>
            <w:tcW w:w="2444"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根据访谈调研</w:t>
            </w:r>
            <w:r>
              <w:rPr>
                <w:rFonts w:hint="eastAsia" w:ascii="仿宋" w:hAnsi="仿宋" w:eastAsia="仿宋" w:cs="宋体"/>
                <w:color w:val="auto"/>
                <w:kern w:val="0"/>
                <w:sz w:val="20"/>
                <w:szCs w:val="20"/>
                <w:lang w:val="en-US" w:eastAsia="zh-CN"/>
              </w:rPr>
              <w:t>及对部门日常财务资料现场核查分析后，确认部门严格</w:t>
            </w:r>
            <w:r>
              <w:rPr>
                <w:rFonts w:hint="eastAsia" w:ascii="仿宋" w:hAnsi="仿宋" w:eastAsia="仿宋" w:cs="宋体"/>
                <w:color w:val="auto"/>
                <w:kern w:val="0"/>
                <w:sz w:val="20"/>
                <w:szCs w:val="20"/>
              </w:rPr>
              <w:t>按照财务管理制度有效执行</w:t>
            </w:r>
            <w:r>
              <w:rPr>
                <w:rFonts w:hint="eastAsia" w:ascii="仿宋" w:hAnsi="仿宋" w:eastAsia="仿宋" w:cs="宋体"/>
                <w:color w:val="auto"/>
                <w:kern w:val="0"/>
                <w:sz w:val="20"/>
                <w:szCs w:val="20"/>
                <w:lang w:val="en-US" w:eastAsia="zh-CN"/>
              </w:rPr>
              <w:t>各项财务相关工作</w:t>
            </w:r>
            <w:r>
              <w:rPr>
                <w:rFonts w:hint="eastAsia" w:ascii="仿宋" w:hAnsi="仿宋" w:eastAsia="仿宋" w:cs="宋体"/>
                <w:color w:val="auto"/>
                <w:kern w:val="0"/>
                <w:sz w:val="20"/>
                <w:szCs w:val="20"/>
              </w:rPr>
              <w:t>。综上所述，该项指标得100%权重分。</w:t>
            </w:r>
          </w:p>
        </w:tc>
        <w:tc>
          <w:tcPr>
            <w:tcW w:w="81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2</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Merge w:val="continue"/>
            <w:vAlign w:val="center"/>
          </w:tcPr>
          <w:p>
            <w:pPr>
              <w:widowControl/>
              <w:jc w:val="both"/>
              <w:rPr>
                <w:rFonts w:ascii="仿宋" w:hAnsi="仿宋" w:eastAsia="仿宋" w:cs="宋体"/>
                <w:color w:val="auto"/>
                <w:kern w:val="0"/>
                <w:sz w:val="20"/>
                <w:szCs w:val="20"/>
              </w:rPr>
            </w:pPr>
          </w:p>
        </w:tc>
        <w:tc>
          <w:tcPr>
            <w:tcW w:w="1133" w:type="dxa"/>
            <w:vMerge w:val="restart"/>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B23 内部控制制度</w:t>
            </w: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B231 内部控制制度健全性</w:t>
            </w:r>
          </w:p>
        </w:tc>
        <w:tc>
          <w:tcPr>
            <w:tcW w:w="70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2</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考察内部控制制度的健全性</w:t>
            </w:r>
          </w:p>
        </w:tc>
        <w:tc>
          <w:tcPr>
            <w:tcW w:w="1015"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健全</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列示具体制度名称、内容、文件</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按照财政部要求，建立完善的内部控制制度，得1分；制度不完整的每</w:t>
            </w:r>
            <w:r>
              <w:rPr>
                <w:rFonts w:hint="eastAsia" w:ascii="仿宋" w:hAnsi="仿宋" w:eastAsia="仿宋" w:cs="宋体"/>
                <w:color w:val="auto"/>
                <w:kern w:val="0"/>
                <w:sz w:val="20"/>
                <w:szCs w:val="20"/>
                <w:lang w:val="en-US" w:eastAsia="zh-CN"/>
              </w:rPr>
              <w:t>缺失一项</w:t>
            </w:r>
            <w:r>
              <w:rPr>
                <w:rFonts w:hint="eastAsia" w:ascii="仿宋" w:hAnsi="仿宋" w:eastAsia="仿宋" w:cs="宋体"/>
                <w:color w:val="auto"/>
                <w:kern w:val="0"/>
                <w:sz w:val="20"/>
                <w:szCs w:val="20"/>
              </w:rPr>
              <w:t>扣0.</w:t>
            </w:r>
            <w:r>
              <w:rPr>
                <w:rFonts w:hint="default" w:ascii="仿宋" w:hAnsi="仿宋" w:eastAsia="仿宋" w:cs="宋体"/>
                <w:color w:val="auto"/>
                <w:kern w:val="0"/>
                <w:sz w:val="20"/>
                <w:szCs w:val="20"/>
                <w:lang w:val="en-US"/>
              </w:rPr>
              <w:t>5</w:t>
            </w:r>
            <w:r>
              <w:rPr>
                <w:rFonts w:hint="eastAsia" w:ascii="仿宋" w:hAnsi="仿宋" w:eastAsia="仿宋" w:cs="宋体"/>
                <w:color w:val="auto"/>
                <w:kern w:val="0"/>
                <w:sz w:val="20"/>
                <w:szCs w:val="20"/>
              </w:rPr>
              <w:t>分，扣完为止；制度缺失不得分。</w:t>
            </w:r>
          </w:p>
        </w:tc>
        <w:tc>
          <w:tcPr>
            <w:tcW w:w="2444"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根据单位提供的《伽师县市场监督管理局部门单位预算绩效管理工作实施办法》，《伽师县市场监督管理局单位财务管理制度》</w:t>
            </w:r>
            <w:r>
              <w:rPr>
                <w:rFonts w:hint="eastAsia" w:ascii="仿宋" w:hAnsi="仿宋" w:eastAsia="仿宋" w:cs="宋体"/>
                <w:color w:val="auto"/>
                <w:kern w:val="0"/>
                <w:sz w:val="20"/>
                <w:szCs w:val="20"/>
                <w:lang w:val="en-US" w:eastAsia="zh-CN"/>
              </w:rPr>
              <w:t>等制度文件核查分析，部门</w:t>
            </w:r>
            <w:r>
              <w:rPr>
                <w:rFonts w:hint="eastAsia" w:ascii="仿宋" w:hAnsi="仿宋" w:eastAsia="仿宋" w:cs="宋体"/>
                <w:color w:val="auto"/>
                <w:kern w:val="0"/>
                <w:sz w:val="20"/>
                <w:szCs w:val="20"/>
              </w:rPr>
              <w:t>内部控制制度完善。综上所述，该项指标得100%权重分。</w:t>
            </w:r>
          </w:p>
        </w:tc>
        <w:tc>
          <w:tcPr>
            <w:tcW w:w="81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2</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Merge w:val="continue"/>
            <w:vAlign w:val="center"/>
          </w:tcPr>
          <w:p>
            <w:pPr>
              <w:widowControl/>
              <w:jc w:val="both"/>
              <w:rPr>
                <w:rFonts w:ascii="仿宋" w:hAnsi="仿宋" w:eastAsia="仿宋" w:cs="宋体"/>
                <w:color w:val="auto"/>
                <w:kern w:val="0"/>
                <w:sz w:val="20"/>
                <w:szCs w:val="20"/>
              </w:rPr>
            </w:pPr>
          </w:p>
        </w:tc>
        <w:tc>
          <w:tcPr>
            <w:tcW w:w="1133" w:type="dxa"/>
            <w:vMerge w:val="continue"/>
            <w:vAlign w:val="center"/>
          </w:tcPr>
          <w:p>
            <w:pPr>
              <w:widowControl/>
              <w:jc w:val="both"/>
              <w:rPr>
                <w:rFonts w:ascii="仿宋" w:hAnsi="仿宋" w:eastAsia="仿宋" w:cs="宋体"/>
                <w:color w:val="auto"/>
                <w:kern w:val="0"/>
                <w:sz w:val="20"/>
                <w:szCs w:val="20"/>
              </w:rPr>
            </w:pP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B232 内部控制制度执行有效性</w:t>
            </w:r>
          </w:p>
        </w:tc>
        <w:tc>
          <w:tcPr>
            <w:tcW w:w="70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考察部门是否按照内部控制制度有效执行</w:t>
            </w:r>
          </w:p>
        </w:tc>
        <w:tc>
          <w:tcPr>
            <w:tcW w:w="1015"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有效</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日常文档资料</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按照内控管理制度有效执行，得1分；未按制度执行或管理记录缺失的，每项扣0.25分，扣完为止。</w:t>
            </w:r>
          </w:p>
        </w:tc>
        <w:tc>
          <w:tcPr>
            <w:tcW w:w="2444"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根据访谈调研</w:t>
            </w:r>
            <w:r>
              <w:rPr>
                <w:rFonts w:hint="eastAsia" w:ascii="仿宋" w:hAnsi="仿宋" w:eastAsia="仿宋" w:cs="宋体"/>
                <w:color w:val="auto"/>
                <w:kern w:val="0"/>
                <w:sz w:val="20"/>
                <w:szCs w:val="20"/>
                <w:lang w:eastAsia="zh-CN"/>
              </w:rPr>
              <w:t>，</w:t>
            </w:r>
            <w:r>
              <w:rPr>
                <w:rFonts w:hint="eastAsia" w:ascii="仿宋" w:hAnsi="仿宋" w:eastAsia="仿宋" w:cs="宋体"/>
                <w:color w:val="auto"/>
                <w:kern w:val="0"/>
                <w:sz w:val="20"/>
                <w:szCs w:val="20"/>
                <w:lang w:val="en-US" w:eastAsia="zh-CN"/>
              </w:rPr>
              <w:t>实地核查部门各项工作流程及部门管理情况，确认部门</w:t>
            </w:r>
            <w:r>
              <w:rPr>
                <w:rFonts w:hint="eastAsia" w:ascii="仿宋" w:hAnsi="仿宋" w:eastAsia="仿宋" w:cs="宋体"/>
                <w:color w:val="auto"/>
                <w:kern w:val="0"/>
                <w:sz w:val="20"/>
                <w:szCs w:val="20"/>
              </w:rPr>
              <w:t>内控管理制度有效执行。综上所述，该项指标得100%权重分。</w:t>
            </w:r>
          </w:p>
        </w:tc>
        <w:tc>
          <w:tcPr>
            <w:tcW w:w="81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Merge w:val="continue"/>
            <w:vAlign w:val="center"/>
          </w:tcPr>
          <w:p>
            <w:pPr>
              <w:widowControl/>
              <w:jc w:val="both"/>
              <w:rPr>
                <w:rFonts w:ascii="仿宋" w:hAnsi="仿宋" w:eastAsia="仿宋" w:cs="宋体"/>
                <w:color w:val="auto"/>
                <w:kern w:val="0"/>
                <w:sz w:val="20"/>
                <w:szCs w:val="20"/>
              </w:rPr>
            </w:pPr>
          </w:p>
        </w:tc>
        <w:tc>
          <w:tcPr>
            <w:tcW w:w="1133" w:type="dxa"/>
            <w:vMerge w:val="restart"/>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B24 资产管理制度</w:t>
            </w: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B241 资产管理制度健全性</w:t>
            </w:r>
          </w:p>
        </w:tc>
        <w:tc>
          <w:tcPr>
            <w:tcW w:w="70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考察部门资产管理制度是否建立健全</w:t>
            </w:r>
          </w:p>
        </w:tc>
        <w:tc>
          <w:tcPr>
            <w:tcW w:w="1015"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健全</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列示具体制度名称、内容、文件</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建立完善的资产管理制度，包括：专人负责、验收入库、领用登记、资产盘点、清理报废等，得1分；制度缺失或。制度存在明显缺陷每扣0.2分，扣完为止；无制度不得分。</w:t>
            </w:r>
          </w:p>
        </w:tc>
        <w:tc>
          <w:tcPr>
            <w:tcW w:w="2444"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根据财政部《关于加强行政事业单位固定资产管理的通知》（财资〔2020〕97号）</w:t>
            </w:r>
            <w:r>
              <w:rPr>
                <w:rFonts w:hint="eastAsia" w:ascii="仿宋" w:hAnsi="仿宋" w:eastAsia="仿宋" w:cs="宋体"/>
                <w:color w:val="auto"/>
                <w:kern w:val="0"/>
                <w:sz w:val="20"/>
                <w:szCs w:val="20"/>
                <w:lang w:val="en-US" w:eastAsia="zh-CN"/>
              </w:rPr>
              <w:t>分析</w:t>
            </w:r>
            <w:r>
              <w:rPr>
                <w:rFonts w:hint="eastAsia" w:ascii="仿宋" w:hAnsi="仿宋" w:eastAsia="仿宋" w:cs="宋体"/>
                <w:color w:val="auto"/>
                <w:kern w:val="0"/>
                <w:sz w:val="20"/>
                <w:szCs w:val="20"/>
                <w:lang w:eastAsia="zh-CN"/>
              </w:rPr>
              <w:t>，</w:t>
            </w:r>
            <w:r>
              <w:rPr>
                <w:rFonts w:hint="eastAsia" w:ascii="仿宋" w:hAnsi="仿宋" w:eastAsia="仿宋" w:cs="宋体"/>
                <w:color w:val="auto"/>
                <w:kern w:val="0"/>
                <w:sz w:val="20"/>
                <w:szCs w:val="20"/>
                <w:lang w:val="en-US" w:eastAsia="zh-CN"/>
              </w:rPr>
              <w:t>部门已</w:t>
            </w:r>
            <w:r>
              <w:rPr>
                <w:rFonts w:hint="eastAsia" w:ascii="仿宋" w:hAnsi="仿宋" w:eastAsia="仿宋" w:cs="宋体"/>
                <w:color w:val="auto"/>
                <w:kern w:val="0"/>
                <w:sz w:val="20"/>
                <w:szCs w:val="20"/>
              </w:rPr>
              <w:t>建立完善的资产管理制</w:t>
            </w:r>
            <w:r>
              <w:rPr>
                <w:rFonts w:hint="eastAsia" w:ascii="仿宋" w:hAnsi="仿宋" w:eastAsia="仿宋" w:cs="宋体"/>
                <w:color w:val="auto"/>
                <w:kern w:val="0"/>
                <w:sz w:val="20"/>
                <w:szCs w:val="20"/>
                <w:lang w:val="en-US" w:eastAsia="zh-CN"/>
              </w:rPr>
              <w:t>度</w:t>
            </w:r>
            <w:r>
              <w:rPr>
                <w:rFonts w:hint="eastAsia" w:ascii="仿宋" w:hAnsi="仿宋" w:eastAsia="仿宋" w:cs="宋体"/>
                <w:color w:val="auto"/>
                <w:kern w:val="0"/>
                <w:sz w:val="20"/>
                <w:szCs w:val="20"/>
              </w:rPr>
              <w:t>，制度不存在明显缺陷。综上所述，该项指标得100%权重分。</w:t>
            </w:r>
          </w:p>
        </w:tc>
        <w:tc>
          <w:tcPr>
            <w:tcW w:w="81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Merge w:val="continue"/>
            <w:vAlign w:val="center"/>
          </w:tcPr>
          <w:p>
            <w:pPr>
              <w:widowControl/>
              <w:jc w:val="both"/>
              <w:rPr>
                <w:rFonts w:ascii="仿宋" w:hAnsi="仿宋" w:eastAsia="仿宋" w:cs="宋体"/>
                <w:color w:val="auto"/>
                <w:kern w:val="0"/>
                <w:sz w:val="20"/>
                <w:szCs w:val="20"/>
              </w:rPr>
            </w:pPr>
          </w:p>
        </w:tc>
        <w:tc>
          <w:tcPr>
            <w:tcW w:w="1133" w:type="dxa"/>
            <w:vMerge w:val="continue"/>
            <w:vAlign w:val="center"/>
          </w:tcPr>
          <w:p>
            <w:pPr>
              <w:widowControl/>
              <w:jc w:val="both"/>
              <w:rPr>
                <w:rFonts w:ascii="仿宋" w:hAnsi="仿宋" w:eastAsia="仿宋" w:cs="宋体"/>
                <w:color w:val="auto"/>
                <w:kern w:val="0"/>
                <w:sz w:val="20"/>
                <w:szCs w:val="20"/>
              </w:rPr>
            </w:pP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B242 固定资产利用率</w:t>
            </w:r>
          </w:p>
        </w:tc>
        <w:tc>
          <w:tcPr>
            <w:tcW w:w="70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2</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考察部门固定资产是否得到有效利用</w:t>
            </w:r>
          </w:p>
        </w:tc>
        <w:tc>
          <w:tcPr>
            <w:tcW w:w="1015"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≥95%</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实际在用固定资产总额/所有固定资产总额*100%</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固定资产利用率大于或等于95%得满分；小于或等于85%，得0分；85%-95%之间的，用公式计算，得分={部门单位固定资产利用率-min（固定资产利用率）}/{max(固定资产利用率)-min(固定资产利用率)}*该指标分值，扣完为止。</w:t>
            </w:r>
          </w:p>
        </w:tc>
        <w:tc>
          <w:tcPr>
            <w:tcW w:w="2444"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根据</w:t>
            </w:r>
            <w:r>
              <w:rPr>
                <w:rFonts w:hint="eastAsia" w:ascii="仿宋" w:hAnsi="仿宋" w:eastAsia="仿宋" w:cs="宋体"/>
                <w:color w:val="auto"/>
                <w:kern w:val="0"/>
                <w:sz w:val="20"/>
                <w:szCs w:val="20"/>
                <w:lang w:val="en-US" w:eastAsia="zh-CN"/>
              </w:rPr>
              <w:t>评价组到部门现场对固定资产投入使用情况进行核查，部门</w:t>
            </w:r>
            <w:r>
              <w:rPr>
                <w:rFonts w:hint="eastAsia" w:ascii="仿宋" w:hAnsi="仿宋" w:eastAsia="仿宋" w:cs="宋体"/>
                <w:color w:val="auto"/>
                <w:kern w:val="0"/>
                <w:sz w:val="20"/>
                <w:szCs w:val="20"/>
              </w:rPr>
              <w:t>固定资产利用率</w:t>
            </w:r>
            <w:r>
              <w:rPr>
                <w:rFonts w:hint="eastAsia" w:ascii="仿宋" w:hAnsi="仿宋" w:eastAsia="仿宋" w:cs="宋体"/>
                <w:color w:val="auto"/>
                <w:kern w:val="0"/>
                <w:sz w:val="20"/>
                <w:szCs w:val="20"/>
                <w:lang w:val="en-US" w:eastAsia="zh-CN"/>
              </w:rPr>
              <w:t>较高，已达到</w:t>
            </w:r>
            <w:r>
              <w:rPr>
                <w:rFonts w:hint="eastAsia" w:ascii="仿宋" w:hAnsi="仿宋" w:eastAsia="仿宋" w:cs="宋体"/>
                <w:color w:val="auto"/>
                <w:kern w:val="0"/>
                <w:sz w:val="20"/>
                <w:szCs w:val="20"/>
              </w:rPr>
              <w:t>100%。综上所述，该项指标得100%权重分。</w:t>
            </w:r>
          </w:p>
        </w:tc>
        <w:tc>
          <w:tcPr>
            <w:tcW w:w="81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2</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Merge w:val="continue"/>
            <w:vAlign w:val="center"/>
          </w:tcPr>
          <w:p>
            <w:pPr>
              <w:widowControl/>
              <w:jc w:val="both"/>
              <w:rPr>
                <w:rFonts w:ascii="仿宋" w:hAnsi="仿宋" w:eastAsia="仿宋" w:cs="宋体"/>
                <w:color w:val="auto"/>
                <w:kern w:val="0"/>
                <w:sz w:val="20"/>
                <w:szCs w:val="20"/>
              </w:rPr>
            </w:pPr>
          </w:p>
        </w:tc>
        <w:tc>
          <w:tcPr>
            <w:tcW w:w="1133"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B25 政府采购制度</w:t>
            </w: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B251 政府采购制度执行有效性</w:t>
            </w:r>
          </w:p>
        </w:tc>
        <w:tc>
          <w:tcPr>
            <w:tcW w:w="70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2</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考察部门政府采购制度执行是否有效</w:t>
            </w:r>
          </w:p>
        </w:tc>
        <w:tc>
          <w:tcPr>
            <w:tcW w:w="1015"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有效</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是否按照政府采购目录执行；采购程序是否规范；政府采购预算执行率</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按照政府采购管理制度有效执行，得2分；未按完为止。制度执行或存在明显不符情况的，每个扣0.5分，扣</w:t>
            </w:r>
          </w:p>
        </w:tc>
        <w:tc>
          <w:tcPr>
            <w:tcW w:w="2444"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lang w:val="en-US" w:eastAsia="zh-CN"/>
              </w:rPr>
              <w:t>部门各项采购内容严格按照政府采购目录执行，并根据</w:t>
            </w:r>
            <w:r>
              <w:rPr>
                <w:rFonts w:hint="eastAsia" w:ascii="仿宋" w:hAnsi="仿宋" w:eastAsia="仿宋" w:cs="宋体"/>
                <w:color w:val="auto"/>
                <w:kern w:val="0"/>
                <w:sz w:val="20"/>
                <w:szCs w:val="20"/>
              </w:rPr>
              <w:t>《政府采购管理办法》</w:t>
            </w:r>
            <w:r>
              <w:rPr>
                <w:rFonts w:hint="eastAsia" w:ascii="仿宋" w:hAnsi="仿宋" w:eastAsia="仿宋" w:cs="宋体"/>
                <w:color w:val="auto"/>
                <w:kern w:val="0"/>
                <w:sz w:val="20"/>
                <w:szCs w:val="20"/>
                <w:lang w:val="en-US" w:eastAsia="zh-CN"/>
              </w:rPr>
              <w:t>有效执行采购程序，各项程序规范，部门的政府采购部预算执行率为100%</w:t>
            </w:r>
            <w:r>
              <w:rPr>
                <w:rFonts w:hint="eastAsia" w:ascii="仿宋" w:hAnsi="仿宋" w:eastAsia="仿宋" w:cs="宋体"/>
                <w:color w:val="auto"/>
                <w:kern w:val="0"/>
                <w:sz w:val="20"/>
                <w:szCs w:val="20"/>
              </w:rPr>
              <w:t>。综上所述，该项指标得100%权重分。</w:t>
            </w:r>
          </w:p>
        </w:tc>
        <w:tc>
          <w:tcPr>
            <w:tcW w:w="81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2</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Merge w:val="continue"/>
            <w:vAlign w:val="center"/>
          </w:tcPr>
          <w:p>
            <w:pPr>
              <w:widowControl/>
              <w:jc w:val="both"/>
              <w:rPr>
                <w:rFonts w:ascii="仿宋" w:hAnsi="仿宋" w:eastAsia="仿宋" w:cs="宋体"/>
                <w:color w:val="auto"/>
                <w:kern w:val="0"/>
                <w:sz w:val="20"/>
                <w:szCs w:val="20"/>
              </w:rPr>
            </w:pPr>
          </w:p>
        </w:tc>
        <w:tc>
          <w:tcPr>
            <w:tcW w:w="1133"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B26 预算绩效管理制度</w:t>
            </w: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B261 预算绩效管理制度执健全性</w:t>
            </w:r>
          </w:p>
        </w:tc>
        <w:tc>
          <w:tcPr>
            <w:tcW w:w="70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2</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考察部门单位是否按照全过程预算绩效管理的要求制定了预算绩效管理制度</w:t>
            </w:r>
          </w:p>
        </w:tc>
        <w:tc>
          <w:tcPr>
            <w:tcW w:w="1015"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健全</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根据《关于进一步加强自治区全面实施预算绩效管理体系建设的通知》新财预【2021】77号文</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按照要求制定全过程预算绩效管理制度（事前绩效评估、绩效目标管理、绩效监控管理、绩效评价管理、绩效评价结果应用），缺少1项扣0.5分，扣完为止。</w:t>
            </w:r>
          </w:p>
        </w:tc>
        <w:tc>
          <w:tcPr>
            <w:tcW w:w="2444"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根据</w:t>
            </w:r>
            <w:r>
              <w:rPr>
                <w:rFonts w:hint="eastAsia" w:ascii="仿宋" w:hAnsi="仿宋" w:eastAsia="仿宋" w:cs="宋体"/>
                <w:color w:val="auto"/>
                <w:kern w:val="0"/>
                <w:sz w:val="20"/>
                <w:szCs w:val="20"/>
                <w:lang w:val="en-US" w:eastAsia="zh-CN"/>
              </w:rPr>
              <w:t>对项目</w:t>
            </w:r>
            <w:r>
              <w:rPr>
                <w:rFonts w:hint="eastAsia" w:ascii="仿宋" w:hAnsi="仿宋" w:eastAsia="仿宋" w:cs="宋体"/>
                <w:color w:val="auto"/>
                <w:kern w:val="0"/>
                <w:sz w:val="20"/>
                <w:szCs w:val="20"/>
              </w:rPr>
              <w:t>资料核查</w:t>
            </w:r>
            <w:r>
              <w:rPr>
                <w:rFonts w:hint="eastAsia" w:ascii="仿宋" w:hAnsi="仿宋" w:eastAsia="仿宋" w:cs="宋体"/>
                <w:color w:val="auto"/>
                <w:kern w:val="0"/>
                <w:sz w:val="20"/>
                <w:szCs w:val="20"/>
                <w:lang w:eastAsia="zh-CN"/>
              </w:rPr>
              <w:t>，</w:t>
            </w:r>
            <w:r>
              <w:rPr>
                <w:rFonts w:hint="eastAsia" w:ascii="仿宋" w:hAnsi="仿宋" w:eastAsia="仿宋" w:cs="宋体"/>
                <w:color w:val="auto"/>
                <w:kern w:val="0"/>
                <w:sz w:val="20"/>
                <w:szCs w:val="20"/>
                <w:lang w:val="en-US" w:eastAsia="zh-CN"/>
              </w:rPr>
              <w:t>部门</w:t>
            </w:r>
            <w:r>
              <w:rPr>
                <w:rFonts w:hint="eastAsia" w:ascii="仿宋" w:hAnsi="仿宋" w:eastAsia="仿宋" w:cs="宋体"/>
                <w:color w:val="auto"/>
                <w:kern w:val="0"/>
                <w:sz w:val="20"/>
                <w:szCs w:val="20"/>
              </w:rPr>
              <w:t>已制定全过程预算绩效管理制度，</w:t>
            </w:r>
            <w:r>
              <w:rPr>
                <w:rFonts w:hint="eastAsia" w:ascii="仿宋" w:hAnsi="仿宋" w:eastAsia="仿宋" w:cs="宋体"/>
                <w:color w:val="auto"/>
                <w:kern w:val="0"/>
                <w:sz w:val="20"/>
                <w:szCs w:val="20"/>
                <w:lang w:val="en-US" w:eastAsia="zh-CN"/>
              </w:rPr>
              <w:t>制度内容完整。</w:t>
            </w:r>
            <w:r>
              <w:rPr>
                <w:rFonts w:hint="eastAsia" w:ascii="仿宋" w:hAnsi="仿宋" w:eastAsia="仿宋" w:cs="宋体"/>
                <w:color w:val="auto"/>
                <w:kern w:val="0"/>
                <w:sz w:val="20"/>
                <w:szCs w:val="20"/>
              </w:rPr>
              <w:t>综上所述，该项指标得100%权重分。</w:t>
            </w:r>
          </w:p>
        </w:tc>
        <w:tc>
          <w:tcPr>
            <w:tcW w:w="81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2</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Merge w:val="continue"/>
            <w:vAlign w:val="center"/>
          </w:tcPr>
          <w:p>
            <w:pPr>
              <w:widowControl/>
              <w:jc w:val="both"/>
              <w:rPr>
                <w:rFonts w:ascii="仿宋" w:hAnsi="仿宋" w:eastAsia="仿宋" w:cs="宋体"/>
                <w:color w:val="auto"/>
                <w:kern w:val="0"/>
                <w:sz w:val="20"/>
                <w:szCs w:val="20"/>
              </w:rPr>
            </w:pPr>
          </w:p>
        </w:tc>
        <w:tc>
          <w:tcPr>
            <w:tcW w:w="1133"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B27 档案管理制度</w:t>
            </w: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B271 档案管理制度执行有效性</w:t>
            </w:r>
          </w:p>
        </w:tc>
        <w:tc>
          <w:tcPr>
            <w:tcW w:w="709"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1</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考察部门档案管理制度执行是否有效</w:t>
            </w:r>
          </w:p>
        </w:tc>
        <w:tc>
          <w:tcPr>
            <w:tcW w:w="1015"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有效</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按照档案规定的内容是否有效执行</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按照档案管理制度有效执行，得2分；未按制度执行或存在明显不符情况的，每个扣0.5分，扣完为止。</w:t>
            </w:r>
          </w:p>
        </w:tc>
        <w:tc>
          <w:tcPr>
            <w:tcW w:w="2444"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根据</w:t>
            </w:r>
            <w:r>
              <w:rPr>
                <w:rFonts w:hint="eastAsia" w:ascii="仿宋" w:hAnsi="仿宋" w:eastAsia="仿宋" w:cs="宋体"/>
                <w:color w:val="auto"/>
                <w:kern w:val="0"/>
                <w:sz w:val="20"/>
                <w:szCs w:val="20"/>
                <w:lang w:val="en-US" w:eastAsia="zh-CN"/>
              </w:rPr>
              <w:t>评价组</w:t>
            </w:r>
            <w:r>
              <w:rPr>
                <w:rFonts w:hint="eastAsia" w:ascii="仿宋" w:hAnsi="仿宋" w:eastAsia="仿宋" w:cs="宋体"/>
                <w:color w:val="auto"/>
                <w:kern w:val="0"/>
                <w:sz w:val="20"/>
                <w:szCs w:val="20"/>
              </w:rPr>
              <w:t>实地调研</w:t>
            </w:r>
            <w:r>
              <w:rPr>
                <w:rFonts w:hint="eastAsia" w:ascii="仿宋" w:hAnsi="仿宋" w:eastAsia="仿宋" w:cs="宋体"/>
                <w:color w:val="auto"/>
                <w:kern w:val="0"/>
                <w:sz w:val="20"/>
                <w:szCs w:val="20"/>
                <w:lang w:val="en-US" w:eastAsia="zh-CN"/>
              </w:rPr>
              <w:t>核查</w:t>
            </w:r>
            <w:r>
              <w:rPr>
                <w:rFonts w:hint="eastAsia" w:ascii="仿宋" w:hAnsi="仿宋" w:eastAsia="仿宋" w:cs="宋体"/>
                <w:color w:val="auto"/>
                <w:kern w:val="0"/>
                <w:sz w:val="20"/>
                <w:szCs w:val="20"/>
                <w:lang w:eastAsia="zh-CN"/>
              </w:rPr>
              <w:t>，</w:t>
            </w:r>
            <w:r>
              <w:rPr>
                <w:rFonts w:hint="eastAsia" w:ascii="仿宋" w:hAnsi="仿宋" w:eastAsia="仿宋" w:cs="宋体"/>
                <w:color w:val="auto"/>
                <w:kern w:val="0"/>
                <w:sz w:val="20"/>
                <w:szCs w:val="20"/>
                <w:lang w:val="en-US" w:eastAsia="zh-CN"/>
              </w:rPr>
              <w:t>确认部门</w:t>
            </w:r>
            <w:r>
              <w:rPr>
                <w:rFonts w:hint="eastAsia" w:ascii="仿宋" w:hAnsi="仿宋" w:eastAsia="仿宋" w:cs="宋体"/>
                <w:color w:val="auto"/>
                <w:kern w:val="0"/>
                <w:sz w:val="20"/>
                <w:szCs w:val="20"/>
              </w:rPr>
              <w:t>档案管理制度有效执行。综上所述，该项指标得100%权重分。</w:t>
            </w:r>
          </w:p>
        </w:tc>
        <w:tc>
          <w:tcPr>
            <w:tcW w:w="819"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1</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Merge w:val="continue"/>
            <w:vAlign w:val="center"/>
          </w:tcPr>
          <w:p>
            <w:pPr>
              <w:widowControl/>
              <w:jc w:val="both"/>
              <w:rPr>
                <w:rFonts w:ascii="仿宋" w:hAnsi="仿宋" w:eastAsia="仿宋" w:cs="宋体"/>
                <w:color w:val="auto"/>
                <w:kern w:val="0"/>
                <w:sz w:val="20"/>
                <w:szCs w:val="20"/>
              </w:rPr>
            </w:pPr>
          </w:p>
        </w:tc>
        <w:tc>
          <w:tcPr>
            <w:tcW w:w="1133"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B28 信息公开制度</w:t>
            </w: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B281 信息公开制度执行有效性</w:t>
            </w:r>
          </w:p>
        </w:tc>
        <w:tc>
          <w:tcPr>
            <w:tcW w:w="709"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1</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考察部门信息公开制度执行是否有效</w:t>
            </w:r>
          </w:p>
        </w:tc>
        <w:tc>
          <w:tcPr>
            <w:tcW w:w="1015"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有效</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按照政府信息公开制度规定的内容是否公开</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信息公开内容完整、信息公开及时、公开信息真实有效，得3分；有不符情况，每项扣0.5分，扣完为止。</w:t>
            </w:r>
          </w:p>
        </w:tc>
        <w:tc>
          <w:tcPr>
            <w:tcW w:w="2444"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根据</w:t>
            </w:r>
            <w:r>
              <w:rPr>
                <w:rFonts w:hint="eastAsia" w:ascii="仿宋" w:hAnsi="仿宋" w:eastAsia="仿宋" w:cs="宋体"/>
                <w:color w:val="auto"/>
                <w:kern w:val="0"/>
                <w:sz w:val="20"/>
                <w:szCs w:val="20"/>
                <w:lang w:val="en-US" w:eastAsia="zh-CN"/>
              </w:rPr>
              <w:t>伽师县人民政府网</w:t>
            </w:r>
            <w:r>
              <w:rPr>
                <w:rFonts w:hint="eastAsia" w:ascii="仿宋" w:hAnsi="仿宋" w:eastAsia="仿宋" w:cs="宋体"/>
                <w:color w:val="auto"/>
                <w:kern w:val="0"/>
                <w:sz w:val="20"/>
                <w:szCs w:val="20"/>
              </w:rPr>
              <w:t>信息公开</w:t>
            </w:r>
            <w:r>
              <w:rPr>
                <w:rFonts w:hint="eastAsia" w:ascii="仿宋" w:hAnsi="仿宋" w:eastAsia="仿宋" w:cs="宋体"/>
                <w:color w:val="auto"/>
                <w:kern w:val="0"/>
                <w:sz w:val="20"/>
                <w:szCs w:val="20"/>
                <w:lang w:val="en-US" w:eastAsia="zh-CN"/>
              </w:rPr>
              <w:t>核查分析，确认部门预算公开</w:t>
            </w:r>
            <w:r>
              <w:rPr>
                <w:rFonts w:hint="eastAsia" w:ascii="仿宋" w:hAnsi="仿宋" w:eastAsia="仿宋" w:cs="宋体"/>
                <w:color w:val="auto"/>
                <w:kern w:val="0"/>
                <w:sz w:val="20"/>
                <w:szCs w:val="20"/>
              </w:rPr>
              <w:t>内容完整、信息公开及时，公开信息真实有效。综上所述，该项指标得100%权重分。</w:t>
            </w:r>
          </w:p>
        </w:tc>
        <w:tc>
          <w:tcPr>
            <w:tcW w:w="819"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1</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Merge w:val="restart"/>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C2 部门产出（15分）</w:t>
            </w:r>
          </w:p>
        </w:tc>
        <w:tc>
          <w:tcPr>
            <w:tcW w:w="1133" w:type="dxa"/>
            <w:vMerge w:val="restart"/>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C21数量指标</w:t>
            </w: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C211保障在职人员人数（人）</w:t>
            </w:r>
          </w:p>
        </w:tc>
        <w:tc>
          <w:tcPr>
            <w:tcW w:w="709"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2</w:t>
            </w:r>
          </w:p>
        </w:tc>
        <w:tc>
          <w:tcPr>
            <w:tcW w:w="1047" w:type="dxa"/>
            <w:vAlign w:val="center"/>
          </w:tcPr>
          <w:p>
            <w:pPr>
              <w:widowControl/>
              <w:jc w:val="both"/>
              <w:rPr>
                <w:rFonts w:hint="default" w:ascii="仿宋" w:hAnsi="仿宋" w:eastAsia="仿宋" w:cs="宋体"/>
                <w:color w:val="auto"/>
                <w:kern w:val="0"/>
                <w:sz w:val="20"/>
                <w:szCs w:val="20"/>
                <w:lang w:val="en-US" w:eastAsia="zh-CN"/>
              </w:rPr>
            </w:pPr>
            <w:r>
              <w:rPr>
                <w:rFonts w:hint="eastAsia" w:ascii="仿宋" w:hAnsi="仿宋" w:eastAsia="仿宋" w:cs="宋体"/>
                <w:color w:val="auto"/>
                <w:kern w:val="0"/>
                <w:sz w:val="20"/>
                <w:szCs w:val="20"/>
              </w:rPr>
              <w:t>考察</w:t>
            </w:r>
            <w:r>
              <w:rPr>
                <w:rFonts w:hint="eastAsia" w:ascii="仿宋" w:hAnsi="仿宋" w:eastAsia="仿宋" w:cs="宋体"/>
                <w:color w:val="auto"/>
                <w:kern w:val="0"/>
                <w:sz w:val="20"/>
                <w:szCs w:val="20"/>
                <w:lang w:val="en-US" w:eastAsia="zh-CN"/>
              </w:rPr>
              <w:t>保障在职人员数量</w:t>
            </w:r>
          </w:p>
        </w:tc>
        <w:tc>
          <w:tcPr>
            <w:tcW w:w="1015" w:type="dxa"/>
            <w:vAlign w:val="center"/>
          </w:tcPr>
          <w:p>
            <w:pPr>
              <w:widowControl/>
              <w:jc w:val="both"/>
              <w:rPr>
                <w:rFonts w:hint="default" w:ascii="仿宋" w:hAnsi="仿宋" w:eastAsia="仿宋" w:cs="宋体"/>
                <w:color w:val="auto"/>
                <w:kern w:val="0"/>
                <w:sz w:val="20"/>
                <w:szCs w:val="20"/>
                <w:lang w:val="en-US" w:eastAsia="zh-CN"/>
              </w:rPr>
            </w:pPr>
            <w:r>
              <w:rPr>
                <w:rFonts w:hint="eastAsia" w:ascii="仿宋" w:hAnsi="仿宋" w:eastAsia="仿宋" w:cs="宋体"/>
                <w:color w:val="auto"/>
                <w:kern w:val="0"/>
                <w:sz w:val="20"/>
                <w:szCs w:val="20"/>
              </w:rPr>
              <w:t>≥</w:t>
            </w:r>
            <w:r>
              <w:rPr>
                <w:rFonts w:hint="eastAsia" w:ascii="仿宋" w:hAnsi="仿宋" w:eastAsia="仿宋" w:cs="宋体"/>
                <w:color w:val="auto"/>
                <w:kern w:val="0"/>
                <w:sz w:val="20"/>
                <w:szCs w:val="20"/>
                <w:lang w:val="en-US" w:eastAsia="zh-CN"/>
              </w:rPr>
              <w:t>48人</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相关文件、资料等</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达到目标值得满分，低于则每降低1%扣除5%的权重分值，扣完为止</w:t>
            </w:r>
          </w:p>
        </w:tc>
        <w:tc>
          <w:tcPr>
            <w:tcW w:w="2444" w:type="dxa"/>
            <w:vAlign w:val="center"/>
          </w:tcPr>
          <w:p>
            <w:pPr>
              <w:widowControl/>
              <w:jc w:val="both"/>
              <w:rPr>
                <w:rFonts w:ascii="仿宋" w:hAnsi="仿宋" w:eastAsia="仿宋" w:cs="宋体"/>
                <w:color w:val="auto"/>
                <w:kern w:val="0"/>
                <w:sz w:val="20"/>
                <w:szCs w:val="20"/>
              </w:rPr>
            </w:pPr>
            <w:r>
              <w:rPr>
                <w:rFonts w:ascii="仿宋" w:hAnsi="仿宋" w:eastAsia="仿宋" w:cs="宋体"/>
                <w:color w:val="auto"/>
                <w:kern w:val="0"/>
                <w:sz w:val="20"/>
                <w:szCs w:val="20"/>
              </w:rPr>
              <w:t>根据基础表</w:t>
            </w:r>
            <w:r>
              <w:rPr>
                <w:rFonts w:hint="eastAsia" w:ascii="仿宋" w:hAnsi="仿宋" w:eastAsia="仿宋" w:cs="宋体"/>
                <w:color w:val="auto"/>
                <w:kern w:val="0"/>
                <w:sz w:val="20"/>
                <w:szCs w:val="20"/>
                <w:lang w:val="en-US" w:eastAsia="zh-CN"/>
              </w:rPr>
              <w:t>填报数据及相关资料分析，确认在职人员数量为45人，已</w:t>
            </w:r>
            <w:r>
              <w:rPr>
                <w:rFonts w:ascii="仿宋" w:hAnsi="仿宋" w:eastAsia="仿宋" w:cs="宋体"/>
                <w:color w:val="auto"/>
                <w:kern w:val="0"/>
                <w:sz w:val="20"/>
                <w:szCs w:val="20"/>
              </w:rPr>
              <w:t>达到目标值。</w:t>
            </w:r>
            <w:r>
              <w:rPr>
                <w:rFonts w:hint="eastAsia" w:ascii="仿宋" w:hAnsi="仿宋" w:eastAsia="仿宋" w:cs="宋体"/>
                <w:color w:val="auto"/>
                <w:kern w:val="0"/>
                <w:sz w:val="20"/>
                <w:szCs w:val="20"/>
                <w:lang w:val="en-US" w:eastAsia="zh-CN"/>
              </w:rPr>
              <w:t>根据评分标准</w:t>
            </w:r>
            <w:r>
              <w:rPr>
                <w:rFonts w:ascii="仿宋" w:hAnsi="仿宋" w:eastAsia="仿宋" w:cs="宋体"/>
                <w:color w:val="auto"/>
                <w:kern w:val="0"/>
                <w:sz w:val="20"/>
                <w:szCs w:val="20"/>
              </w:rPr>
              <w:t>，该项指标得</w:t>
            </w:r>
            <w:r>
              <w:rPr>
                <w:rFonts w:hint="eastAsia" w:ascii="仿宋" w:hAnsi="仿宋" w:eastAsia="仿宋" w:cs="宋体"/>
                <w:color w:val="auto"/>
                <w:kern w:val="0"/>
                <w:sz w:val="20"/>
                <w:szCs w:val="20"/>
                <w:lang w:val="en-US" w:eastAsia="zh-CN"/>
              </w:rPr>
              <w:t>93.75</w:t>
            </w:r>
            <w:r>
              <w:rPr>
                <w:rFonts w:ascii="仿宋" w:hAnsi="仿宋" w:eastAsia="仿宋" w:cs="宋体"/>
                <w:color w:val="auto"/>
                <w:kern w:val="0"/>
                <w:sz w:val="20"/>
                <w:szCs w:val="20"/>
              </w:rPr>
              <w:t>%权重分。</w:t>
            </w:r>
          </w:p>
        </w:tc>
        <w:tc>
          <w:tcPr>
            <w:tcW w:w="819" w:type="dxa"/>
            <w:vAlign w:val="center"/>
          </w:tcPr>
          <w:p>
            <w:pPr>
              <w:widowControl/>
              <w:jc w:val="both"/>
              <w:rPr>
                <w:rFonts w:hint="default" w:ascii="仿宋" w:hAnsi="仿宋" w:eastAsia="仿宋" w:cs="宋体"/>
                <w:color w:val="auto"/>
                <w:kern w:val="0"/>
                <w:sz w:val="20"/>
                <w:szCs w:val="20"/>
                <w:lang w:val="en-US" w:eastAsia="zh-CN"/>
              </w:rPr>
            </w:pPr>
            <w:r>
              <w:rPr>
                <w:rFonts w:hint="eastAsia" w:ascii="仿宋" w:hAnsi="仿宋" w:eastAsia="仿宋" w:cs="宋体"/>
                <w:color w:val="auto"/>
                <w:kern w:val="0"/>
                <w:sz w:val="20"/>
                <w:szCs w:val="20"/>
                <w:lang w:val="en-US" w:eastAsia="zh-CN"/>
              </w:rPr>
              <w:t>1.88</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lang w:val="en-US" w:eastAsia="zh-CN"/>
              </w:rPr>
              <w:t>93.75</w:t>
            </w:r>
            <w:r>
              <w:rPr>
                <w:rFonts w:hint="eastAsia" w:ascii="仿宋" w:hAnsi="仿宋" w:eastAsia="仿宋" w:cs="宋体"/>
                <w:color w:val="auto"/>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Merge w:val="continue"/>
            <w:vAlign w:val="center"/>
          </w:tcPr>
          <w:p>
            <w:pPr>
              <w:widowControl/>
              <w:jc w:val="both"/>
              <w:rPr>
                <w:rFonts w:ascii="仿宋" w:hAnsi="仿宋" w:eastAsia="仿宋" w:cs="宋体"/>
                <w:color w:val="auto"/>
                <w:kern w:val="0"/>
                <w:sz w:val="20"/>
                <w:szCs w:val="20"/>
              </w:rPr>
            </w:pPr>
          </w:p>
        </w:tc>
        <w:tc>
          <w:tcPr>
            <w:tcW w:w="1133" w:type="dxa"/>
            <w:vMerge w:val="continue"/>
            <w:vAlign w:val="center"/>
          </w:tcPr>
          <w:p>
            <w:pPr>
              <w:widowControl/>
              <w:jc w:val="both"/>
              <w:rPr>
                <w:rFonts w:ascii="仿宋" w:hAnsi="仿宋" w:eastAsia="仿宋" w:cs="宋体"/>
                <w:color w:val="auto"/>
                <w:kern w:val="0"/>
                <w:sz w:val="20"/>
                <w:szCs w:val="20"/>
              </w:rPr>
            </w:pP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C212保障退休及遗属人数（人）</w:t>
            </w:r>
          </w:p>
        </w:tc>
        <w:tc>
          <w:tcPr>
            <w:tcW w:w="709"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3</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考察保障退休及遗属人数</w:t>
            </w:r>
          </w:p>
        </w:tc>
        <w:tc>
          <w:tcPr>
            <w:tcW w:w="1015"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rPr>
              <w:t>≥</w:t>
            </w:r>
            <w:r>
              <w:rPr>
                <w:rFonts w:hint="eastAsia" w:ascii="仿宋" w:hAnsi="仿宋" w:eastAsia="仿宋" w:cs="宋体"/>
                <w:color w:val="auto"/>
                <w:kern w:val="0"/>
                <w:sz w:val="20"/>
                <w:szCs w:val="20"/>
                <w:lang w:val="en-US" w:eastAsia="zh-CN"/>
              </w:rPr>
              <w:t>46人</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相关文件、资料等</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达到目标值得满分，低于则每降低1%扣除5%的权重分值，扣完为止</w:t>
            </w:r>
          </w:p>
        </w:tc>
        <w:tc>
          <w:tcPr>
            <w:tcW w:w="2444" w:type="dxa"/>
            <w:vAlign w:val="center"/>
          </w:tcPr>
          <w:p>
            <w:pPr>
              <w:widowControl/>
              <w:jc w:val="both"/>
              <w:rPr>
                <w:rFonts w:ascii="仿宋" w:hAnsi="仿宋" w:eastAsia="仿宋" w:cs="宋体"/>
                <w:color w:val="auto"/>
                <w:kern w:val="0"/>
                <w:sz w:val="20"/>
                <w:szCs w:val="20"/>
              </w:rPr>
            </w:pPr>
            <w:r>
              <w:rPr>
                <w:rFonts w:ascii="仿宋" w:hAnsi="仿宋" w:eastAsia="仿宋" w:cs="宋体"/>
                <w:color w:val="auto"/>
                <w:kern w:val="0"/>
                <w:sz w:val="20"/>
                <w:szCs w:val="20"/>
              </w:rPr>
              <w:t>根据相关统计报告</w:t>
            </w:r>
            <w:r>
              <w:rPr>
                <w:rFonts w:hint="eastAsia" w:ascii="仿宋" w:hAnsi="仿宋" w:eastAsia="仿宋" w:cs="宋体"/>
                <w:color w:val="auto"/>
                <w:kern w:val="0"/>
                <w:sz w:val="20"/>
                <w:szCs w:val="20"/>
                <w:lang w:val="en-US" w:eastAsia="zh-CN"/>
              </w:rPr>
              <w:t>分析，已完成</w:t>
            </w:r>
            <w:r>
              <w:rPr>
                <w:rFonts w:hint="eastAsia" w:ascii="仿宋" w:hAnsi="仿宋" w:eastAsia="仿宋" w:cs="宋体"/>
                <w:color w:val="auto"/>
                <w:kern w:val="0"/>
                <w:sz w:val="20"/>
                <w:szCs w:val="20"/>
              </w:rPr>
              <w:t>保障退休及遗属人数</w:t>
            </w:r>
            <w:r>
              <w:rPr>
                <w:rFonts w:hint="eastAsia" w:ascii="仿宋" w:hAnsi="仿宋" w:eastAsia="仿宋" w:cs="宋体"/>
                <w:color w:val="auto"/>
                <w:kern w:val="0"/>
                <w:sz w:val="20"/>
                <w:szCs w:val="20"/>
                <w:lang w:val="en-US" w:eastAsia="zh-CN"/>
              </w:rPr>
              <w:t>46人，</w:t>
            </w:r>
            <w:r>
              <w:rPr>
                <w:rFonts w:ascii="仿宋" w:hAnsi="仿宋" w:eastAsia="仿宋" w:cs="宋体"/>
                <w:color w:val="auto"/>
                <w:kern w:val="0"/>
                <w:sz w:val="20"/>
                <w:szCs w:val="20"/>
              </w:rPr>
              <w:t>达到目标值。</w:t>
            </w:r>
            <w:r>
              <w:rPr>
                <w:rFonts w:hint="eastAsia" w:ascii="仿宋" w:hAnsi="仿宋" w:eastAsia="仿宋" w:cs="宋体"/>
                <w:color w:val="auto"/>
                <w:kern w:val="0"/>
                <w:sz w:val="20"/>
                <w:szCs w:val="20"/>
                <w:lang w:val="en-US" w:eastAsia="zh-CN"/>
              </w:rPr>
              <w:t>根据评分标准</w:t>
            </w:r>
            <w:r>
              <w:rPr>
                <w:rFonts w:ascii="仿宋" w:hAnsi="仿宋" w:eastAsia="仿宋" w:cs="宋体"/>
                <w:color w:val="auto"/>
                <w:kern w:val="0"/>
                <w:sz w:val="20"/>
                <w:szCs w:val="20"/>
              </w:rPr>
              <w:t>，该项指标得100%权重分。</w:t>
            </w:r>
          </w:p>
        </w:tc>
        <w:tc>
          <w:tcPr>
            <w:tcW w:w="819"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3</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Merge w:val="continue"/>
            <w:vAlign w:val="center"/>
          </w:tcPr>
          <w:p>
            <w:pPr>
              <w:widowControl/>
              <w:jc w:val="both"/>
              <w:rPr>
                <w:rFonts w:ascii="仿宋" w:hAnsi="仿宋" w:eastAsia="仿宋" w:cs="宋体"/>
                <w:color w:val="auto"/>
                <w:kern w:val="0"/>
                <w:sz w:val="20"/>
                <w:szCs w:val="20"/>
              </w:rPr>
            </w:pPr>
          </w:p>
        </w:tc>
        <w:tc>
          <w:tcPr>
            <w:tcW w:w="1133" w:type="dxa"/>
            <w:vMerge w:val="continue"/>
            <w:vAlign w:val="center"/>
          </w:tcPr>
          <w:p>
            <w:pPr>
              <w:widowControl/>
              <w:jc w:val="both"/>
              <w:rPr>
                <w:rFonts w:ascii="仿宋" w:hAnsi="仿宋" w:eastAsia="仿宋" w:cs="宋体"/>
                <w:color w:val="auto"/>
                <w:kern w:val="0"/>
                <w:sz w:val="20"/>
                <w:szCs w:val="20"/>
              </w:rPr>
            </w:pP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C213公务保障用车数量（辆）</w:t>
            </w:r>
          </w:p>
        </w:tc>
        <w:tc>
          <w:tcPr>
            <w:tcW w:w="709"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3</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考察公务保障用车数量</w:t>
            </w:r>
          </w:p>
        </w:tc>
        <w:tc>
          <w:tcPr>
            <w:tcW w:w="1015"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rPr>
              <w:t>≥</w:t>
            </w:r>
            <w:r>
              <w:rPr>
                <w:rFonts w:hint="eastAsia" w:ascii="仿宋" w:hAnsi="仿宋" w:eastAsia="仿宋" w:cs="宋体"/>
                <w:color w:val="auto"/>
                <w:kern w:val="0"/>
                <w:sz w:val="20"/>
                <w:szCs w:val="20"/>
                <w:lang w:val="en-US" w:eastAsia="zh-CN"/>
              </w:rPr>
              <w:t>5辆</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相关文件、资料等</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达到目标值得满分，低于则每降低1%扣除5%的权重分值，扣完为止</w:t>
            </w:r>
          </w:p>
        </w:tc>
        <w:tc>
          <w:tcPr>
            <w:tcW w:w="2444" w:type="dxa"/>
            <w:vAlign w:val="center"/>
          </w:tcPr>
          <w:p>
            <w:pPr>
              <w:widowControl/>
              <w:jc w:val="both"/>
              <w:rPr>
                <w:rFonts w:ascii="仿宋" w:hAnsi="仿宋" w:eastAsia="仿宋" w:cs="宋体"/>
                <w:color w:val="auto"/>
                <w:kern w:val="0"/>
                <w:sz w:val="20"/>
                <w:szCs w:val="20"/>
              </w:rPr>
            </w:pPr>
            <w:r>
              <w:rPr>
                <w:rFonts w:ascii="仿宋" w:hAnsi="仿宋" w:eastAsia="仿宋" w:cs="宋体"/>
                <w:color w:val="auto"/>
                <w:kern w:val="0"/>
                <w:sz w:val="20"/>
                <w:szCs w:val="20"/>
              </w:rPr>
              <w:t>根据相关统计报告</w:t>
            </w:r>
            <w:r>
              <w:rPr>
                <w:rFonts w:hint="eastAsia" w:ascii="仿宋" w:hAnsi="仿宋" w:eastAsia="仿宋" w:cs="宋体"/>
                <w:color w:val="auto"/>
                <w:kern w:val="0"/>
                <w:sz w:val="20"/>
                <w:szCs w:val="20"/>
                <w:lang w:val="en-US" w:eastAsia="zh-CN"/>
              </w:rPr>
              <w:t>分析，已完成</w:t>
            </w:r>
            <w:r>
              <w:rPr>
                <w:rFonts w:hint="eastAsia" w:ascii="仿宋" w:hAnsi="仿宋" w:eastAsia="仿宋" w:cs="宋体"/>
                <w:color w:val="auto"/>
                <w:kern w:val="0"/>
                <w:sz w:val="20"/>
                <w:szCs w:val="20"/>
              </w:rPr>
              <w:t>公务保障用车数量</w:t>
            </w:r>
            <w:r>
              <w:rPr>
                <w:rFonts w:hint="eastAsia" w:ascii="仿宋" w:hAnsi="仿宋" w:eastAsia="仿宋" w:cs="宋体"/>
                <w:color w:val="auto"/>
                <w:kern w:val="0"/>
                <w:sz w:val="20"/>
                <w:szCs w:val="20"/>
                <w:lang w:val="en-US" w:eastAsia="zh-CN"/>
              </w:rPr>
              <w:t>5辆，</w:t>
            </w:r>
            <w:r>
              <w:rPr>
                <w:rFonts w:ascii="仿宋" w:hAnsi="仿宋" w:eastAsia="仿宋" w:cs="宋体"/>
                <w:color w:val="auto"/>
                <w:kern w:val="0"/>
                <w:sz w:val="20"/>
                <w:szCs w:val="20"/>
              </w:rPr>
              <w:t>达到目标值。</w:t>
            </w:r>
            <w:r>
              <w:rPr>
                <w:rFonts w:hint="eastAsia" w:ascii="仿宋" w:hAnsi="仿宋" w:eastAsia="仿宋" w:cs="宋体"/>
                <w:color w:val="auto"/>
                <w:kern w:val="0"/>
                <w:sz w:val="20"/>
                <w:szCs w:val="20"/>
                <w:lang w:val="en-US" w:eastAsia="zh-CN"/>
              </w:rPr>
              <w:t>根据评分标准</w:t>
            </w:r>
            <w:r>
              <w:rPr>
                <w:rFonts w:ascii="仿宋" w:hAnsi="仿宋" w:eastAsia="仿宋" w:cs="宋体"/>
                <w:color w:val="auto"/>
                <w:kern w:val="0"/>
                <w:sz w:val="20"/>
                <w:szCs w:val="20"/>
              </w:rPr>
              <w:t>，该项指标得100%权重分。</w:t>
            </w:r>
          </w:p>
        </w:tc>
        <w:tc>
          <w:tcPr>
            <w:tcW w:w="819" w:type="dxa"/>
            <w:vAlign w:val="center"/>
          </w:tcPr>
          <w:p>
            <w:pPr>
              <w:widowControl/>
              <w:jc w:val="both"/>
              <w:rPr>
                <w:rFonts w:hint="eastAsia" w:ascii="仿宋" w:hAnsi="仿宋" w:eastAsia="仿宋" w:cs="宋体"/>
                <w:color w:val="auto"/>
                <w:kern w:val="0"/>
                <w:sz w:val="20"/>
                <w:szCs w:val="20"/>
                <w:lang w:val="en-US" w:eastAsia="zh-CN"/>
              </w:rPr>
            </w:pPr>
            <w:r>
              <w:rPr>
                <w:rFonts w:hint="eastAsia" w:ascii="仿宋" w:hAnsi="仿宋" w:eastAsia="仿宋" w:cs="宋体"/>
                <w:color w:val="auto"/>
                <w:kern w:val="0"/>
                <w:sz w:val="20"/>
                <w:szCs w:val="20"/>
                <w:lang w:val="en-US" w:eastAsia="zh-CN"/>
              </w:rPr>
              <w:t>3</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Merge w:val="continue"/>
            <w:vAlign w:val="center"/>
          </w:tcPr>
          <w:p>
            <w:pPr>
              <w:widowControl/>
              <w:jc w:val="both"/>
              <w:rPr>
                <w:rFonts w:ascii="仿宋" w:hAnsi="仿宋" w:eastAsia="仿宋" w:cs="宋体"/>
                <w:color w:val="auto"/>
                <w:kern w:val="0"/>
                <w:sz w:val="20"/>
                <w:szCs w:val="20"/>
              </w:rPr>
            </w:pPr>
          </w:p>
        </w:tc>
        <w:tc>
          <w:tcPr>
            <w:tcW w:w="1133" w:type="dxa"/>
            <w:vMerge w:val="continue"/>
            <w:vAlign w:val="center"/>
          </w:tcPr>
          <w:p>
            <w:pPr>
              <w:widowControl/>
              <w:jc w:val="both"/>
              <w:rPr>
                <w:rFonts w:ascii="仿宋" w:hAnsi="仿宋" w:eastAsia="仿宋" w:cs="宋体"/>
                <w:color w:val="auto"/>
                <w:kern w:val="0"/>
                <w:sz w:val="20"/>
                <w:szCs w:val="20"/>
              </w:rPr>
            </w:pP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C214 房屋建筑物供暖面积（平方米）</w:t>
            </w:r>
          </w:p>
        </w:tc>
        <w:tc>
          <w:tcPr>
            <w:tcW w:w="709"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3</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考察房屋建筑物供暖面积</w:t>
            </w:r>
          </w:p>
        </w:tc>
        <w:tc>
          <w:tcPr>
            <w:tcW w:w="1015" w:type="dxa"/>
            <w:vAlign w:val="center"/>
          </w:tcPr>
          <w:p>
            <w:pPr>
              <w:widowControl/>
              <w:jc w:val="both"/>
              <w:rPr>
                <w:rFonts w:hint="default" w:ascii="仿宋" w:hAnsi="仿宋" w:eastAsia="仿宋" w:cs="宋体"/>
                <w:color w:val="auto"/>
                <w:kern w:val="0"/>
                <w:sz w:val="20"/>
                <w:szCs w:val="20"/>
                <w:lang w:val="en-US" w:eastAsia="zh-CN"/>
              </w:rPr>
            </w:pPr>
            <w:r>
              <w:rPr>
                <w:rFonts w:hint="eastAsia" w:ascii="仿宋" w:hAnsi="仿宋" w:eastAsia="仿宋" w:cs="宋体"/>
                <w:color w:val="auto"/>
                <w:kern w:val="0"/>
                <w:sz w:val="20"/>
                <w:szCs w:val="20"/>
              </w:rPr>
              <w:t>≥</w:t>
            </w:r>
            <w:r>
              <w:rPr>
                <w:rFonts w:hint="eastAsia" w:ascii="仿宋" w:hAnsi="仿宋" w:eastAsia="仿宋" w:cs="宋体"/>
                <w:color w:val="auto"/>
                <w:kern w:val="0"/>
                <w:sz w:val="20"/>
                <w:szCs w:val="20"/>
                <w:lang w:val="en-US" w:eastAsia="zh-CN"/>
              </w:rPr>
              <w:t>3433平方米</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相关文件、资料等</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达到目标值得满分，低于则每降低1%扣除5%的权重分值，扣完为止</w:t>
            </w:r>
          </w:p>
        </w:tc>
        <w:tc>
          <w:tcPr>
            <w:tcW w:w="2444" w:type="dxa"/>
            <w:vAlign w:val="center"/>
          </w:tcPr>
          <w:p>
            <w:pPr>
              <w:widowControl/>
              <w:jc w:val="both"/>
              <w:rPr>
                <w:rFonts w:ascii="仿宋" w:hAnsi="仿宋" w:eastAsia="仿宋" w:cs="宋体"/>
                <w:color w:val="auto"/>
                <w:kern w:val="0"/>
                <w:sz w:val="20"/>
                <w:szCs w:val="20"/>
              </w:rPr>
            </w:pPr>
            <w:r>
              <w:rPr>
                <w:rFonts w:ascii="仿宋" w:hAnsi="仿宋" w:eastAsia="仿宋" w:cs="宋体"/>
                <w:color w:val="auto"/>
                <w:kern w:val="0"/>
                <w:sz w:val="20"/>
                <w:szCs w:val="20"/>
              </w:rPr>
              <w:t>根据相关统计报告</w:t>
            </w:r>
            <w:r>
              <w:rPr>
                <w:rFonts w:hint="eastAsia" w:ascii="仿宋" w:hAnsi="仿宋" w:eastAsia="仿宋" w:cs="宋体"/>
                <w:color w:val="auto"/>
                <w:kern w:val="0"/>
                <w:sz w:val="20"/>
                <w:szCs w:val="20"/>
                <w:lang w:val="en-US" w:eastAsia="zh-CN"/>
              </w:rPr>
              <w:t>分析，</w:t>
            </w:r>
            <w:r>
              <w:rPr>
                <w:rFonts w:hint="eastAsia" w:ascii="仿宋" w:hAnsi="仿宋" w:eastAsia="仿宋" w:cs="宋体"/>
                <w:color w:val="auto"/>
                <w:kern w:val="0"/>
                <w:sz w:val="20"/>
                <w:szCs w:val="20"/>
              </w:rPr>
              <w:t xml:space="preserve"> 房屋建筑物供暖面积</w:t>
            </w:r>
            <w:r>
              <w:rPr>
                <w:rFonts w:hint="eastAsia" w:ascii="仿宋" w:hAnsi="仿宋" w:eastAsia="仿宋" w:cs="宋体"/>
                <w:color w:val="auto"/>
                <w:kern w:val="0"/>
                <w:sz w:val="20"/>
                <w:szCs w:val="20"/>
                <w:lang w:val="en-US" w:eastAsia="zh-CN"/>
              </w:rPr>
              <w:t>3433平方米</w:t>
            </w:r>
            <w:r>
              <w:rPr>
                <w:rFonts w:ascii="仿宋" w:hAnsi="仿宋" w:eastAsia="仿宋" w:cs="宋体"/>
                <w:color w:val="auto"/>
                <w:kern w:val="0"/>
                <w:sz w:val="20"/>
                <w:szCs w:val="20"/>
              </w:rPr>
              <w:t>，</w:t>
            </w:r>
            <w:r>
              <w:rPr>
                <w:rFonts w:hint="eastAsia" w:ascii="仿宋" w:hAnsi="仿宋" w:eastAsia="仿宋" w:cs="宋体"/>
                <w:color w:val="auto"/>
                <w:kern w:val="0"/>
                <w:sz w:val="20"/>
                <w:szCs w:val="20"/>
                <w:lang w:val="en-US" w:eastAsia="zh-CN"/>
              </w:rPr>
              <w:t>已</w:t>
            </w:r>
            <w:r>
              <w:rPr>
                <w:rFonts w:ascii="仿宋" w:hAnsi="仿宋" w:eastAsia="仿宋" w:cs="宋体"/>
                <w:color w:val="auto"/>
                <w:kern w:val="0"/>
                <w:sz w:val="20"/>
                <w:szCs w:val="20"/>
              </w:rPr>
              <w:t>达到目标值。</w:t>
            </w:r>
            <w:r>
              <w:rPr>
                <w:rFonts w:hint="eastAsia" w:ascii="仿宋" w:hAnsi="仿宋" w:eastAsia="仿宋" w:cs="宋体"/>
                <w:color w:val="auto"/>
                <w:kern w:val="0"/>
                <w:sz w:val="20"/>
                <w:szCs w:val="20"/>
                <w:lang w:val="en-US" w:eastAsia="zh-CN"/>
              </w:rPr>
              <w:t>根据评分标准</w:t>
            </w:r>
            <w:r>
              <w:rPr>
                <w:rFonts w:ascii="仿宋" w:hAnsi="仿宋" w:eastAsia="仿宋" w:cs="宋体"/>
                <w:color w:val="auto"/>
                <w:kern w:val="0"/>
                <w:sz w:val="20"/>
                <w:szCs w:val="20"/>
              </w:rPr>
              <w:t>，该项指标得100%权重分。</w:t>
            </w:r>
          </w:p>
        </w:tc>
        <w:tc>
          <w:tcPr>
            <w:tcW w:w="819"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3</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Merge w:val="restart"/>
            <w:vAlign w:val="center"/>
          </w:tcPr>
          <w:p>
            <w:pPr>
              <w:widowControl/>
              <w:jc w:val="both"/>
              <w:rPr>
                <w:rFonts w:ascii="仿宋" w:hAnsi="仿宋" w:eastAsia="仿宋" w:cs="宋体"/>
                <w:color w:val="auto"/>
                <w:kern w:val="0"/>
                <w:sz w:val="20"/>
                <w:szCs w:val="20"/>
              </w:rPr>
            </w:pPr>
          </w:p>
        </w:tc>
        <w:tc>
          <w:tcPr>
            <w:tcW w:w="1133" w:type="dxa"/>
            <w:vMerge w:val="restart"/>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C22 质量指标</w:t>
            </w: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C221 工资及补助发放率（%）</w:t>
            </w:r>
          </w:p>
        </w:tc>
        <w:tc>
          <w:tcPr>
            <w:tcW w:w="709" w:type="dxa"/>
            <w:vAlign w:val="center"/>
          </w:tcPr>
          <w:p>
            <w:pPr>
              <w:widowControl/>
              <w:jc w:val="both"/>
              <w:rPr>
                <w:rFonts w:hint="eastAsia" w:ascii="仿宋" w:hAnsi="仿宋" w:eastAsia="仿宋" w:cs="宋体"/>
                <w:color w:val="auto"/>
                <w:kern w:val="0"/>
                <w:sz w:val="20"/>
                <w:szCs w:val="20"/>
                <w:lang w:val="en-US" w:eastAsia="zh-CN"/>
              </w:rPr>
            </w:pPr>
            <w:r>
              <w:rPr>
                <w:rFonts w:hint="eastAsia" w:ascii="仿宋" w:hAnsi="仿宋" w:eastAsia="仿宋" w:cs="宋体"/>
                <w:color w:val="auto"/>
                <w:kern w:val="0"/>
                <w:sz w:val="20"/>
                <w:szCs w:val="20"/>
                <w:lang w:val="en-US" w:eastAsia="zh-CN"/>
              </w:rPr>
              <w:t>3</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考察工资及补助发放率</w:t>
            </w:r>
          </w:p>
        </w:tc>
        <w:tc>
          <w:tcPr>
            <w:tcW w:w="1015"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lang w:val="en-US" w:eastAsia="zh-CN"/>
              </w:rPr>
              <w:t>=10</w:t>
            </w:r>
            <w:r>
              <w:rPr>
                <w:rFonts w:hint="eastAsia" w:ascii="仿宋" w:hAnsi="仿宋" w:eastAsia="仿宋" w:cs="宋体"/>
                <w:color w:val="auto"/>
                <w:kern w:val="0"/>
                <w:sz w:val="20"/>
                <w:szCs w:val="20"/>
              </w:rPr>
              <w:t>0%</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相关统计报告、基础表等</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达到目标值得满分，低于则每降低1%扣除5%的权重分值，扣完为止</w:t>
            </w:r>
          </w:p>
        </w:tc>
        <w:tc>
          <w:tcPr>
            <w:tcW w:w="2444" w:type="dxa"/>
            <w:vAlign w:val="center"/>
          </w:tcPr>
          <w:p>
            <w:pPr>
              <w:widowControl/>
              <w:jc w:val="both"/>
              <w:rPr>
                <w:rFonts w:ascii="仿宋" w:hAnsi="仿宋" w:eastAsia="仿宋" w:cs="宋体"/>
                <w:color w:val="auto"/>
                <w:kern w:val="0"/>
                <w:sz w:val="20"/>
                <w:szCs w:val="20"/>
              </w:rPr>
            </w:pPr>
            <w:r>
              <w:rPr>
                <w:rFonts w:ascii="仿宋" w:hAnsi="仿宋" w:eastAsia="仿宋" w:cs="宋体"/>
                <w:color w:val="auto"/>
                <w:kern w:val="0"/>
                <w:sz w:val="20"/>
                <w:szCs w:val="20"/>
              </w:rPr>
              <w:t>根据</w:t>
            </w:r>
            <w:r>
              <w:rPr>
                <w:rFonts w:hint="eastAsia" w:ascii="仿宋" w:hAnsi="仿宋" w:eastAsia="仿宋" w:cs="宋体"/>
                <w:color w:val="auto"/>
                <w:kern w:val="0"/>
                <w:sz w:val="20"/>
                <w:szCs w:val="20"/>
                <w:lang w:val="en-US" w:eastAsia="zh-CN"/>
              </w:rPr>
              <w:t>伽师县市场监督管理局提供的工资表</w:t>
            </w:r>
            <w:r>
              <w:rPr>
                <w:rFonts w:ascii="仿宋" w:hAnsi="仿宋" w:eastAsia="仿宋" w:cs="宋体"/>
                <w:color w:val="auto"/>
                <w:kern w:val="0"/>
                <w:sz w:val="20"/>
                <w:szCs w:val="20"/>
              </w:rPr>
              <w:t>等资料</w:t>
            </w:r>
            <w:r>
              <w:rPr>
                <w:rFonts w:hint="eastAsia" w:ascii="仿宋" w:hAnsi="仿宋" w:eastAsia="仿宋" w:cs="宋体"/>
                <w:color w:val="auto"/>
                <w:kern w:val="0"/>
                <w:sz w:val="20"/>
                <w:szCs w:val="20"/>
                <w:lang w:val="en-US" w:eastAsia="zh-CN"/>
              </w:rPr>
              <w:t>分析，为100%</w:t>
            </w:r>
            <w:r>
              <w:rPr>
                <w:rFonts w:ascii="仿宋" w:hAnsi="仿宋" w:eastAsia="仿宋" w:cs="宋体"/>
                <w:color w:val="auto"/>
                <w:kern w:val="0"/>
                <w:sz w:val="20"/>
                <w:szCs w:val="20"/>
              </w:rPr>
              <w:t>达到目标值。</w:t>
            </w:r>
            <w:r>
              <w:rPr>
                <w:rFonts w:hint="eastAsia" w:ascii="仿宋" w:hAnsi="仿宋" w:eastAsia="仿宋" w:cs="宋体"/>
                <w:color w:val="auto"/>
                <w:kern w:val="0"/>
                <w:sz w:val="20"/>
                <w:szCs w:val="20"/>
                <w:lang w:val="en-US" w:eastAsia="zh-CN"/>
              </w:rPr>
              <w:t>根据评分标准</w:t>
            </w:r>
            <w:r>
              <w:rPr>
                <w:rFonts w:ascii="仿宋" w:hAnsi="仿宋" w:eastAsia="仿宋" w:cs="宋体"/>
                <w:color w:val="auto"/>
                <w:kern w:val="0"/>
                <w:sz w:val="20"/>
                <w:szCs w:val="20"/>
              </w:rPr>
              <w:t>，该项指标得100%权重分。</w:t>
            </w:r>
          </w:p>
        </w:tc>
        <w:tc>
          <w:tcPr>
            <w:tcW w:w="819"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3</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Merge w:val="continue"/>
            <w:vAlign w:val="center"/>
          </w:tcPr>
          <w:p>
            <w:pPr>
              <w:widowControl/>
              <w:jc w:val="both"/>
              <w:rPr>
                <w:rFonts w:ascii="仿宋" w:hAnsi="仿宋" w:eastAsia="仿宋" w:cs="宋体"/>
                <w:color w:val="auto"/>
                <w:kern w:val="0"/>
                <w:sz w:val="20"/>
                <w:szCs w:val="20"/>
              </w:rPr>
            </w:pPr>
          </w:p>
        </w:tc>
        <w:tc>
          <w:tcPr>
            <w:tcW w:w="1133" w:type="dxa"/>
            <w:vMerge w:val="continue"/>
            <w:vAlign w:val="center"/>
          </w:tcPr>
          <w:p>
            <w:pPr>
              <w:widowControl/>
              <w:jc w:val="both"/>
              <w:rPr>
                <w:rFonts w:ascii="仿宋" w:hAnsi="仿宋" w:eastAsia="仿宋" w:cs="宋体"/>
                <w:color w:val="auto"/>
                <w:kern w:val="0"/>
                <w:sz w:val="20"/>
                <w:szCs w:val="20"/>
              </w:rPr>
            </w:pP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C222 保障车辆及办公设备正常运转率（%）</w:t>
            </w:r>
          </w:p>
        </w:tc>
        <w:tc>
          <w:tcPr>
            <w:tcW w:w="709"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3</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考察保障车辆及办公设备正常运转率</w:t>
            </w:r>
          </w:p>
        </w:tc>
        <w:tc>
          <w:tcPr>
            <w:tcW w:w="1015"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lang w:val="en-US" w:eastAsia="zh-CN"/>
              </w:rPr>
              <w:t>=10</w:t>
            </w:r>
            <w:r>
              <w:rPr>
                <w:rFonts w:hint="eastAsia" w:ascii="仿宋" w:hAnsi="仿宋" w:eastAsia="仿宋" w:cs="宋体"/>
                <w:color w:val="auto"/>
                <w:kern w:val="0"/>
                <w:sz w:val="20"/>
                <w:szCs w:val="20"/>
              </w:rPr>
              <w:t>0%</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相关统计报告、基础表等</w:t>
            </w:r>
          </w:p>
        </w:tc>
        <w:tc>
          <w:tcPr>
            <w:tcW w:w="1562" w:type="dxa"/>
            <w:vAlign w:val="center"/>
          </w:tcPr>
          <w:p>
            <w:pPr>
              <w:widowControl/>
              <w:jc w:val="both"/>
              <w:rPr>
                <w:rFonts w:hint="eastAsia" w:ascii="仿宋" w:hAnsi="仿宋" w:eastAsia="仿宋" w:cs="宋体"/>
                <w:color w:val="auto"/>
                <w:kern w:val="0"/>
                <w:sz w:val="20"/>
                <w:szCs w:val="20"/>
                <w:lang w:val="en-US" w:eastAsia="zh-CN"/>
              </w:rPr>
            </w:pPr>
            <w:r>
              <w:rPr>
                <w:rFonts w:hint="eastAsia" w:ascii="仿宋" w:hAnsi="仿宋" w:eastAsia="仿宋" w:cs="宋体"/>
                <w:color w:val="auto"/>
                <w:kern w:val="0"/>
                <w:sz w:val="20"/>
                <w:szCs w:val="20"/>
              </w:rPr>
              <w:t>目标值</w:t>
            </w:r>
            <w:r>
              <w:rPr>
                <w:rFonts w:hint="eastAsia" w:ascii="仿宋" w:hAnsi="仿宋" w:eastAsia="仿宋" w:cs="宋体"/>
                <w:color w:val="auto"/>
                <w:kern w:val="0"/>
                <w:sz w:val="20"/>
                <w:szCs w:val="20"/>
                <w:lang w:val="en-US" w:eastAsia="zh-CN"/>
              </w:rPr>
              <w:t>范围内</w:t>
            </w:r>
            <w:r>
              <w:rPr>
                <w:rFonts w:hint="eastAsia" w:ascii="仿宋" w:hAnsi="仿宋" w:eastAsia="仿宋" w:cs="宋体"/>
                <w:color w:val="auto"/>
                <w:kern w:val="0"/>
                <w:sz w:val="20"/>
                <w:szCs w:val="20"/>
              </w:rPr>
              <w:t>得满分，</w:t>
            </w:r>
            <w:r>
              <w:rPr>
                <w:rFonts w:hint="eastAsia" w:ascii="仿宋" w:hAnsi="仿宋" w:eastAsia="仿宋" w:cs="宋体"/>
                <w:color w:val="auto"/>
                <w:kern w:val="0"/>
                <w:sz w:val="20"/>
                <w:szCs w:val="20"/>
                <w:lang w:val="en-US" w:eastAsia="zh-CN"/>
              </w:rPr>
              <w:t>超出</w:t>
            </w:r>
            <w:r>
              <w:rPr>
                <w:rFonts w:hint="eastAsia" w:ascii="仿宋" w:hAnsi="仿宋" w:eastAsia="仿宋" w:cs="宋体"/>
                <w:color w:val="auto"/>
                <w:kern w:val="0"/>
                <w:sz w:val="20"/>
                <w:szCs w:val="20"/>
              </w:rPr>
              <w:t>则</w:t>
            </w:r>
            <w:r>
              <w:rPr>
                <w:rFonts w:hint="eastAsia" w:ascii="仿宋" w:hAnsi="仿宋" w:eastAsia="仿宋" w:cs="宋体"/>
                <w:color w:val="auto"/>
                <w:kern w:val="0"/>
                <w:sz w:val="20"/>
                <w:szCs w:val="20"/>
                <w:lang w:val="en-US" w:eastAsia="zh-CN"/>
              </w:rPr>
              <w:t>不得分</w:t>
            </w:r>
          </w:p>
        </w:tc>
        <w:tc>
          <w:tcPr>
            <w:tcW w:w="2444" w:type="dxa"/>
            <w:vAlign w:val="center"/>
          </w:tcPr>
          <w:p>
            <w:pPr>
              <w:widowControl/>
              <w:jc w:val="both"/>
              <w:rPr>
                <w:rFonts w:ascii="仿宋" w:hAnsi="仿宋" w:eastAsia="仿宋" w:cs="宋体"/>
                <w:color w:val="auto"/>
                <w:kern w:val="0"/>
                <w:sz w:val="20"/>
                <w:szCs w:val="20"/>
              </w:rPr>
            </w:pPr>
            <w:r>
              <w:rPr>
                <w:rFonts w:ascii="仿宋" w:hAnsi="仿宋" w:eastAsia="仿宋" w:cs="宋体"/>
                <w:color w:val="auto"/>
                <w:kern w:val="0"/>
                <w:sz w:val="20"/>
                <w:szCs w:val="20"/>
              </w:rPr>
              <w:t>根据实地调研访谈</w:t>
            </w:r>
            <w:r>
              <w:rPr>
                <w:rFonts w:hint="eastAsia" w:ascii="仿宋" w:hAnsi="仿宋" w:eastAsia="仿宋" w:cs="宋体"/>
                <w:color w:val="auto"/>
                <w:kern w:val="0"/>
                <w:sz w:val="20"/>
                <w:szCs w:val="20"/>
                <w:lang w:val="en-US" w:eastAsia="zh-CN"/>
              </w:rPr>
              <w:t>及项目资料分析</w:t>
            </w:r>
            <w:r>
              <w:rPr>
                <w:rFonts w:hint="eastAsia" w:ascii="仿宋" w:hAnsi="仿宋" w:eastAsia="仿宋" w:cs="宋体"/>
                <w:color w:val="auto"/>
                <w:kern w:val="0"/>
                <w:sz w:val="20"/>
                <w:szCs w:val="20"/>
                <w:lang w:eastAsia="zh-CN"/>
              </w:rPr>
              <w:t>，</w:t>
            </w:r>
            <w:r>
              <w:rPr>
                <w:rFonts w:hint="eastAsia" w:ascii="仿宋" w:hAnsi="仿宋" w:eastAsia="仿宋" w:cs="宋体"/>
                <w:color w:val="auto"/>
                <w:kern w:val="0"/>
                <w:sz w:val="20"/>
                <w:szCs w:val="20"/>
              </w:rPr>
              <w:t>保障车辆及办公设备正常运转率</w:t>
            </w:r>
            <w:r>
              <w:rPr>
                <w:rFonts w:hint="eastAsia" w:ascii="仿宋" w:hAnsi="仿宋" w:eastAsia="仿宋" w:cs="宋体"/>
                <w:color w:val="auto"/>
                <w:kern w:val="0"/>
                <w:sz w:val="20"/>
                <w:szCs w:val="20"/>
                <w:lang w:val="en-US" w:eastAsia="zh-CN"/>
              </w:rPr>
              <w:t>100％，达到</w:t>
            </w:r>
            <w:r>
              <w:rPr>
                <w:rFonts w:ascii="仿宋" w:hAnsi="仿宋" w:eastAsia="仿宋" w:cs="宋体"/>
                <w:color w:val="auto"/>
                <w:kern w:val="0"/>
                <w:sz w:val="20"/>
                <w:szCs w:val="20"/>
              </w:rPr>
              <w:t>目标值。</w:t>
            </w:r>
            <w:r>
              <w:rPr>
                <w:rFonts w:hint="eastAsia" w:ascii="仿宋" w:hAnsi="仿宋" w:eastAsia="仿宋" w:cs="宋体"/>
                <w:color w:val="auto"/>
                <w:kern w:val="0"/>
                <w:sz w:val="20"/>
                <w:szCs w:val="20"/>
                <w:lang w:val="en-US" w:eastAsia="zh-CN"/>
              </w:rPr>
              <w:t>根据评分标准</w:t>
            </w:r>
            <w:r>
              <w:rPr>
                <w:rFonts w:ascii="仿宋" w:hAnsi="仿宋" w:eastAsia="仿宋" w:cs="宋体"/>
                <w:color w:val="auto"/>
                <w:kern w:val="0"/>
                <w:sz w:val="20"/>
                <w:szCs w:val="20"/>
              </w:rPr>
              <w:t>，该项指标得100%权重分。</w:t>
            </w:r>
          </w:p>
        </w:tc>
        <w:tc>
          <w:tcPr>
            <w:tcW w:w="819"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3</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Merge w:val="continue"/>
            <w:vAlign w:val="center"/>
          </w:tcPr>
          <w:p>
            <w:pPr>
              <w:widowControl/>
              <w:jc w:val="both"/>
              <w:rPr>
                <w:rFonts w:ascii="仿宋" w:hAnsi="仿宋" w:eastAsia="仿宋" w:cs="宋体"/>
                <w:color w:val="auto"/>
                <w:kern w:val="0"/>
                <w:sz w:val="20"/>
                <w:szCs w:val="20"/>
              </w:rPr>
            </w:pPr>
          </w:p>
        </w:tc>
        <w:tc>
          <w:tcPr>
            <w:tcW w:w="1133" w:type="dxa"/>
            <w:vMerge w:val="continue"/>
            <w:vAlign w:val="center"/>
          </w:tcPr>
          <w:p>
            <w:pPr>
              <w:widowControl/>
              <w:jc w:val="both"/>
              <w:rPr>
                <w:rFonts w:ascii="仿宋" w:hAnsi="仿宋" w:eastAsia="仿宋" w:cs="宋体"/>
                <w:color w:val="auto"/>
                <w:kern w:val="0"/>
                <w:sz w:val="20"/>
                <w:szCs w:val="20"/>
              </w:rPr>
            </w:pP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C223 部门预算资金到位率（%）</w:t>
            </w:r>
          </w:p>
        </w:tc>
        <w:tc>
          <w:tcPr>
            <w:tcW w:w="709"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3</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 部门预算资金到位率</w:t>
            </w:r>
          </w:p>
        </w:tc>
        <w:tc>
          <w:tcPr>
            <w:tcW w:w="1015"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lang w:val="en-US" w:eastAsia="zh-CN"/>
              </w:rPr>
              <w:t>=10</w:t>
            </w:r>
            <w:r>
              <w:rPr>
                <w:rFonts w:hint="eastAsia" w:ascii="仿宋" w:hAnsi="仿宋" w:eastAsia="仿宋" w:cs="宋体"/>
                <w:color w:val="auto"/>
                <w:kern w:val="0"/>
                <w:sz w:val="20"/>
                <w:szCs w:val="20"/>
              </w:rPr>
              <w:t>0%</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相关统计报告、基础表等</w:t>
            </w:r>
          </w:p>
        </w:tc>
        <w:tc>
          <w:tcPr>
            <w:tcW w:w="1562" w:type="dxa"/>
            <w:vAlign w:val="center"/>
          </w:tcPr>
          <w:p>
            <w:pPr>
              <w:widowControl/>
              <w:jc w:val="both"/>
              <w:rPr>
                <w:rFonts w:hint="default" w:ascii="仿宋" w:hAnsi="仿宋" w:eastAsia="仿宋" w:cs="宋体"/>
                <w:color w:val="auto"/>
                <w:kern w:val="0"/>
                <w:sz w:val="20"/>
                <w:szCs w:val="20"/>
                <w:lang w:val="en-US" w:eastAsia="zh-CN"/>
              </w:rPr>
            </w:pPr>
            <w:r>
              <w:rPr>
                <w:rFonts w:hint="eastAsia" w:ascii="仿宋" w:hAnsi="仿宋" w:eastAsia="仿宋" w:cs="宋体"/>
                <w:color w:val="auto"/>
                <w:kern w:val="0"/>
                <w:sz w:val="20"/>
                <w:szCs w:val="20"/>
              </w:rPr>
              <w:t>达到目标值</w:t>
            </w:r>
            <w:r>
              <w:rPr>
                <w:rFonts w:hint="eastAsia" w:ascii="仿宋" w:hAnsi="仿宋" w:eastAsia="仿宋" w:cs="宋体"/>
                <w:color w:val="auto"/>
                <w:kern w:val="0"/>
                <w:sz w:val="20"/>
                <w:szCs w:val="20"/>
                <w:lang w:val="en-US" w:eastAsia="zh-CN"/>
              </w:rPr>
              <w:t>范围内</w:t>
            </w:r>
            <w:r>
              <w:rPr>
                <w:rFonts w:hint="eastAsia" w:ascii="仿宋" w:hAnsi="仿宋" w:eastAsia="仿宋" w:cs="宋体"/>
                <w:color w:val="auto"/>
                <w:kern w:val="0"/>
                <w:sz w:val="20"/>
                <w:szCs w:val="20"/>
              </w:rPr>
              <w:t>得满分，</w:t>
            </w:r>
            <w:r>
              <w:rPr>
                <w:rFonts w:hint="eastAsia" w:ascii="仿宋" w:hAnsi="仿宋" w:eastAsia="仿宋" w:cs="宋体"/>
                <w:color w:val="auto"/>
                <w:kern w:val="0"/>
                <w:sz w:val="20"/>
                <w:szCs w:val="20"/>
                <w:lang w:val="en-US" w:eastAsia="zh-CN"/>
              </w:rPr>
              <w:t>超出则不得分</w:t>
            </w:r>
          </w:p>
        </w:tc>
        <w:tc>
          <w:tcPr>
            <w:tcW w:w="2444" w:type="dxa"/>
            <w:vAlign w:val="center"/>
          </w:tcPr>
          <w:p>
            <w:pPr>
              <w:widowControl/>
              <w:jc w:val="both"/>
              <w:rPr>
                <w:rFonts w:ascii="仿宋" w:hAnsi="仿宋" w:eastAsia="仿宋" w:cs="宋体"/>
                <w:color w:val="auto"/>
                <w:kern w:val="0"/>
                <w:sz w:val="20"/>
                <w:szCs w:val="20"/>
              </w:rPr>
            </w:pPr>
            <w:r>
              <w:rPr>
                <w:rFonts w:ascii="仿宋" w:hAnsi="仿宋" w:eastAsia="仿宋" w:cs="宋体"/>
                <w:color w:val="auto"/>
                <w:kern w:val="0"/>
                <w:sz w:val="20"/>
                <w:szCs w:val="20"/>
              </w:rPr>
              <w:t>根据单位提供的相关统计报告等</w:t>
            </w:r>
            <w:r>
              <w:rPr>
                <w:rFonts w:hint="eastAsia" w:ascii="仿宋" w:hAnsi="仿宋" w:eastAsia="仿宋" w:cs="宋体"/>
                <w:color w:val="auto"/>
                <w:kern w:val="0"/>
                <w:sz w:val="20"/>
                <w:szCs w:val="20"/>
                <w:lang w:val="en-US" w:eastAsia="zh-CN"/>
              </w:rPr>
              <w:t>情况分析，</w:t>
            </w:r>
            <w:r>
              <w:rPr>
                <w:rFonts w:hint="eastAsia" w:ascii="仿宋" w:hAnsi="仿宋" w:eastAsia="仿宋" w:cs="宋体"/>
                <w:color w:val="auto"/>
                <w:kern w:val="0"/>
                <w:sz w:val="20"/>
                <w:szCs w:val="20"/>
              </w:rPr>
              <w:t xml:space="preserve"> 部门预算资金到位率</w:t>
            </w:r>
            <w:r>
              <w:rPr>
                <w:rFonts w:hint="eastAsia" w:ascii="仿宋" w:hAnsi="仿宋" w:eastAsia="仿宋" w:cs="宋体"/>
                <w:color w:val="auto"/>
                <w:kern w:val="0"/>
                <w:sz w:val="20"/>
                <w:szCs w:val="20"/>
                <w:lang w:val="en-US" w:eastAsia="zh-CN"/>
              </w:rPr>
              <w:t>10</w:t>
            </w:r>
            <w:r>
              <w:rPr>
                <w:rFonts w:hint="default" w:ascii="仿宋" w:hAnsi="仿宋" w:eastAsia="仿宋" w:cs="宋体"/>
                <w:color w:val="auto"/>
                <w:kern w:val="0"/>
                <w:sz w:val="20"/>
                <w:szCs w:val="20"/>
                <w:lang w:val="en-US" w:eastAsia="zh-CN"/>
              </w:rPr>
              <w:t>0%</w:t>
            </w:r>
            <w:r>
              <w:rPr>
                <w:rFonts w:hint="eastAsia" w:ascii="仿宋" w:hAnsi="仿宋" w:eastAsia="仿宋" w:cs="宋体"/>
                <w:color w:val="auto"/>
                <w:kern w:val="0"/>
                <w:sz w:val="20"/>
                <w:szCs w:val="20"/>
                <w:lang w:val="en-US" w:eastAsia="zh-CN"/>
              </w:rPr>
              <w:t>，达到</w:t>
            </w:r>
            <w:r>
              <w:rPr>
                <w:rFonts w:ascii="仿宋" w:hAnsi="仿宋" w:eastAsia="仿宋" w:cs="宋体"/>
                <w:color w:val="auto"/>
                <w:kern w:val="0"/>
                <w:sz w:val="20"/>
                <w:szCs w:val="20"/>
              </w:rPr>
              <w:t>目标值。</w:t>
            </w:r>
            <w:r>
              <w:rPr>
                <w:rFonts w:hint="eastAsia" w:ascii="仿宋" w:hAnsi="仿宋" w:eastAsia="仿宋" w:cs="宋体"/>
                <w:color w:val="auto"/>
                <w:kern w:val="0"/>
                <w:sz w:val="20"/>
                <w:szCs w:val="20"/>
                <w:lang w:val="en-US" w:eastAsia="zh-CN"/>
              </w:rPr>
              <w:t>根据评分标准</w:t>
            </w:r>
            <w:r>
              <w:rPr>
                <w:rFonts w:ascii="仿宋" w:hAnsi="仿宋" w:eastAsia="仿宋" w:cs="宋体"/>
                <w:color w:val="auto"/>
                <w:kern w:val="0"/>
                <w:sz w:val="20"/>
                <w:szCs w:val="20"/>
              </w:rPr>
              <w:t>，该项指标得100%权重分。</w:t>
            </w:r>
          </w:p>
        </w:tc>
        <w:tc>
          <w:tcPr>
            <w:tcW w:w="819"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3</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Merge w:val="continue"/>
            <w:vAlign w:val="center"/>
          </w:tcPr>
          <w:p>
            <w:pPr>
              <w:widowControl/>
              <w:jc w:val="both"/>
              <w:rPr>
                <w:rFonts w:ascii="仿宋" w:hAnsi="仿宋" w:eastAsia="仿宋" w:cs="宋体"/>
                <w:color w:val="auto"/>
                <w:kern w:val="0"/>
                <w:sz w:val="20"/>
                <w:szCs w:val="20"/>
              </w:rPr>
            </w:pPr>
          </w:p>
        </w:tc>
        <w:tc>
          <w:tcPr>
            <w:tcW w:w="1133" w:type="dxa"/>
            <w:vMerge w:val="restart"/>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C23 时效指标</w:t>
            </w: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C231 工资及补助发放及时率（%）</w:t>
            </w:r>
          </w:p>
        </w:tc>
        <w:tc>
          <w:tcPr>
            <w:tcW w:w="709"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3</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考察工资及补助发放及时率</w:t>
            </w:r>
          </w:p>
        </w:tc>
        <w:tc>
          <w:tcPr>
            <w:tcW w:w="1015"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lang w:val="en-US" w:eastAsia="zh-CN"/>
              </w:rPr>
              <w:t>=10</w:t>
            </w:r>
            <w:r>
              <w:rPr>
                <w:rFonts w:hint="eastAsia" w:ascii="仿宋" w:hAnsi="仿宋" w:eastAsia="仿宋" w:cs="宋体"/>
                <w:color w:val="auto"/>
                <w:kern w:val="0"/>
                <w:sz w:val="20"/>
                <w:szCs w:val="20"/>
              </w:rPr>
              <w:t>0%</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相关统计报告、基础表等</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达到目标值得满分，低于则每降低1%扣除5%的权重分值，扣完为止</w:t>
            </w:r>
          </w:p>
        </w:tc>
        <w:tc>
          <w:tcPr>
            <w:tcW w:w="2444" w:type="dxa"/>
            <w:vAlign w:val="center"/>
          </w:tcPr>
          <w:p>
            <w:pPr>
              <w:widowControl/>
              <w:jc w:val="both"/>
              <w:rPr>
                <w:rFonts w:ascii="仿宋" w:hAnsi="仿宋" w:eastAsia="仿宋" w:cs="宋体"/>
                <w:color w:val="auto"/>
                <w:kern w:val="0"/>
                <w:sz w:val="20"/>
                <w:szCs w:val="20"/>
              </w:rPr>
            </w:pPr>
            <w:r>
              <w:rPr>
                <w:rFonts w:ascii="仿宋" w:hAnsi="仿宋" w:eastAsia="仿宋" w:cs="宋体"/>
                <w:color w:val="auto"/>
                <w:kern w:val="0"/>
                <w:sz w:val="20"/>
                <w:szCs w:val="20"/>
              </w:rPr>
              <w:t>根据单位提供的相关统计报告等</w:t>
            </w:r>
            <w:r>
              <w:rPr>
                <w:rFonts w:hint="eastAsia" w:ascii="仿宋" w:hAnsi="仿宋" w:eastAsia="仿宋" w:cs="宋体"/>
                <w:color w:val="auto"/>
                <w:kern w:val="0"/>
                <w:sz w:val="20"/>
                <w:szCs w:val="20"/>
                <w:lang w:val="en-US" w:eastAsia="zh-CN"/>
              </w:rPr>
              <w:t>情况分析，</w:t>
            </w:r>
            <w:r>
              <w:rPr>
                <w:rFonts w:hint="eastAsia" w:ascii="仿宋" w:hAnsi="仿宋" w:eastAsia="仿宋" w:cs="宋体"/>
                <w:color w:val="auto"/>
                <w:kern w:val="0"/>
                <w:sz w:val="20"/>
                <w:szCs w:val="20"/>
              </w:rPr>
              <w:t xml:space="preserve"> 工资及补助发放及时率</w:t>
            </w:r>
            <w:r>
              <w:rPr>
                <w:rFonts w:hint="eastAsia" w:ascii="仿宋" w:hAnsi="仿宋" w:eastAsia="仿宋" w:cs="宋体"/>
                <w:color w:val="auto"/>
                <w:kern w:val="0"/>
                <w:sz w:val="20"/>
                <w:szCs w:val="20"/>
                <w:lang w:val="en-US" w:eastAsia="zh-CN"/>
              </w:rPr>
              <w:t>10</w:t>
            </w:r>
            <w:r>
              <w:rPr>
                <w:rFonts w:hint="default" w:ascii="仿宋" w:hAnsi="仿宋" w:eastAsia="仿宋" w:cs="宋体"/>
                <w:color w:val="auto"/>
                <w:kern w:val="0"/>
                <w:sz w:val="20"/>
                <w:szCs w:val="20"/>
                <w:lang w:val="en-US" w:eastAsia="zh-CN"/>
              </w:rPr>
              <w:t>0%</w:t>
            </w:r>
            <w:r>
              <w:rPr>
                <w:rFonts w:hint="eastAsia" w:ascii="仿宋" w:hAnsi="仿宋" w:eastAsia="仿宋" w:cs="宋体"/>
                <w:color w:val="auto"/>
                <w:kern w:val="0"/>
                <w:sz w:val="20"/>
                <w:szCs w:val="20"/>
                <w:lang w:val="en-US" w:eastAsia="zh-CN"/>
              </w:rPr>
              <w:t>，达到</w:t>
            </w:r>
            <w:r>
              <w:rPr>
                <w:rFonts w:ascii="仿宋" w:hAnsi="仿宋" w:eastAsia="仿宋" w:cs="宋体"/>
                <w:color w:val="auto"/>
                <w:kern w:val="0"/>
                <w:sz w:val="20"/>
                <w:szCs w:val="20"/>
              </w:rPr>
              <w:t>目标值。</w:t>
            </w:r>
            <w:r>
              <w:rPr>
                <w:rFonts w:hint="eastAsia" w:ascii="仿宋" w:hAnsi="仿宋" w:eastAsia="仿宋" w:cs="宋体"/>
                <w:color w:val="auto"/>
                <w:kern w:val="0"/>
                <w:sz w:val="20"/>
                <w:szCs w:val="20"/>
                <w:lang w:val="en-US" w:eastAsia="zh-CN"/>
              </w:rPr>
              <w:t>根据评分标准</w:t>
            </w:r>
            <w:r>
              <w:rPr>
                <w:rFonts w:ascii="仿宋" w:hAnsi="仿宋" w:eastAsia="仿宋" w:cs="宋体"/>
                <w:color w:val="auto"/>
                <w:kern w:val="0"/>
                <w:sz w:val="20"/>
                <w:szCs w:val="20"/>
              </w:rPr>
              <w:t>，该项指标得100%权重分。</w:t>
            </w:r>
          </w:p>
        </w:tc>
        <w:tc>
          <w:tcPr>
            <w:tcW w:w="819"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3</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1" w:type="dxa"/>
            <w:vMerge w:val="restart"/>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C 部门绩效（50分）</w:t>
            </w:r>
          </w:p>
        </w:tc>
        <w:tc>
          <w:tcPr>
            <w:tcW w:w="1058" w:type="dxa"/>
            <w:vMerge w:val="restart"/>
            <w:vAlign w:val="center"/>
          </w:tcPr>
          <w:p>
            <w:pPr>
              <w:widowControl/>
              <w:jc w:val="both"/>
              <w:rPr>
                <w:rFonts w:ascii="仿宋" w:hAnsi="仿宋" w:eastAsia="仿宋" w:cs="宋体"/>
                <w:color w:val="auto"/>
                <w:kern w:val="0"/>
                <w:sz w:val="20"/>
                <w:szCs w:val="20"/>
              </w:rPr>
            </w:pPr>
          </w:p>
        </w:tc>
        <w:tc>
          <w:tcPr>
            <w:tcW w:w="1133" w:type="dxa"/>
            <w:vMerge w:val="continue"/>
            <w:vAlign w:val="center"/>
          </w:tcPr>
          <w:p>
            <w:pPr>
              <w:widowControl/>
              <w:jc w:val="both"/>
              <w:rPr>
                <w:rFonts w:hint="eastAsia" w:ascii="仿宋" w:hAnsi="仿宋" w:eastAsia="仿宋" w:cs="宋体"/>
                <w:color w:val="auto"/>
                <w:kern w:val="0"/>
                <w:sz w:val="20"/>
                <w:szCs w:val="20"/>
              </w:rPr>
            </w:pPr>
          </w:p>
        </w:tc>
        <w:tc>
          <w:tcPr>
            <w:tcW w:w="1139" w:type="dxa"/>
            <w:vAlign w:val="center"/>
          </w:tcPr>
          <w:p>
            <w:pPr>
              <w:widowControl/>
              <w:jc w:val="both"/>
              <w:rPr>
                <w:rFonts w:hint="eastAsia" w:ascii="仿宋" w:hAnsi="仿宋" w:eastAsia="仿宋" w:cs="宋体"/>
                <w:color w:val="auto"/>
                <w:kern w:val="0"/>
                <w:sz w:val="20"/>
                <w:szCs w:val="20"/>
              </w:rPr>
            </w:pPr>
            <w:r>
              <w:rPr>
                <w:rFonts w:hint="eastAsia" w:ascii="仿宋" w:hAnsi="仿宋" w:eastAsia="仿宋" w:cs="宋体"/>
                <w:color w:val="auto"/>
                <w:kern w:val="0"/>
                <w:sz w:val="20"/>
                <w:szCs w:val="20"/>
              </w:rPr>
              <w:t>C23</w:t>
            </w:r>
            <w:r>
              <w:rPr>
                <w:rFonts w:hint="eastAsia" w:ascii="仿宋" w:hAnsi="仿宋" w:eastAsia="仿宋" w:cs="宋体"/>
                <w:color w:val="auto"/>
                <w:kern w:val="0"/>
                <w:sz w:val="20"/>
                <w:szCs w:val="20"/>
                <w:lang w:val="en-US" w:eastAsia="zh-CN"/>
              </w:rPr>
              <w:t>2</w:t>
            </w:r>
            <w:r>
              <w:rPr>
                <w:rFonts w:hint="eastAsia" w:ascii="仿宋" w:hAnsi="仿宋" w:eastAsia="仿宋" w:cs="宋体"/>
                <w:color w:val="auto"/>
                <w:kern w:val="0"/>
                <w:sz w:val="20"/>
                <w:szCs w:val="20"/>
              </w:rPr>
              <w:t>项目截止期限</w:t>
            </w:r>
          </w:p>
        </w:tc>
        <w:tc>
          <w:tcPr>
            <w:tcW w:w="709" w:type="dxa"/>
            <w:vAlign w:val="center"/>
          </w:tcPr>
          <w:p>
            <w:pPr>
              <w:widowControl/>
              <w:jc w:val="both"/>
              <w:rPr>
                <w:rFonts w:hint="eastAsia" w:ascii="仿宋" w:hAnsi="仿宋" w:eastAsia="仿宋" w:cs="宋体"/>
                <w:color w:val="auto"/>
                <w:kern w:val="0"/>
                <w:sz w:val="20"/>
                <w:szCs w:val="20"/>
                <w:lang w:val="en-US" w:eastAsia="zh-CN"/>
              </w:rPr>
            </w:pPr>
            <w:r>
              <w:rPr>
                <w:rFonts w:hint="eastAsia" w:ascii="仿宋" w:hAnsi="仿宋" w:eastAsia="仿宋" w:cs="宋体"/>
                <w:color w:val="auto"/>
                <w:kern w:val="0"/>
                <w:sz w:val="20"/>
                <w:szCs w:val="20"/>
                <w:lang w:val="en-US" w:eastAsia="zh-CN"/>
              </w:rPr>
              <w:t>3</w:t>
            </w:r>
          </w:p>
        </w:tc>
        <w:tc>
          <w:tcPr>
            <w:tcW w:w="1047" w:type="dxa"/>
            <w:vAlign w:val="center"/>
          </w:tcPr>
          <w:p>
            <w:pPr>
              <w:widowControl/>
              <w:jc w:val="both"/>
              <w:rPr>
                <w:rFonts w:hint="eastAsia" w:ascii="仿宋" w:hAnsi="仿宋" w:eastAsia="仿宋" w:cs="宋体"/>
                <w:color w:val="auto"/>
                <w:kern w:val="0"/>
                <w:sz w:val="20"/>
                <w:szCs w:val="20"/>
              </w:rPr>
            </w:pPr>
            <w:r>
              <w:rPr>
                <w:rFonts w:hint="eastAsia" w:ascii="仿宋" w:hAnsi="仿宋" w:eastAsia="仿宋" w:cs="宋体"/>
                <w:color w:val="auto"/>
                <w:kern w:val="0"/>
                <w:sz w:val="20"/>
                <w:szCs w:val="20"/>
              </w:rPr>
              <w:t>考察项目截止期限</w:t>
            </w:r>
          </w:p>
        </w:tc>
        <w:tc>
          <w:tcPr>
            <w:tcW w:w="1015"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2022年12月20日</w:t>
            </w:r>
          </w:p>
        </w:tc>
        <w:tc>
          <w:tcPr>
            <w:tcW w:w="1057" w:type="dxa"/>
            <w:vAlign w:val="center"/>
          </w:tcPr>
          <w:p>
            <w:pPr>
              <w:widowControl/>
              <w:jc w:val="both"/>
              <w:rPr>
                <w:rFonts w:hint="eastAsia" w:ascii="仿宋" w:hAnsi="仿宋" w:eastAsia="仿宋" w:cs="宋体"/>
                <w:color w:val="auto"/>
                <w:kern w:val="0"/>
                <w:sz w:val="20"/>
                <w:szCs w:val="20"/>
              </w:rPr>
            </w:pPr>
            <w:r>
              <w:rPr>
                <w:rFonts w:hint="eastAsia" w:ascii="仿宋" w:hAnsi="仿宋" w:eastAsia="仿宋" w:cs="宋体"/>
                <w:color w:val="auto"/>
                <w:kern w:val="0"/>
                <w:sz w:val="20"/>
                <w:szCs w:val="20"/>
              </w:rPr>
              <w:t>相关统计报告、基础表等</w:t>
            </w:r>
          </w:p>
        </w:tc>
        <w:tc>
          <w:tcPr>
            <w:tcW w:w="1562" w:type="dxa"/>
            <w:vAlign w:val="center"/>
          </w:tcPr>
          <w:p>
            <w:pPr>
              <w:widowControl/>
              <w:jc w:val="both"/>
              <w:rPr>
                <w:rFonts w:hint="eastAsia" w:ascii="仿宋" w:hAnsi="仿宋" w:eastAsia="仿宋" w:cs="宋体"/>
                <w:color w:val="auto"/>
                <w:kern w:val="0"/>
                <w:sz w:val="20"/>
                <w:szCs w:val="20"/>
              </w:rPr>
            </w:pPr>
            <w:r>
              <w:rPr>
                <w:rFonts w:hint="eastAsia" w:ascii="仿宋" w:hAnsi="仿宋" w:eastAsia="仿宋" w:cs="宋体"/>
                <w:color w:val="auto"/>
                <w:kern w:val="0"/>
                <w:sz w:val="20"/>
                <w:szCs w:val="20"/>
              </w:rPr>
              <w:t>达到目标值得满分，低于则每降低1%扣除5%的权重分值，扣完为止</w:t>
            </w:r>
          </w:p>
        </w:tc>
        <w:tc>
          <w:tcPr>
            <w:tcW w:w="2444" w:type="dxa"/>
            <w:vAlign w:val="center"/>
          </w:tcPr>
          <w:p>
            <w:pPr>
              <w:widowControl/>
              <w:jc w:val="both"/>
              <w:rPr>
                <w:rFonts w:ascii="仿宋" w:hAnsi="仿宋" w:eastAsia="仿宋" w:cs="宋体"/>
                <w:color w:val="auto"/>
                <w:kern w:val="0"/>
                <w:sz w:val="20"/>
                <w:szCs w:val="20"/>
              </w:rPr>
            </w:pPr>
            <w:r>
              <w:rPr>
                <w:rFonts w:ascii="仿宋" w:hAnsi="仿宋" w:eastAsia="仿宋" w:cs="宋体"/>
                <w:color w:val="auto"/>
                <w:kern w:val="0"/>
                <w:sz w:val="20"/>
                <w:szCs w:val="20"/>
              </w:rPr>
              <w:t>根据单位提供的相关统计报告等</w:t>
            </w:r>
            <w:r>
              <w:rPr>
                <w:rFonts w:hint="eastAsia" w:ascii="仿宋" w:hAnsi="仿宋" w:eastAsia="仿宋" w:cs="宋体"/>
                <w:color w:val="auto"/>
                <w:kern w:val="0"/>
                <w:sz w:val="20"/>
                <w:szCs w:val="20"/>
                <w:lang w:val="en-US" w:eastAsia="zh-CN"/>
              </w:rPr>
              <w:t>情况分析，</w:t>
            </w:r>
            <w:r>
              <w:rPr>
                <w:rFonts w:hint="eastAsia" w:ascii="仿宋" w:hAnsi="仿宋" w:eastAsia="仿宋" w:cs="宋体"/>
                <w:color w:val="auto"/>
                <w:kern w:val="0"/>
                <w:sz w:val="20"/>
                <w:szCs w:val="20"/>
              </w:rPr>
              <w:t xml:space="preserve"> </w:t>
            </w:r>
            <w:r>
              <w:rPr>
                <w:rFonts w:hint="eastAsia" w:ascii="仿宋" w:hAnsi="仿宋" w:eastAsia="仿宋" w:cs="宋体"/>
                <w:color w:val="auto"/>
                <w:kern w:val="0"/>
                <w:sz w:val="20"/>
                <w:szCs w:val="20"/>
                <w:lang w:val="en-US" w:eastAsia="zh-CN"/>
              </w:rPr>
              <w:t>项目截止期限2022年12月20日，达到</w:t>
            </w:r>
            <w:r>
              <w:rPr>
                <w:rFonts w:ascii="仿宋" w:hAnsi="仿宋" w:eastAsia="仿宋" w:cs="宋体"/>
                <w:color w:val="auto"/>
                <w:kern w:val="0"/>
                <w:sz w:val="20"/>
                <w:szCs w:val="20"/>
              </w:rPr>
              <w:t>目标值。</w:t>
            </w:r>
            <w:r>
              <w:rPr>
                <w:rFonts w:hint="eastAsia" w:ascii="仿宋" w:hAnsi="仿宋" w:eastAsia="仿宋" w:cs="宋体"/>
                <w:color w:val="auto"/>
                <w:kern w:val="0"/>
                <w:sz w:val="20"/>
                <w:szCs w:val="20"/>
                <w:lang w:val="en-US" w:eastAsia="zh-CN"/>
              </w:rPr>
              <w:t>根据评分标准</w:t>
            </w:r>
            <w:r>
              <w:rPr>
                <w:rFonts w:ascii="仿宋" w:hAnsi="仿宋" w:eastAsia="仿宋" w:cs="宋体"/>
                <w:color w:val="auto"/>
                <w:kern w:val="0"/>
                <w:sz w:val="20"/>
                <w:szCs w:val="20"/>
              </w:rPr>
              <w:t>，该项指标得100%权重分。</w:t>
            </w:r>
          </w:p>
        </w:tc>
        <w:tc>
          <w:tcPr>
            <w:tcW w:w="819" w:type="dxa"/>
            <w:vAlign w:val="center"/>
          </w:tcPr>
          <w:p>
            <w:pPr>
              <w:widowControl/>
              <w:jc w:val="both"/>
              <w:rPr>
                <w:rFonts w:hint="eastAsia" w:ascii="仿宋" w:hAnsi="仿宋" w:eastAsia="仿宋" w:cs="宋体"/>
                <w:color w:val="auto"/>
                <w:kern w:val="0"/>
                <w:sz w:val="20"/>
                <w:szCs w:val="20"/>
                <w:lang w:val="en-US" w:eastAsia="zh-CN"/>
              </w:rPr>
            </w:pPr>
            <w:r>
              <w:rPr>
                <w:rFonts w:hint="eastAsia" w:ascii="仿宋" w:hAnsi="仿宋" w:eastAsia="仿宋" w:cs="宋体"/>
                <w:color w:val="auto"/>
                <w:kern w:val="0"/>
                <w:sz w:val="20"/>
                <w:szCs w:val="20"/>
                <w:lang w:val="en-US" w:eastAsia="zh-CN"/>
              </w:rPr>
              <w:t>3</w:t>
            </w:r>
          </w:p>
        </w:tc>
        <w:tc>
          <w:tcPr>
            <w:tcW w:w="901" w:type="dxa"/>
            <w:vAlign w:val="center"/>
          </w:tcPr>
          <w:p>
            <w:pPr>
              <w:widowControl/>
              <w:jc w:val="both"/>
              <w:rPr>
                <w:rFonts w:hint="default" w:ascii="仿宋" w:hAnsi="仿宋" w:eastAsia="仿宋" w:cs="宋体"/>
                <w:color w:val="auto"/>
                <w:kern w:val="0"/>
                <w:sz w:val="20"/>
                <w:szCs w:val="20"/>
                <w:lang w:val="en-US" w:eastAsia="zh-CN"/>
              </w:rPr>
            </w:pPr>
            <w:r>
              <w:rPr>
                <w:rFonts w:hint="eastAsia" w:ascii="仿宋" w:hAnsi="仿宋" w:eastAsia="仿宋" w:cs="宋体"/>
                <w:color w:val="auto"/>
                <w:kern w:val="0"/>
                <w:sz w:val="20"/>
                <w:szCs w:val="20"/>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Merge w:val="continue"/>
            <w:vAlign w:val="center"/>
          </w:tcPr>
          <w:p>
            <w:pPr>
              <w:widowControl/>
              <w:jc w:val="both"/>
              <w:rPr>
                <w:rFonts w:ascii="仿宋" w:hAnsi="仿宋" w:eastAsia="仿宋" w:cs="宋体"/>
                <w:color w:val="auto"/>
                <w:kern w:val="0"/>
                <w:sz w:val="20"/>
                <w:szCs w:val="20"/>
              </w:rPr>
            </w:pPr>
          </w:p>
        </w:tc>
        <w:tc>
          <w:tcPr>
            <w:tcW w:w="1133" w:type="dxa"/>
            <w:vMerge w:val="restart"/>
            <w:vAlign w:val="center"/>
          </w:tcPr>
          <w:p>
            <w:pPr>
              <w:widowControl/>
              <w:jc w:val="both"/>
              <w:rPr>
                <w:rFonts w:hint="default" w:ascii="仿宋" w:hAnsi="仿宋" w:eastAsia="仿宋" w:cs="宋体"/>
                <w:color w:val="auto"/>
                <w:kern w:val="0"/>
                <w:sz w:val="20"/>
                <w:szCs w:val="20"/>
                <w:lang w:val="en-US" w:eastAsia="zh-CN"/>
              </w:rPr>
            </w:pPr>
            <w:r>
              <w:rPr>
                <w:rFonts w:hint="eastAsia" w:ascii="仿宋" w:hAnsi="仿宋" w:eastAsia="仿宋" w:cs="宋体"/>
                <w:color w:val="auto"/>
                <w:kern w:val="0"/>
                <w:sz w:val="20"/>
                <w:szCs w:val="20"/>
                <w:lang w:val="en-US" w:eastAsia="zh-CN"/>
              </w:rPr>
              <w:t>C24成本指标</w:t>
            </w:r>
          </w:p>
        </w:tc>
        <w:tc>
          <w:tcPr>
            <w:tcW w:w="1139" w:type="dxa"/>
            <w:vAlign w:val="center"/>
          </w:tcPr>
          <w:p>
            <w:pPr>
              <w:widowControl/>
              <w:jc w:val="both"/>
              <w:rPr>
                <w:rFonts w:hint="eastAsia" w:ascii="仿宋" w:hAnsi="仿宋" w:eastAsia="仿宋" w:cs="宋体"/>
                <w:color w:val="auto"/>
                <w:kern w:val="0"/>
                <w:sz w:val="20"/>
                <w:szCs w:val="20"/>
                <w:lang w:val="en-US" w:eastAsia="zh-CN" w:bidi="ar-SA"/>
              </w:rPr>
            </w:pPr>
            <w:r>
              <w:rPr>
                <w:rFonts w:hint="eastAsia" w:ascii="仿宋" w:hAnsi="仿宋" w:eastAsia="仿宋" w:cs="宋体"/>
                <w:color w:val="auto"/>
                <w:kern w:val="0"/>
                <w:sz w:val="20"/>
                <w:szCs w:val="20"/>
                <w:lang w:val="en-US" w:eastAsia="zh-CN"/>
              </w:rPr>
              <w:t>C241人员经费支出总额（万元）</w:t>
            </w:r>
          </w:p>
        </w:tc>
        <w:tc>
          <w:tcPr>
            <w:tcW w:w="709" w:type="dxa"/>
            <w:vAlign w:val="center"/>
          </w:tcPr>
          <w:p>
            <w:pPr>
              <w:widowControl/>
              <w:jc w:val="both"/>
              <w:rPr>
                <w:rFonts w:hint="default" w:ascii="仿宋" w:hAnsi="仿宋" w:eastAsia="仿宋" w:cs="宋体"/>
                <w:color w:val="auto"/>
                <w:kern w:val="0"/>
                <w:sz w:val="20"/>
                <w:szCs w:val="20"/>
                <w:lang w:val="en-US" w:eastAsia="zh-CN"/>
              </w:rPr>
            </w:pPr>
            <w:r>
              <w:rPr>
                <w:rFonts w:hint="eastAsia" w:ascii="仿宋" w:hAnsi="仿宋" w:eastAsia="仿宋" w:cs="宋体"/>
                <w:color w:val="auto"/>
                <w:kern w:val="0"/>
                <w:sz w:val="20"/>
                <w:szCs w:val="20"/>
                <w:lang w:val="en-US" w:eastAsia="zh-CN"/>
              </w:rPr>
              <w:t>2</w:t>
            </w:r>
          </w:p>
        </w:tc>
        <w:tc>
          <w:tcPr>
            <w:tcW w:w="1047" w:type="dxa"/>
            <w:vAlign w:val="center"/>
          </w:tcPr>
          <w:p>
            <w:pPr>
              <w:widowControl/>
              <w:jc w:val="both"/>
              <w:rPr>
                <w:rFonts w:hint="eastAsia" w:ascii="仿宋" w:hAnsi="仿宋" w:eastAsia="仿宋" w:cs="宋体"/>
                <w:color w:val="auto"/>
                <w:kern w:val="0"/>
                <w:sz w:val="20"/>
                <w:szCs w:val="20"/>
                <w:lang w:val="en-US" w:eastAsia="zh-CN"/>
              </w:rPr>
            </w:pPr>
            <w:r>
              <w:rPr>
                <w:rFonts w:hint="eastAsia" w:ascii="仿宋" w:hAnsi="仿宋" w:eastAsia="仿宋" w:cs="宋体"/>
                <w:color w:val="auto"/>
                <w:kern w:val="0"/>
                <w:sz w:val="20"/>
                <w:szCs w:val="20"/>
              </w:rPr>
              <w:t>考察项目</w:t>
            </w:r>
            <w:r>
              <w:rPr>
                <w:rFonts w:hint="eastAsia" w:ascii="仿宋" w:hAnsi="仿宋" w:eastAsia="仿宋" w:cs="宋体"/>
                <w:color w:val="auto"/>
                <w:kern w:val="0"/>
                <w:sz w:val="20"/>
                <w:szCs w:val="20"/>
                <w:lang w:val="en-US" w:eastAsia="zh-CN"/>
              </w:rPr>
              <w:t>成本</w:t>
            </w:r>
          </w:p>
        </w:tc>
        <w:tc>
          <w:tcPr>
            <w:tcW w:w="1015" w:type="dxa"/>
            <w:vAlign w:val="center"/>
          </w:tcPr>
          <w:p>
            <w:pPr>
              <w:widowControl/>
              <w:jc w:val="both"/>
              <w:rPr>
                <w:rFonts w:hint="default" w:ascii="仿宋" w:hAnsi="仿宋" w:eastAsia="仿宋" w:cs="宋体"/>
                <w:color w:val="auto"/>
                <w:kern w:val="0"/>
                <w:sz w:val="20"/>
                <w:szCs w:val="20"/>
                <w:lang w:val="en-US" w:eastAsia="zh-CN"/>
              </w:rPr>
            </w:pPr>
            <w:r>
              <w:rPr>
                <w:rFonts w:hint="eastAsia" w:ascii="仿宋" w:hAnsi="仿宋" w:eastAsia="仿宋" w:cs="宋体"/>
                <w:color w:val="auto"/>
                <w:kern w:val="0"/>
                <w:sz w:val="20"/>
                <w:szCs w:val="20"/>
                <w:lang w:val="en-US" w:eastAsia="zh-CN"/>
              </w:rPr>
              <w:t>≤804.4</w:t>
            </w:r>
          </w:p>
        </w:tc>
        <w:tc>
          <w:tcPr>
            <w:tcW w:w="1057" w:type="dxa"/>
            <w:vAlign w:val="center"/>
          </w:tcPr>
          <w:p>
            <w:pPr>
              <w:widowControl/>
              <w:jc w:val="both"/>
              <w:rPr>
                <w:rFonts w:hint="eastAsia" w:ascii="仿宋" w:hAnsi="仿宋" w:eastAsia="仿宋" w:cs="宋体"/>
                <w:color w:val="auto"/>
                <w:kern w:val="0"/>
                <w:sz w:val="20"/>
                <w:szCs w:val="20"/>
              </w:rPr>
            </w:pPr>
            <w:r>
              <w:rPr>
                <w:rFonts w:hint="eastAsia" w:ascii="仿宋" w:hAnsi="仿宋" w:eastAsia="仿宋" w:cs="宋体"/>
                <w:color w:val="auto"/>
                <w:kern w:val="0"/>
                <w:sz w:val="20"/>
                <w:szCs w:val="20"/>
              </w:rPr>
              <w:t>相关统计报告、基础表等</w:t>
            </w:r>
          </w:p>
        </w:tc>
        <w:tc>
          <w:tcPr>
            <w:tcW w:w="1562" w:type="dxa"/>
            <w:vAlign w:val="center"/>
          </w:tcPr>
          <w:p>
            <w:pPr>
              <w:widowControl/>
              <w:jc w:val="both"/>
              <w:rPr>
                <w:rFonts w:hint="eastAsia" w:ascii="仿宋" w:hAnsi="仿宋" w:eastAsia="仿宋" w:cs="宋体"/>
                <w:color w:val="auto"/>
                <w:kern w:val="0"/>
                <w:sz w:val="20"/>
                <w:szCs w:val="20"/>
                <w:lang w:val="en-US" w:eastAsia="zh-CN" w:bidi="ar-SA"/>
              </w:rPr>
            </w:pPr>
            <w:r>
              <w:rPr>
                <w:rFonts w:hint="eastAsia" w:ascii="仿宋" w:hAnsi="仿宋" w:eastAsia="仿宋" w:cs="宋体"/>
                <w:color w:val="auto"/>
                <w:kern w:val="0"/>
                <w:sz w:val="20"/>
                <w:szCs w:val="20"/>
              </w:rPr>
              <w:t>达到目标值得满分，低于则每降低1%扣除5%的权重分值，扣完为止</w:t>
            </w:r>
          </w:p>
        </w:tc>
        <w:tc>
          <w:tcPr>
            <w:tcW w:w="2444" w:type="dxa"/>
            <w:vAlign w:val="center"/>
          </w:tcPr>
          <w:p>
            <w:pPr>
              <w:widowControl/>
              <w:jc w:val="both"/>
              <w:rPr>
                <w:rFonts w:ascii="仿宋" w:hAnsi="仿宋" w:eastAsia="仿宋" w:cs="宋体"/>
                <w:color w:val="auto"/>
                <w:kern w:val="0"/>
                <w:sz w:val="20"/>
                <w:szCs w:val="20"/>
              </w:rPr>
            </w:pPr>
            <w:r>
              <w:rPr>
                <w:rFonts w:ascii="仿宋" w:hAnsi="仿宋" w:eastAsia="仿宋" w:cs="宋体"/>
                <w:color w:val="auto"/>
                <w:kern w:val="0"/>
                <w:sz w:val="20"/>
                <w:szCs w:val="20"/>
              </w:rPr>
              <w:t>根据</w:t>
            </w:r>
            <w:r>
              <w:rPr>
                <w:rFonts w:hint="eastAsia" w:ascii="仿宋" w:hAnsi="仿宋" w:eastAsia="仿宋" w:cs="宋体"/>
                <w:color w:val="auto"/>
                <w:kern w:val="0"/>
                <w:sz w:val="20"/>
                <w:szCs w:val="20"/>
                <w:lang w:val="en-US" w:eastAsia="zh-CN"/>
              </w:rPr>
              <w:t>伽师县市场监督管理局提供的工资表</w:t>
            </w:r>
            <w:r>
              <w:rPr>
                <w:rFonts w:ascii="仿宋" w:hAnsi="仿宋" w:eastAsia="仿宋" w:cs="宋体"/>
                <w:color w:val="auto"/>
                <w:kern w:val="0"/>
                <w:sz w:val="20"/>
                <w:szCs w:val="20"/>
              </w:rPr>
              <w:t>等资料</w:t>
            </w:r>
            <w:r>
              <w:rPr>
                <w:rFonts w:hint="eastAsia" w:ascii="仿宋" w:hAnsi="仿宋" w:eastAsia="仿宋" w:cs="宋体"/>
                <w:color w:val="auto"/>
                <w:kern w:val="0"/>
                <w:sz w:val="20"/>
                <w:szCs w:val="20"/>
                <w:lang w:val="en-US" w:eastAsia="zh-CN"/>
              </w:rPr>
              <w:t>分析，为100%</w:t>
            </w:r>
            <w:r>
              <w:rPr>
                <w:rFonts w:ascii="仿宋" w:hAnsi="仿宋" w:eastAsia="仿宋" w:cs="宋体"/>
                <w:color w:val="auto"/>
                <w:kern w:val="0"/>
                <w:sz w:val="20"/>
                <w:szCs w:val="20"/>
              </w:rPr>
              <w:t>达到目标值。</w:t>
            </w:r>
            <w:r>
              <w:rPr>
                <w:rFonts w:hint="eastAsia" w:ascii="仿宋" w:hAnsi="仿宋" w:eastAsia="仿宋" w:cs="宋体"/>
                <w:color w:val="auto"/>
                <w:kern w:val="0"/>
                <w:sz w:val="20"/>
                <w:szCs w:val="20"/>
                <w:lang w:val="en-US" w:eastAsia="zh-CN"/>
              </w:rPr>
              <w:t>根据评分标准</w:t>
            </w:r>
            <w:r>
              <w:rPr>
                <w:rFonts w:ascii="仿宋" w:hAnsi="仿宋" w:eastAsia="仿宋" w:cs="宋体"/>
                <w:color w:val="auto"/>
                <w:kern w:val="0"/>
                <w:sz w:val="20"/>
                <w:szCs w:val="20"/>
              </w:rPr>
              <w:t>，该项指标得100%权重分。</w:t>
            </w:r>
          </w:p>
        </w:tc>
        <w:tc>
          <w:tcPr>
            <w:tcW w:w="819" w:type="dxa"/>
            <w:vAlign w:val="center"/>
          </w:tcPr>
          <w:p>
            <w:pPr>
              <w:widowControl/>
              <w:jc w:val="both"/>
              <w:rPr>
                <w:rFonts w:hint="default" w:ascii="仿宋" w:hAnsi="仿宋" w:eastAsia="仿宋" w:cs="宋体"/>
                <w:color w:val="auto"/>
                <w:kern w:val="0"/>
                <w:sz w:val="20"/>
                <w:szCs w:val="20"/>
                <w:lang w:val="en-US" w:eastAsia="zh-CN"/>
              </w:rPr>
            </w:pPr>
            <w:r>
              <w:rPr>
                <w:rFonts w:hint="eastAsia" w:ascii="仿宋" w:hAnsi="仿宋" w:eastAsia="仿宋" w:cs="宋体"/>
                <w:color w:val="auto"/>
                <w:kern w:val="0"/>
                <w:sz w:val="20"/>
                <w:szCs w:val="20"/>
                <w:lang w:val="en-US" w:eastAsia="zh-CN"/>
              </w:rPr>
              <w:t>2</w:t>
            </w:r>
          </w:p>
        </w:tc>
        <w:tc>
          <w:tcPr>
            <w:tcW w:w="901" w:type="dxa"/>
            <w:vAlign w:val="center"/>
          </w:tcPr>
          <w:p>
            <w:pPr>
              <w:widowControl/>
              <w:jc w:val="both"/>
              <w:rPr>
                <w:rFonts w:hint="eastAsia" w:ascii="仿宋" w:hAnsi="仿宋" w:eastAsia="仿宋" w:cs="宋体"/>
                <w:color w:val="auto"/>
                <w:kern w:val="0"/>
                <w:sz w:val="20"/>
                <w:szCs w:val="20"/>
                <w:lang w:val="en-US" w:eastAsia="zh-CN"/>
              </w:rPr>
            </w:pPr>
            <w:r>
              <w:rPr>
                <w:rFonts w:hint="eastAsia" w:ascii="仿宋" w:hAnsi="仿宋" w:eastAsia="仿宋" w:cs="宋体"/>
                <w:color w:val="auto"/>
                <w:kern w:val="0"/>
                <w:sz w:val="20"/>
                <w:szCs w:val="20"/>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Merge w:val="continue"/>
            <w:vAlign w:val="center"/>
          </w:tcPr>
          <w:p>
            <w:pPr>
              <w:widowControl/>
              <w:jc w:val="both"/>
              <w:rPr>
                <w:rFonts w:ascii="仿宋" w:hAnsi="仿宋" w:eastAsia="仿宋" w:cs="宋体"/>
                <w:color w:val="auto"/>
                <w:kern w:val="0"/>
                <w:sz w:val="20"/>
                <w:szCs w:val="20"/>
              </w:rPr>
            </w:pPr>
          </w:p>
        </w:tc>
        <w:tc>
          <w:tcPr>
            <w:tcW w:w="1133" w:type="dxa"/>
            <w:vMerge w:val="continue"/>
            <w:vAlign w:val="center"/>
          </w:tcPr>
          <w:p>
            <w:pPr>
              <w:widowControl/>
              <w:jc w:val="both"/>
              <w:rPr>
                <w:rFonts w:hint="eastAsia" w:ascii="仿宋" w:hAnsi="仿宋" w:eastAsia="仿宋" w:cs="宋体"/>
                <w:color w:val="auto"/>
                <w:kern w:val="0"/>
                <w:sz w:val="20"/>
                <w:szCs w:val="20"/>
              </w:rPr>
            </w:pPr>
          </w:p>
        </w:tc>
        <w:tc>
          <w:tcPr>
            <w:tcW w:w="1139" w:type="dxa"/>
            <w:vAlign w:val="center"/>
          </w:tcPr>
          <w:p>
            <w:pPr>
              <w:widowControl/>
              <w:jc w:val="both"/>
              <w:rPr>
                <w:rFonts w:hint="eastAsia" w:ascii="仿宋" w:hAnsi="仿宋" w:eastAsia="仿宋" w:cs="宋体"/>
                <w:color w:val="auto"/>
                <w:kern w:val="0"/>
                <w:sz w:val="20"/>
                <w:szCs w:val="20"/>
                <w:lang w:val="en-US" w:eastAsia="zh-CN" w:bidi="ar-SA"/>
              </w:rPr>
            </w:pPr>
            <w:r>
              <w:rPr>
                <w:rFonts w:hint="eastAsia" w:ascii="仿宋" w:hAnsi="仿宋" w:eastAsia="仿宋" w:cs="宋体"/>
                <w:color w:val="auto"/>
                <w:kern w:val="0"/>
                <w:sz w:val="20"/>
                <w:szCs w:val="20"/>
                <w:lang w:val="en-US" w:eastAsia="zh-CN"/>
              </w:rPr>
              <w:t>C242全年保运转经费总额（万元）</w:t>
            </w:r>
          </w:p>
        </w:tc>
        <w:tc>
          <w:tcPr>
            <w:tcW w:w="709" w:type="dxa"/>
            <w:vAlign w:val="center"/>
          </w:tcPr>
          <w:p>
            <w:pPr>
              <w:widowControl/>
              <w:jc w:val="both"/>
              <w:rPr>
                <w:rFonts w:hint="default" w:ascii="仿宋" w:hAnsi="仿宋" w:eastAsia="仿宋" w:cs="宋体"/>
                <w:color w:val="auto"/>
                <w:kern w:val="0"/>
                <w:sz w:val="20"/>
                <w:szCs w:val="20"/>
                <w:lang w:val="en-US" w:eastAsia="zh-CN"/>
              </w:rPr>
            </w:pPr>
            <w:r>
              <w:rPr>
                <w:rFonts w:hint="eastAsia" w:ascii="仿宋" w:hAnsi="仿宋" w:eastAsia="仿宋" w:cs="宋体"/>
                <w:color w:val="auto"/>
                <w:kern w:val="0"/>
                <w:sz w:val="20"/>
                <w:szCs w:val="20"/>
                <w:lang w:val="en-US" w:eastAsia="zh-CN"/>
              </w:rPr>
              <w:t>2</w:t>
            </w:r>
          </w:p>
        </w:tc>
        <w:tc>
          <w:tcPr>
            <w:tcW w:w="1047" w:type="dxa"/>
            <w:vAlign w:val="center"/>
          </w:tcPr>
          <w:p>
            <w:pPr>
              <w:widowControl/>
              <w:jc w:val="both"/>
              <w:rPr>
                <w:rFonts w:hint="eastAsia" w:ascii="仿宋" w:hAnsi="仿宋" w:eastAsia="仿宋" w:cs="宋体"/>
                <w:color w:val="auto"/>
                <w:kern w:val="0"/>
                <w:sz w:val="20"/>
                <w:szCs w:val="20"/>
                <w:lang w:val="en-US" w:eastAsia="zh-CN"/>
              </w:rPr>
            </w:pPr>
            <w:r>
              <w:rPr>
                <w:rFonts w:hint="eastAsia" w:ascii="仿宋" w:hAnsi="仿宋" w:eastAsia="仿宋" w:cs="宋体"/>
                <w:color w:val="auto"/>
                <w:kern w:val="0"/>
                <w:sz w:val="20"/>
                <w:szCs w:val="20"/>
              </w:rPr>
              <w:t>考察项目</w:t>
            </w:r>
            <w:r>
              <w:rPr>
                <w:rFonts w:hint="eastAsia" w:ascii="仿宋" w:hAnsi="仿宋" w:eastAsia="仿宋" w:cs="宋体"/>
                <w:color w:val="auto"/>
                <w:kern w:val="0"/>
                <w:sz w:val="20"/>
                <w:szCs w:val="20"/>
                <w:lang w:val="en-US" w:eastAsia="zh-CN"/>
              </w:rPr>
              <w:t>成本</w:t>
            </w:r>
          </w:p>
        </w:tc>
        <w:tc>
          <w:tcPr>
            <w:tcW w:w="1015" w:type="dxa"/>
            <w:vAlign w:val="center"/>
          </w:tcPr>
          <w:p>
            <w:pPr>
              <w:widowControl/>
              <w:jc w:val="both"/>
              <w:rPr>
                <w:rFonts w:hint="default" w:ascii="仿宋" w:hAnsi="仿宋" w:eastAsia="仿宋" w:cs="宋体"/>
                <w:color w:val="auto"/>
                <w:kern w:val="0"/>
                <w:sz w:val="20"/>
                <w:szCs w:val="20"/>
                <w:lang w:val="en-US" w:eastAsia="zh-CN"/>
              </w:rPr>
            </w:pPr>
            <w:r>
              <w:rPr>
                <w:rFonts w:hint="eastAsia" w:ascii="仿宋" w:hAnsi="仿宋" w:eastAsia="仿宋" w:cs="宋体"/>
                <w:color w:val="auto"/>
                <w:kern w:val="0"/>
                <w:sz w:val="20"/>
                <w:szCs w:val="20"/>
                <w:lang w:val="en-US" w:eastAsia="zh-CN"/>
              </w:rPr>
              <w:t>≤28.93</w:t>
            </w:r>
          </w:p>
        </w:tc>
        <w:tc>
          <w:tcPr>
            <w:tcW w:w="1057" w:type="dxa"/>
            <w:vAlign w:val="center"/>
          </w:tcPr>
          <w:p>
            <w:pPr>
              <w:widowControl/>
              <w:jc w:val="both"/>
              <w:rPr>
                <w:rFonts w:hint="eastAsia" w:ascii="仿宋" w:hAnsi="仿宋" w:eastAsia="仿宋" w:cs="宋体"/>
                <w:color w:val="auto"/>
                <w:kern w:val="0"/>
                <w:sz w:val="20"/>
                <w:szCs w:val="20"/>
              </w:rPr>
            </w:pPr>
            <w:r>
              <w:rPr>
                <w:rFonts w:hint="eastAsia" w:ascii="仿宋" w:hAnsi="仿宋" w:eastAsia="仿宋" w:cs="宋体"/>
                <w:color w:val="auto"/>
                <w:kern w:val="0"/>
                <w:sz w:val="20"/>
                <w:szCs w:val="20"/>
              </w:rPr>
              <w:t>相关统计报告、基础表等</w:t>
            </w:r>
          </w:p>
        </w:tc>
        <w:tc>
          <w:tcPr>
            <w:tcW w:w="1562" w:type="dxa"/>
            <w:vAlign w:val="center"/>
          </w:tcPr>
          <w:p>
            <w:pPr>
              <w:widowControl/>
              <w:jc w:val="both"/>
              <w:rPr>
                <w:rFonts w:hint="eastAsia" w:ascii="仿宋" w:hAnsi="仿宋" w:eastAsia="仿宋" w:cs="宋体"/>
                <w:color w:val="auto"/>
                <w:kern w:val="0"/>
                <w:sz w:val="20"/>
                <w:szCs w:val="20"/>
                <w:lang w:val="en-US" w:eastAsia="zh-CN" w:bidi="ar-SA"/>
              </w:rPr>
            </w:pPr>
            <w:r>
              <w:rPr>
                <w:rFonts w:hint="eastAsia" w:ascii="仿宋" w:hAnsi="仿宋" w:eastAsia="仿宋" w:cs="宋体"/>
                <w:color w:val="auto"/>
                <w:kern w:val="0"/>
                <w:sz w:val="20"/>
                <w:szCs w:val="20"/>
              </w:rPr>
              <w:t>达到目标值得满分，低于则每降低1%扣除5%的权重分值，扣完为止</w:t>
            </w:r>
          </w:p>
        </w:tc>
        <w:tc>
          <w:tcPr>
            <w:tcW w:w="2444" w:type="dxa"/>
            <w:vAlign w:val="center"/>
          </w:tcPr>
          <w:p>
            <w:pPr>
              <w:widowControl/>
              <w:jc w:val="both"/>
              <w:rPr>
                <w:rFonts w:ascii="仿宋" w:hAnsi="仿宋" w:eastAsia="仿宋" w:cs="宋体"/>
                <w:color w:val="auto"/>
                <w:kern w:val="0"/>
                <w:sz w:val="20"/>
                <w:szCs w:val="20"/>
              </w:rPr>
            </w:pPr>
            <w:r>
              <w:rPr>
                <w:rFonts w:ascii="仿宋" w:hAnsi="仿宋" w:eastAsia="仿宋" w:cs="宋体"/>
                <w:color w:val="auto"/>
                <w:kern w:val="0"/>
                <w:sz w:val="20"/>
                <w:szCs w:val="20"/>
              </w:rPr>
              <w:t>根据</w:t>
            </w:r>
            <w:r>
              <w:rPr>
                <w:rFonts w:hint="eastAsia" w:ascii="仿宋" w:hAnsi="仿宋" w:eastAsia="仿宋" w:cs="宋体"/>
                <w:color w:val="auto"/>
                <w:kern w:val="0"/>
                <w:sz w:val="20"/>
                <w:szCs w:val="20"/>
                <w:lang w:val="en-US" w:eastAsia="zh-CN"/>
              </w:rPr>
              <w:t>伽师县市场监督管理局提供的工资表</w:t>
            </w:r>
            <w:r>
              <w:rPr>
                <w:rFonts w:ascii="仿宋" w:hAnsi="仿宋" w:eastAsia="仿宋" w:cs="宋体"/>
                <w:color w:val="auto"/>
                <w:kern w:val="0"/>
                <w:sz w:val="20"/>
                <w:szCs w:val="20"/>
              </w:rPr>
              <w:t>等资料</w:t>
            </w:r>
            <w:r>
              <w:rPr>
                <w:rFonts w:hint="eastAsia" w:ascii="仿宋" w:hAnsi="仿宋" w:eastAsia="仿宋" w:cs="宋体"/>
                <w:color w:val="auto"/>
                <w:kern w:val="0"/>
                <w:sz w:val="20"/>
                <w:szCs w:val="20"/>
                <w:lang w:val="en-US" w:eastAsia="zh-CN"/>
              </w:rPr>
              <w:t>分析，为100%</w:t>
            </w:r>
            <w:r>
              <w:rPr>
                <w:rFonts w:ascii="仿宋" w:hAnsi="仿宋" w:eastAsia="仿宋" w:cs="宋体"/>
                <w:color w:val="auto"/>
                <w:kern w:val="0"/>
                <w:sz w:val="20"/>
                <w:szCs w:val="20"/>
              </w:rPr>
              <w:t>达到目标值。</w:t>
            </w:r>
            <w:r>
              <w:rPr>
                <w:rFonts w:hint="eastAsia" w:ascii="仿宋" w:hAnsi="仿宋" w:eastAsia="仿宋" w:cs="宋体"/>
                <w:color w:val="auto"/>
                <w:kern w:val="0"/>
                <w:sz w:val="20"/>
                <w:szCs w:val="20"/>
                <w:lang w:val="en-US" w:eastAsia="zh-CN"/>
              </w:rPr>
              <w:t>根据评分标准</w:t>
            </w:r>
            <w:r>
              <w:rPr>
                <w:rFonts w:ascii="仿宋" w:hAnsi="仿宋" w:eastAsia="仿宋" w:cs="宋体"/>
                <w:color w:val="auto"/>
                <w:kern w:val="0"/>
                <w:sz w:val="20"/>
                <w:szCs w:val="20"/>
              </w:rPr>
              <w:t>，该项指标得100%权重分。</w:t>
            </w:r>
          </w:p>
        </w:tc>
        <w:tc>
          <w:tcPr>
            <w:tcW w:w="819" w:type="dxa"/>
            <w:vAlign w:val="center"/>
          </w:tcPr>
          <w:p>
            <w:pPr>
              <w:widowControl/>
              <w:jc w:val="both"/>
              <w:rPr>
                <w:rFonts w:hint="default" w:ascii="仿宋" w:hAnsi="仿宋" w:eastAsia="仿宋" w:cs="宋体"/>
                <w:color w:val="auto"/>
                <w:kern w:val="0"/>
                <w:sz w:val="20"/>
                <w:szCs w:val="20"/>
                <w:lang w:val="en-US" w:eastAsia="zh-CN"/>
              </w:rPr>
            </w:pPr>
            <w:r>
              <w:rPr>
                <w:rFonts w:hint="eastAsia" w:ascii="仿宋" w:hAnsi="仿宋" w:eastAsia="仿宋" w:cs="宋体"/>
                <w:color w:val="auto"/>
                <w:kern w:val="0"/>
                <w:sz w:val="20"/>
                <w:szCs w:val="20"/>
                <w:lang w:val="en-US" w:eastAsia="zh-CN"/>
              </w:rPr>
              <w:t>2</w:t>
            </w:r>
          </w:p>
        </w:tc>
        <w:tc>
          <w:tcPr>
            <w:tcW w:w="901" w:type="dxa"/>
            <w:vAlign w:val="center"/>
          </w:tcPr>
          <w:p>
            <w:pPr>
              <w:widowControl/>
              <w:jc w:val="both"/>
              <w:rPr>
                <w:rFonts w:hint="eastAsia" w:ascii="仿宋" w:hAnsi="仿宋" w:eastAsia="仿宋" w:cs="宋体"/>
                <w:color w:val="auto"/>
                <w:kern w:val="0"/>
                <w:sz w:val="20"/>
                <w:szCs w:val="20"/>
                <w:lang w:val="en-US" w:eastAsia="zh-CN"/>
              </w:rPr>
            </w:pPr>
            <w:r>
              <w:rPr>
                <w:rFonts w:hint="eastAsia" w:ascii="仿宋" w:hAnsi="仿宋" w:eastAsia="仿宋" w:cs="宋体"/>
                <w:color w:val="auto"/>
                <w:kern w:val="0"/>
                <w:sz w:val="20"/>
                <w:szCs w:val="20"/>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061" w:type="dxa"/>
            <w:vMerge w:val="restart"/>
            <w:vAlign w:val="center"/>
          </w:tcPr>
          <w:p>
            <w:pPr>
              <w:widowControl/>
              <w:jc w:val="center"/>
              <w:rPr>
                <w:rFonts w:ascii="仿宋" w:hAnsi="仿宋" w:eastAsia="仿宋" w:cs="宋体"/>
                <w:color w:val="auto"/>
                <w:kern w:val="0"/>
                <w:sz w:val="20"/>
                <w:szCs w:val="20"/>
              </w:rPr>
            </w:pPr>
            <w:r>
              <w:rPr>
                <w:rFonts w:hint="eastAsia" w:ascii="仿宋" w:hAnsi="仿宋" w:eastAsia="仿宋" w:cs="宋体"/>
                <w:color w:val="auto"/>
                <w:kern w:val="0"/>
                <w:sz w:val="20"/>
                <w:szCs w:val="20"/>
              </w:rPr>
              <w:t>C 部门绩效（50分）</w:t>
            </w:r>
          </w:p>
        </w:tc>
        <w:tc>
          <w:tcPr>
            <w:tcW w:w="1058" w:type="dxa"/>
            <w:vMerge w:val="restart"/>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C3 部门效果（20分）</w:t>
            </w:r>
          </w:p>
        </w:tc>
        <w:tc>
          <w:tcPr>
            <w:tcW w:w="1133"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C31 社会效益指标</w:t>
            </w: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C311 降低四大安全风险</w:t>
            </w:r>
          </w:p>
        </w:tc>
        <w:tc>
          <w:tcPr>
            <w:tcW w:w="709" w:type="dxa"/>
            <w:vAlign w:val="center"/>
          </w:tcPr>
          <w:p>
            <w:pPr>
              <w:widowControl/>
              <w:jc w:val="both"/>
              <w:rPr>
                <w:rFonts w:hint="default" w:ascii="仿宋" w:hAnsi="仿宋" w:eastAsia="仿宋" w:cs="宋体"/>
                <w:color w:val="auto"/>
                <w:kern w:val="0"/>
                <w:sz w:val="20"/>
                <w:szCs w:val="20"/>
                <w:lang w:val="en-US" w:eastAsia="zh-CN"/>
              </w:rPr>
            </w:pPr>
            <w:r>
              <w:rPr>
                <w:rFonts w:hint="eastAsia" w:ascii="仿宋" w:hAnsi="仿宋" w:eastAsia="仿宋" w:cs="宋体"/>
                <w:color w:val="auto"/>
                <w:kern w:val="0"/>
                <w:sz w:val="20"/>
                <w:szCs w:val="20"/>
                <w:lang w:val="en-US" w:eastAsia="zh-CN"/>
              </w:rPr>
              <w:t>5</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考察降低四大安全风险</w:t>
            </w:r>
          </w:p>
        </w:tc>
        <w:tc>
          <w:tcPr>
            <w:tcW w:w="1015"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有效降低</w:t>
            </w:r>
          </w:p>
        </w:tc>
        <w:tc>
          <w:tcPr>
            <w:tcW w:w="1057" w:type="dxa"/>
            <w:vAlign w:val="center"/>
          </w:tcPr>
          <w:p>
            <w:pPr>
              <w:widowControl/>
              <w:jc w:val="both"/>
              <w:rPr>
                <w:rFonts w:ascii="仿宋" w:hAnsi="仿宋" w:eastAsia="仿宋" w:cs="宋体"/>
                <w:color w:val="auto"/>
                <w:kern w:val="0"/>
                <w:sz w:val="20"/>
                <w:szCs w:val="20"/>
              </w:rPr>
            </w:pPr>
            <w:r>
              <w:rPr>
                <w:rFonts w:ascii="仿宋" w:hAnsi="仿宋" w:eastAsia="仿宋" w:cs="宋体"/>
                <w:color w:val="auto"/>
                <w:kern w:val="0"/>
                <w:sz w:val="20"/>
                <w:szCs w:val="20"/>
              </w:rPr>
              <w:t>满意度测评及访谈调研等</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达到目标值得满分，低于则每降低1%扣除5%的权重分值，扣完为止</w:t>
            </w:r>
          </w:p>
        </w:tc>
        <w:tc>
          <w:tcPr>
            <w:tcW w:w="2444" w:type="dxa"/>
            <w:vAlign w:val="center"/>
          </w:tcPr>
          <w:p>
            <w:pPr>
              <w:widowControl/>
              <w:jc w:val="both"/>
              <w:rPr>
                <w:rFonts w:ascii="仿宋" w:hAnsi="仿宋" w:eastAsia="仿宋" w:cs="宋体"/>
                <w:color w:val="auto"/>
                <w:kern w:val="0"/>
                <w:sz w:val="20"/>
                <w:szCs w:val="20"/>
              </w:rPr>
            </w:pPr>
            <w:r>
              <w:rPr>
                <w:rFonts w:ascii="仿宋" w:hAnsi="仿宋" w:eastAsia="仿宋" w:cs="宋体"/>
                <w:color w:val="auto"/>
                <w:kern w:val="0"/>
                <w:sz w:val="20"/>
                <w:szCs w:val="20"/>
              </w:rPr>
              <w:t>根据满意度调查问卷及访谈调研</w:t>
            </w:r>
            <w:r>
              <w:rPr>
                <w:rFonts w:hint="eastAsia" w:ascii="仿宋" w:hAnsi="仿宋" w:eastAsia="仿宋" w:cs="宋体"/>
                <w:color w:val="auto"/>
                <w:kern w:val="0"/>
                <w:sz w:val="20"/>
                <w:szCs w:val="20"/>
                <w:lang w:val="en-US" w:eastAsia="zh-CN"/>
              </w:rPr>
              <w:t>分析，有效</w:t>
            </w:r>
            <w:r>
              <w:rPr>
                <w:rFonts w:hint="eastAsia" w:ascii="仿宋" w:hAnsi="仿宋" w:eastAsia="仿宋" w:cs="宋体"/>
                <w:color w:val="auto"/>
                <w:kern w:val="0"/>
                <w:sz w:val="20"/>
                <w:szCs w:val="20"/>
              </w:rPr>
              <w:t>降低四大安全风险</w:t>
            </w:r>
            <w:r>
              <w:rPr>
                <w:rFonts w:hint="eastAsia" w:ascii="仿宋" w:hAnsi="仿宋" w:eastAsia="仿宋" w:cs="宋体"/>
                <w:color w:val="auto"/>
                <w:kern w:val="0"/>
                <w:sz w:val="20"/>
                <w:szCs w:val="20"/>
                <w:lang w:eastAsia="zh-CN"/>
              </w:rPr>
              <w:t>，</w:t>
            </w:r>
            <w:r>
              <w:rPr>
                <w:rFonts w:hint="eastAsia" w:ascii="仿宋" w:hAnsi="仿宋" w:eastAsia="仿宋" w:cs="宋体"/>
                <w:color w:val="auto"/>
                <w:kern w:val="0"/>
                <w:sz w:val="20"/>
                <w:szCs w:val="20"/>
                <w:lang w:val="en-US" w:eastAsia="zh-CN"/>
              </w:rPr>
              <w:t>已</w:t>
            </w:r>
            <w:r>
              <w:rPr>
                <w:rFonts w:ascii="仿宋" w:hAnsi="仿宋" w:eastAsia="仿宋" w:cs="宋体"/>
                <w:color w:val="auto"/>
                <w:kern w:val="0"/>
                <w:sz w:val="20"/>
                <w:szCs w:val="20"/>
              </w:rPr>
              <w:t>达到目标值。</w:t>
            </w:r>
            <w:r>
              <w:rPr>
                <w:rFonts w:hint="eastAsia" w:ascii="仿宋" w:hAnsi="仿宋" w:eastAsia="仿宋" w:cs="宋体"/>
                <w:color w:val="auto"/>
                <w:kern w:val="0"/>
                <w:sz w:val="20"/>
                <w:szCs w:val="20"/>
                <w:lang w:val="en-US" w:eastAsia="zh-CN"/>
              </w:rPr>
              <w:t>根据评分标准</w:t>
            </w:r>
            <w:r>
              <w:rPr>
                <w:rFonts w:ascii="仿宋" w:hAnsi="仿宋" w:eastAsia="仿宋" w:cs="宋体"/>
                <w:color w:val="auto"/>
                <w:kern w:val="0"/>
                <w:sz w:val="20"/>
                <w:szCs w:val="20"/>
              </w:rPr>
              <w:t>，该项指标得100%权重分。</w:t>
            </w:r>
          </w:p>
        </w:tc>
        <w:tc>
          <w:tcPr>
            <w:tcW w:w="819"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5</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Merge w:val="continue"/>
            <w:vAlign w:val="center"/>
          </w:tcPr>
          <w:p>
            <w:pPr>
              <w:widowControl/>
              <w:jc w:val="both"/>
              <w:rPr>
                <w:rFonts w:ascii="仿宋" w:hAnsi="仿宋" w:eastAsia="仿宋" w:cs="宋体"/>
                <w:color w:val="auto"/>
                <w:kern w:val="0"/>
                <w:sz w:val="20"/>
                <w:szCs w:val="20"/>
              </w:rPr>
            </w:pPr>
          </w:p>
        </w:tc>
        <w:tc>
          <w:tcPr>
            <w:tcW w:w="1133"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C32</w:t>
            </w:r>
            <w:r>
              <w:rPr>
                <w:rFonts w:hint="eastAsia" w:ascii="仿宋" w:hAnsi="仿宋" w:eastAsia="仿宋" w:cs="宋体"/>
                <w:color w:val="auto"/>
                <w:kern w:val="0"/>
                <w:sz w:val="20"/>
                <w:szCs w:val="20"/>
                <w:lang w:val="en-US" w:eastAsia="zh-CN"/>
              </w:rPr>
              <w:t>可持续影响分析</w:t>
            </w:r>
            <w:r>
              <w:rPr>
                <w:rFonts w:hint="eastAsia" w:ascii="仿宋" w:hAnsi="仿宋" w:eastAsia="仿宋" w:cs="宋体"/>
                <w:color w:val="auto"/>
                <w:kern w:val="0"/>
                <w:sz w:val="20"/>
                <w:szCs w:val="20"/>
              </w:rPr>
              <w:t>指标</w:t>
            </w: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C321促进四大行业健康有序发展，经营行为规范化</w:t>
            </w:r>
          </w:p>
        </w:tc>
        <w:tc>
          <w:tcPr>
            <w:tcW w:w="709"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5</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考察促进四大行业健康有序发展，经营行为规范化</w:t>
            </w:r>
          </w:p>
        </w:tc>
        <w:tc>
          <w:tcPr>
            <w:tcW w:w="1015"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不断促进</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相关统计报告、基础表、满意度调查问卷及访谈调研等</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达到目标值得满分，低于则每降低1%扣除5%的权重分值，扣完为止</w:t>
            </w:r>
          </w:p>
        </w:tc>
        <w:tc>
          <w:tcPr>
            <w:tcW w:w="2444" w:type="dxa"/>
            <w:vAlign w:val="center"/>
          </w:tcPr>
          <w:p>
            <w:pPr>
              <w:widowControl/>
              <w:jc w:val="both"/>
              <w:rPr>
                <w:rFonts w:ascii="仿宋" w:hAnsi="仿宋" w:eastAsia="仿宋" w:cs="宋体"/>
                <w:color w:val="auto"/>
                <w:kern w:val="0"/>
                <w:sz w:val="20"/>
                <w:szCs w:val="20"/>
              </w:rPr>
            </w:pPr>
            <w:r>
              <w:rPr>
                <w:rFonts w:ascii="仿宋" w:hAnsi="仿宋" w:eastAsia="仿宋" w:cs="宋体"/>
                <w:color w:val="auto"/>
                <w:kern w:val="0"/>
                <w:sz w:val="20"/>
                <w:szCs w:val="20"/>
              </w:rPr>
              <w:t>根据访谈调研</w:t>
            </w:r>
            <w:r>
              <w:rPr>
                <w:rFonts w:hint="eastAsia" w:ascii="仿宋" w:hAnsi="仿宋" w:eastAsia="仿宋" w:cs="宋体"/>
                <w:color w:val="auto"/>
                <w:kern w:val="0"/>
                <w:sz w:val="20"/>
                <w:szCs w:val="20"/>
                <w:lang w:val="en-US" w:eastAsia="zh-CN"/>
              </w:rPr>
              <w:t>分析</w:t>
            </w:r>
            <w:r>
              <w:rPr>
                <w:rFonts w:hint="eastAsia" w:ascii="仿宋" w:hAnsi="仿宋" w:eastAsia="仿宋" w:cs="宋体"/>
                <w:color w:val="auto"/>
                <w:kern w:val="0"/>
                <w:sz w:val="20"/>
                <w:szCs w:val="20"/>
              </w:rPr>
              <w:t>促进四大行业健康有序发展，经营行为规范化</w:t>
            </w:r>
            <w:r>
              <w:rPr>
                <w:rFonts w:hint="eastAsia" w:ascii="仿宋" w:hAnsi="仿宋" w:eastAsia="仿宋" w:cs="宋体"/>
                <w:color w:val="auto"/>
                <w:kern w:val="0"/>
                <w:sz w:val="20"/>
                <w:szCs w:val="20"/>
                <w:lang w:val="en-US" w:eastAsia="zh-CN"/>
              </w:rPr>
              <w:t>，已</w:t>
            </w:r>
            <w:r>
              <w:rPr>
                <w:rFonts w:ascii="仿宋" w:hAnsi="仿宋" w:eastAsia="仿宋" w:cs="宋体"/>
                <w:color w:val="auto"/>
                <w:kern w:val="0"/>
                <w:sz w:val="20"/>
                <w:szCs w:val="20"/>
              </w:rPr>
              <w:t>达到目标值。</w:t>
            </w:r>
            <w:r>
              <w:rPr>
                <w:rFonts w:hint="eastAsia" w:ascii="仿宋" w:hAnsi="仿宋" w:eastAsia="仿宋" w:cs="宋体"/>
                <w:color w:val="auto"/>
                <w:kern w:val="0"/>
                <w:sz w:val="20"/>
                <w:szCs w:val="20"/>
                <w:lang w:val="en-US" w:eastAsia="zh-CN"/>
              </w:rPr>
              <w:t>根据评分标准</w:t>
            </w:r>
            <w:r>
              <w:rPr>
                <w:rFonts w:ascii="仿宋" w:hAnsi="仿宋" w:eastAsia="仿宋" w:cs="宋体"/>
                <w:color w:val="auto"/>
                <w:kern w:val="0"/>
                <w:sz w:val="20"/>
                <w:szCs w:val="20"/>
              </w:rPr>
              <w:t>，该项指标得100%权重分。</w:t>
            </w:r>
          </w:p>
        </w:tc>
        <w:tc>
          <w:tcPr>
            <w:tcW w:w="819"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5</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61" w:type="dxa"/>
            <w:vMerge w:val="restart"/>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C 部门绩效（50分）</w:t>
            </w:r>
          </w:p>
        </w:tc>
        <w:tc>
          <w:tcPr>
            <w:tcW w:w="1058" w:type="dxa"/>
            <w:vMerge w:val="continue"/>
            <w:vAlign w:val="center"/>
          </w:tcPr>
          <w:p>
            <w:pPr>
              <w:widowControl/>
              <w:jc w:val="both"/>
              <w:rPr>
                <w:rFonts w:ascii="仿宋" w:hAnsi="仿宋" w:eastAsia="仿宋" w:cs="宋体"/>
                <w:color w:val="auto"/>
                <w:kern w:val="0"/>
                <w:sz w:val="20"/>
                <w:szCs w:val="20"/>
              </w:rPr>
            </w:pPr>
          </w:p>
        </w:tc>
        <w:tc>
          <w:tcPr>
            <w:tcW w:w="1133" w:type="dxa"/>
            <w:vMerge w:val="restart"/>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C33 满意度情况</w:t>
            </w: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C331 在职干部满意度</w:t>
            </w:r>
          </w:p>
        </w:tc>
        <w:tc>
          <w:tcPr>
            <w:tcW w:w="709"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5</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考察在职干部的满意程度。</w:t>
            </w:r>
          </w:p>
        </w:tc>
        <w:tc>
          <w:tcPr>
            <w:tcW w:w="1015" w:type="dxa"/>
            <w:vAlign w:val="center"/>
          </w:tcPr>
          <w:p>
            <w:pPr>
              <w:widowControl/>
              <w:jc w:val="both"/>
              <w:rPr>
                <w:rFonts w:hint="default" w:ascii="仿宋" w:hAnsi="仿宋" w:eastAsia="仿宋" w:cs="宋体"/>
                <w:color w:val="auto"/>
                <w:kern w:val="0"/>
                <w:sz w:val="20"/>
                <w:szCs w:val="20"/>
                <w:lang w:val="en-US" w:eastAsia="zh-CN"/>
              </w:rPr>
            </w:pPr>
            <w:r>
              <w:rPr>
                <w:rFonts w:hint="eastAsia" w:ascii="仿宋" w:hAnsi="仿宋" w:eastAsia="仿宋" w:cs="宋体"/>
                <w:color w:val="auto"/>
                <w:kern w:val="0"/>
                <w:sz w:val="20"/>
                <w:szCs w:val="20"/>
                <w:lang w:val="en-US" w:eastAsia="zh-CN"/>
              </w:rPr>
              <w:t>=100%</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满意度测评</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达到目标值得满分，低于则每降低1%扣除5%的权重分值。</w:t>
            </w:r>
          </w:p>
        </w:tc>
        <w:tc>
          <w:tcPr>
            <w:tcW w:w="2444" w:type="dxa"/>
            <w:vAlign w:val="center"/>
          </w:tcPr>
          <w:p>
            <w:pPr>
              <w:widowControl/>
              <w:jc w:val="both"/>
              <w:rPr>
                <w:rFonts w:ascii="仿宋" w:hAnsi="仿宋" w:eastAsia="仿宋" w:cs="宋体"/>
                <w:color w:val="auto"/>
                <w:kern w:val="0"/>
                <w:sz w:val="20"/>
                <w:szCs w:val="20"/>
              </w:rPr>
            </w:pPr>
            <w:r>
              <w:rPr>
                <w:rFonts w:ascii="仿宋" w:hAnsi="仿宋" w:eastAsia="仿宋" w:cs="宋体"/>
                <w:color w:val="auto"/>
                <w:kern w:val="0"/>
                <w:sz w:val="20"/>
                <w:szCs w:val="20"/>
              </w:rPr>
              <w:t>评级组通过对部门整体职工进行问卷调查，</w:t>
            </w:r>
            <w:r>
              <w:rPr>
                <w:rFonts w:hint="eastAsia" w:ascii="仿宋" w:hAnsi="仿宋" w:eastAsia="仿宋" w:cs="宋体"/>
                <w:color w:val="auto"/>
                <w:kern w:val="0"/>
                <w:sz w:val="20"/>
                <w:szCs w:val="20"/>
                <w:lang w:val="en-US" w:eastAsia="zh-CN"/>
              </w:rPr>
              <w:t>经过对满意度问卷数据分析，</w:t>
            </w:r>
            <w:r>
              <w:rPr>
                <w:rFonts w:ascii="仿宋" w:hAnsi="仿宋" w:eastAsia="仿宋" w:cs="宋体"/>
                <w:color w:val="auto"/>
                <w:kern w:val="0"/>
                <w:sz w:val="20"/>
                <w:szCs w:val="20"/>
              </w:rPr>
              <w:t>整体满意程度为</w:t>
            </w:r>
            <w:r>
              <w:rPr>
                <w:rFonts w:hint="eastAsia" w:ascii="仿宋" w:hAnsi="仿宋" w:eastAsia="仿宋" w:cs="宋体"/>
                <w:color w:val="auto"/>
                <w:kern w:val="0"/>
                <w:sz w:val="20"/>
                <w:szCs w:val="20"/>
                <w:lang w:val="en-US" w:eastAsia="zh-CN"/>
              </w:rPr>
              <w:t>100</w:t>
            </w:r>
            <w:r>
              <w:rPr>
                <w:rFonts w:ascii="仿宋" w:hAnsi="仿宋" w:eastAsia="仿宋" w:cs="宋体"/>
                <w:color w:val="auto"/>
                <w:kern w:val="0"/>
                <w:sz w:val="20"/>
                <w:szCs w:val="20"/>
              </w:rPr>
              <w:t>%</w:t>
            </w:r>
            <w:r>
              <w:rPr>
                <w:rFonts w:hint="eastAsia" w:ascii="仿宋" w:hAnsi="仿宋" w:eastAsia="仿宋" w:cs="宋体"/>
                <w:color w:val="auto"/>
                <w:kern w:val="0"/>
                <w:sz w:val="20"/>
                <w:szCs w:val="20"/>
                <w:lang w:eastAsia="zh-CN"/>
              </w:rPr>
              <w:t>，</w:t>
            </w:r>
            <w:r>
              <w:rPr>
                <w:rFonts w:hint="eastAsia" w:ascii="仿宋" w:hAnsi="仿宋" w:eastAsia="仿宋" w:cs="宋体"/>
                <w:color w:val="auto"/>
                <w:kern w:val="0"/>
                <w:sz w:val="20"/>
                <w:szCs w:val="20"/>
                <w:lang w:val="en-US" w:eastAsia="zh-CN"/>
              </w:rPr>
              <w:t>达到年初设定的目标值</w:t>
            </w:r>
            <w:r>
              <w:rPr>
                <w:rFonts w:ascii="仿宋" w:hAnsi="仿宋" w:eastAsia="仿宋" w:cs="宋体"/>
                <w:color w:val="auto"/>
                <w:kern w:val="0"/>
                <w:sz w:val="20"/>
                <w:szCs w:val="20"/>
              </w:rPr>
              <w:t>。</w:t>
            </w:r>
            <w:r>
              <w:rPr>
                <w:rFonts w:hint="eastAsia" w:ascii="仿宋" w:hAnsi="仿宋" w:eastAsia="仿宋" w:cs="宋体"/>
                <w:color w:val="auto"/>
                <w:kern w:val="0"/>
                <w:sz w:val="20"/>
                <w:szCs w:val="20"/>
                <w:lang w:val="en-US" w:eastAsia="zh-CN"/>
              </w:rPr>
              <w:t>根据评分标准</w:t>
            </w:r>
            <w:r>
              <w:rPr>
                <w:rFonts w:ascii="仿宋" w:hAnsi="仿宋" w:eastAsia="仿宋" w:cs="宋体"/>
                <w:color w:val="auto"/>
                <w:kern w:val="0"/>
                <w:sz w:val="20"/>
                <w:szCs w:val="20"/>
              </w:rPr>
              <w:t>，该项指标得100%权重分。</w:t>
            </w:r>
          </w:p>
        </w:tc>
        <w:tc>
          <w:tcPr>
            <w:tcW w:w="819"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5</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061" w:type="dxa"/>
            <w:vMerge w:val="continue"/>
            <w:vAlign w:val="center"/>
          </w:tcPr>
          <w:p>
            <w:pPr>
              <w:widowControl/>
              <w:jc w:val="both"/>
              <w:rPr>
                <w:rFonts w:ascii="仿宋" w:hAnsi="仿宋" w:eastAsia="仿宋" w:cs="宋体"/>
                <w:color w:val="auto"/>
                <w:kern w:val="0"/>
                <w:sz w:val="20"/>
                <w:szCs w:val="20"/>
              </w:rPr>
            </w:pPr>
          </w:p>
        </w:tc>
        <w:tc>
          <w:tcPr>
            <w:tcW w:w="1058" w:type="dxa"/>
            <w:vMerge w:val="continue"/>
            <w:vAlign w:val="center"/>
          </w:tcPr>
          <w:p>
            <w:pPr>
              <w:widowControl/>
              <w:jc w:val="both"/>
              <w:rPr>
                <w:rFonts w:ascii="仿宋" w:hAnsi="仿宋" w:eastAsia="仿宋" w:cs="宋体"/>
                <w:color w:val="auto"/>
                <w:kern w:val="0"/>
                <w:sz w:val="20"/>
                <w:szCs w:val="20"/>
              </w:rPr>
            </w:pPr>
          </w:p>
        </w:tc>
        <w:tc>
          <w:tcPr>
            <w:tcW w:w="1133" w:type="dxa"/>
            <w:vMerge w:val="continue"/>
            <w:vAlign w:val="center"/>
          </w:tcPr>
          <w:p>
            <w:pPr>
              <w:widowControl/>
              <w:jc w:val="both"/>
              <w:rPr>
                <w:rFonts w:ascii="仿宋" w:hAnsi="仿宋" w:eastAsia="仿宋" w:cs="宋体"/>
                <w:color w:val="auto"/>
                <w:kern w:val="0"/>
                <w:sz w:val="20"/>
                <w:szCs w:val="20"/>
              </w:rPr>
            </w:pPr>
          </w:p>
        </w:tc>
        <w:tc>
          <w:tcPr>
            <w:tcW w:w="1139"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C332 离退休干部满意度</w:t>
            </w:r>
          </w:p>
        </w:tc>
        <w:tc>
          <w:tcPr>
            <w:tcW w:w="709" w:type="dxa"/>
            <w:vAlign w:val="center"/>
          </w:tcPr>
          <w:p>
            <w:pPr>
              <w:widowControl/>
              <w:jc w:val="both"/>
              <w:rPr>
                <w:rFonts w:hint="default" w:ascii="仿宋" w:hAnsi="仿宋" w:eastAsia="仿宋" w:cs="宋体"/>
                <w:color w:val="auto"/>
                <w:kern w:val="0"/>
                <w:sz w:val="20"/>
                <w:szCs w:val="20"/>
                <w:lang w:val="en-US" w:eastAsia="zh-CN"/>
              </w:rPr>
            </w:pPr>
            <w:r>
              <w:rPr>
                <w:rFonts w:hint="eastAsia" w:ascii="仿宋" w:hAnsi="仿宋" w:eastAsia="仿宋" w:cs="宋体"/>
                <w:color w:val="auto"/>
                <w:kern w:val="0"/>
                <w:sz w:val="20"/>
                <w:szCs w:val="20"/>
                <w:lang w:val="en-US" w:eastAsia="zh-CN"/>
              </w:rPr>
              <w:t>5</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考察离退休干部的满意度</w:t>
            </w:r>
          </w:p>
        </w:tc>
        <w:tc>
          <w:tcPr>
            <w:tcW w:w="1015"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lang w:val="en-US" w:eastAsia="zh-CN"/>
              </w:rPr>
              <w:t>=100%</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满意度测评</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达到目标值得满分，低于则每降低1%扣除5%的权重分值。</w:t>
            </w:r>
          </w:p>
        </w:tc>
        <w:tc>
          <w:tcPr>
            <w:tcW w:w="2444" w:type="dxa"/>
            <w:vAlign w:val="center"/>
          </w:tcPr>
          <w:p>
            <w:pPr>
              <w:widowControl/>
              <w:jc w:val="both"/>
              <w:rPr>
                <w:rFonts w:ascii="仿宋" w:hAnsi="仿宋" w:eastAsia="仿宋" w:cs="宋体"/>
                <w:color w:val="auto"/>
                <w:kern w:val="0"/>
                <w:sz w:val="20"/>
                <w:szCs w:val="20"/>
              </w:rPr>
            </w:pPr>
            <w:r>
              <w:rPr>
                <w:rFonts w:ascii="仿宋" w:hAnsi="仿宋" w:eastAsia="仿宋" w:cs="宋体"/>
                <w:color w:val="auto"/>
                <w:kern w:val="0"/>
                <w:sz w:val="20"/>
                <w:szCs w:val="20"/>
              </w:rPr>
              <w:t>评级组通过对部门整体职工进行问卷调查，</w:t>
            </w:r>
            <w:r>
              <w:rPr>
                <w:rFonts w:hint="eastAsia" w:ascii="仿宋" w:hAnsi="仿宋" w:eastAsia="仿宋" w:cs="宋体"/>
                <w:color w:val="auto"/>
                <w:kern w:val="0"/>
                <w:sz w:val="20"/>
                <w:szCs w:val="20"/>
                <w:lang w:val="en-US" w:eastAsia="zh-CN"/>
              </w:rPr>
              <w:t>经过对满意度问卷数据分析，</w:t>
            </w:r>
            <w:r>
              <w:rPr>
                <w:rFonts w:ascii="仿宋" w:hAnsi="仿宋" w:eastAsia="仿宋" w:cs="宋体"/>
                <w:color w:val="auto"/>
                <w:kern w:val="0"/>
                <w:sz w:val="20"/>
                <w:szCs w:val="20"/>
              </w:rPr>
              <w:t>整体满意程度为</w:t>
            </w:r>
            <w:r>
              <w:rPr>
                <w:rFonts w:hint="eastAsia" w:ascii="仿宋" w:hAnsi="仿宋" w:eastAsia="仿宋" w:cs="宋体"/>
                <w:color w:val="auto"/>
                <w:kern w:val="0"/>
                <w:sz w:val="20"/>
                <w:szCs w:val="20"/>
                <w:lang w:val="en-US" w:eastAsia="zh-CN"/>
              </w:rPr>
              <w:t>100</w:t>
            </w:r>
            <w:r>
              <w:rPr>
                <w:rFonts w:ascii="仿宋" w:hAnsi="仿宋" w:eastAsia="仿宋" w:cs="宋体"/>
                <w:color w:val="auto"/>
                <w:kern w:val="0"/>
                <w:sz w:val="20"/>
                <w:szCs w:val="20"/>
              </w:rPr>
              <w:t>%，</w:t>
            </w:r>
            <w:r>
              <w:rPr>
                <w:rFonts w:hint="eastAsia" w:ascii="仿宋" w:hAnsi="仿宋" w:eastAsia="仿宋" w:cs="宋体"/>
                <w:color w:val="auto"/>
                <w:kern w:val="0"/>
                <w:sz w:val="20"/>
                <w:szCs w:val="20"/>
                <w:lang w:val="en-US" w:eastAsia="zh-CN"/>
              </w:rPr>
              <w:t>达到年初设定的目标值。</w:t>
            </w:r>
            <w:r>
              <w:rPr>
                <w:rFonts w:ascii="仿宋" w:hAnsi="仿宋" w:eastAsia="仿宋" w:cs="宋体"/>
                <w:color w:val="auto"/>
                <w:kern w:val="0"/>
                <w:sz w:val="20"/>
                <w:szCs w:val="20"/>
              </w:rPr>
              <w:t>根据评分规则</w:t>
            </w:r>
            <w:r>
              <w:rPr>
                <w:rFonts w:hint="eastAsia" w:ascii="仿宋" w:hAnsi="仿宋" w:eastAsia="仿宋" w:cs="宋体"/>
                <w:color w:val="auto"/>
                <w:kern w:val="0"/>
                <w:sz w:val="20"/>
                <w:szCs w:val="20"/>
                <w:lang w:eastAsia="zh-CN"/>
              </w:rPr>
              <w:t>，</w:t>
            </w:r>
            <w:r>
              <w:rPr>
                <w:rFonts w:ascii="仿宋" w:hAnsi="仿宋" w:eastAsia="仿宋" w:cs="宋体"/>
                <w:color w:val="auto"/>
                <w:kern w:val="0"/>
                <w:sz w:val="20"/>
                <w:szCs w:val="20"/>
              </w:rPr>
              <w:t>扣除该指标的10%权重分。综上所述，该项指标得</w:t>
            </w:r>
            <w:r>
              <w:rPr>
                <w:rFonts w:hint="eastAsia" w:ascii="仿宋" w:hAnsi="仿宋" w:eastAsia="仿宋" w:cs="宋体"/>
                <w:color w:val="auto"/>
                <w:kern w:val="0"/>
                <w:sz w:val="20"/>
                <w:szCs w:val="20"/>
                <w:lang w:val="en-US" w:eastAsia="zh-CN"/>
              </w:rPr>
              <w:t>10</w:t>
            </w:r>
            <w:r>
              <w:rPr>
                <w:rFonts w:ascii="仿宋" w:hAnsi="仿宋" w:eastAsia="仿宋" w:cs="宋体"/>
                <w:color w:val="auto"/>
                <w:kern w:val="0"/>
                <w:sz w:val="20"/>
                <w:szCs w:val="20"/>
              </w:rPr>
              <w:t>0%权重分。</w:t>
            </w:r>
          </w:p>
        </w:tc>
        <w:tc>
          <w:tcPr>
            <w:tcW w:w="819" w:type="dxa"/>
            <w:vAlign w:val="center"/>
          </w:tcPr>
          <w:p>
            <w:pPr>
              <w:widowControl/>
              <w:jc w:val="both"/>
              <w:rPr>
                <w:rFonts w:hint="eastAsia" w:ascii="仿宋" w:hAnsi="仿宋" w:eastAsia="仿宋" w:cs="宋体"/>
                <w:color w:val="auto"/>
                <w:kern w:val="0"/>
                <w:sz w:val="20"/>
                <w:szCs w:val="20"/>
                <w:lang w:eastAsia="zh-CN"/>
              </w:rPr>
            </w:pPr>
            <w:r>
              <w:rPr>
                <w:rFonts w:hint="eastAsia" w:ascii="仿宋" w:hAnsi="仿宋" w:eastAsia="仿宋" w:cs="宋体"/>
                <w:color w:val="auto"/>
                <w:kern w:val="0"/>
                <w:sz w:val="20"/>
                <w:szCs w:val="20"/>
                <w:lang w:val="en-US" w:eastAsia="zh-CN"/>
              </w:rPr>
              <w:t>5</w:t>
            </w:r>
          </w:p>
        </w:tc>
        <w:tc>
          <w:tcPr>
            <w:tcW w:w="901"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lang w:val="en-US" w:eastAsia="zh-CN"/>
              </w:rPr>
              <w:t>100</w:t>
            </w:r>
            <w:r>
              <w:rPr>
                <w:rFonts w:hint="eastAsia" w:ascii="仿宋" w:hAnsi="仿宋" w:eastAsia="仿宋" w:cs="宋体"/>
                <w:color w:val="auto"/>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391" w:type="dxa"/>
            <w:gridSpan w:val="4"/>
            <w:vAlign w:val="center"/>
          </w:tcPr>
          <w:p>
            <w:pPr>
              <w:widowControl/>
              <w:jc w:val="both"/>
              <w:rPr>
                <w:rFonts w:ascii="仿宋" w:hAnsi="仿宋" w:eastAsia="仿宋" w:cs="宋体"/>
                <w:b/>
                <w:bCs/>
                <w:color w:val="auto"/>
                <w:kern w:val="0"/>
                <w:sz w:val="20"/>
                <w:szCs w:val="20"/>
              </w:rPr>
            </w:pPr>
            <w:r>
              <w:rPr>
                <w:rFonts w:hint="eastAsia" w:ascii="仿宋" w:hAnsi="仿宋" w:eastAsia="仿宋" w:cs="宋体"/>
                <w:b/>
                <w:bCs/>
                <w:color w:val="auto"/>
                <w:kern w:val="0"/>
                <w:sz w:val="20"/>
                <w:szCs w:val="20"/>
              </w:rPr>
              <w:t>合计</w:t>
            </w:r>
          </w:p>
        </w:tc>
        <w:tc>
          <w:tcPr>
            <w:tcW w:w="709" w:type="dxa"/>
            <w:vAlign w:val="center"/>
          </w:tcPr>
          <w:p>
            <w:pPr>
              <w:widowControl/>
              <w:jc w:val="both"/>
              <w:rPr>
                <w:rFonts w:ascii="仿宋" w:hAnsi="仿宋" w:eastAsia="仿宋" w:cs="宋体"/>
                <w:b/>
                <w:bCs/>
                <w:color w:val="auto"/>
                <w:kern w:val="0"/>
                <w:sz w:val="20"/>
                <w:szCs w:val="20"/>
              </w:rPr>
            </w:pPr>
            <w:r>
              <w:rPr>
                <w:rFonts w:hint="eastAsia" w:ascii="仿宋" w:hAnsi="仿宋" w:eastAsia="仿宋" w:cs="宋体"/>
                <w:b/>
                <w:bCs/>
                <w:color w:val="auto"/>
                <w:kern w:val="0"/>
                <w:sz w:val="20"/>
                <w:szCs w:val="20"/>
              </w:rPr>
              <w:t>100</w:t>
            </w:r>
          </w:p>
        </w:tc>
        <w:tc>
          <w:tcPr>
            <w:tcW w:w="104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w:t>
            </w:r>
          </w:p>
        </w:tc>
        <w:tc>
          <w:tcPr>
            <w:tcW w:w="1015"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w:t>
            </w:r>
          </w:p>
        </w:tc>
        <w:tc>
          <w:tcPr>
            <w:tcW w:w="1057"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w:t>
            </w:r>
          </w:p>
        </w:tc>
        <w:tc>
          <w:tcPr>
            <w:tcW w:w="1562"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w:t>
            </w:r>
          </w:p>
        </w:tc>
        <w:tc>
          <w:tcPr>
            <w:tcW w:w="2444" w:type="dxa"/>
            <w:vAlign w:val="center"/>
          </w:tcPr>
          <w:p>
            <w:pPr>
              <w:widowControl/>
              <w:jc w:val="both"/>
              <w:rPr>
                <w:rFonts w:ascii="仿宋" w:hAnsi="仿宋" w:eastAsia="仿宋" w:cs="宋体"/>
                <w:color w:val="auto"/>
                <w:kern w:val="0"/>
                <w:sz w:val="20"/>
                <w:szCs w:val="20"/>
              </w:rPr>
            </w:pPr>
            <w:r>
              <w:rPr>
                <w:rFonts w:hint="eastAsia" w:ascii="仿宋" w:hAnsi="仿宋" w:eastAsia="仿宋" w:cs="宋体"/>
                <w:color w:val="auto"/>
                <w:kern w:val="0"/>
                <w:sz w:val="20"/>
                <w:szCs w:val="20"/>
              </w:rPr>
              <w:t>-</w:t>
            </w:r>
          </w:p>
        </w:tc>
        <w:tc>
          <w:tcPr>
            <w:tcW w:w="819" w:type="dxa"/>
            <w:vAlign w:val="center"/>
          </w:tcPr>
          <w:p>
            <w:pPr>
              <w:widowControl/>
              <w:jc w:val="both"/>
              <w:rPr>
                <w:rFonts w:hint="default" w:ascii="仿宋" w:hAnsi="仿宋" w:eastAsia="仿宋" w:cs="宋体"/>
                <w:b/>
                <w:bCs/>
                <w:color w:val="auto"/>
                <w:kern w:val="0"/>
                <w:sz w:val="20"/>
                <w:szCs w:val="20"/>
                <w:lang w:val="en-US" w:eastAsia="zh-CN"/>
              </w:rPr>
            </w:pPr>
            <w:r>
              <w:rPr>
                <w:rFonts w:hint="eastAsia" w:ascii="仿宋" w:hAnsi="仿宋" w:eastAsia="仿宋" w:cs="宋体"/>
                <w:b/>
                <w:bCs/>
                <w:color w:val="auto"/>
                <w:kern w:val="0"/>
                <w:sz w:val="20"/>
                <w:szCs w:val="20"/>
                <w:lang w:val="en-US" w:eastAsia="zh-CN"/>
              </w:rPr>
              <w:t>98.88</w:t>
            </w:r>
          </w:p>
        </w:tc>
        <w:tc>
          <w:tcPr>
            <w:tcW w:w="901" w:type="dxa"/>
            <w:vAlign w:val="center"/>
          </w:tcPr>
          <w:p>
            <w:pPr>
              <w:widowControl/>
              <w:jc w:val="both"/>
              <w:rPr>
                <w:rFonts w:ascii="仿宋" w:hAnsi="仿宋" w:eastAsia="仿宋" w:cs="宋体"/>
                <w:b/>
                <w:bCs/>
                <w:color w:val="auto"/>
                <w:kern w:val="0"/>
                <w:sz w:val="20"/>
                <w:szCs w:val="20"/>
              </w:rPr>
            </w:pPr>
            <w:r>
              <w:rPr>
                <w:rFonts w:hint="eastAsia" w:ascii="仿宋" w:hAnsi="仿宋" w:eastAsia="仿宋" w:cs="宋体"/>
                <w:b/>
                <w:bCs/>
                <w:color w:val="auto"/>
                <w:kern w:val="0"/>
                <w:sz w:val="20"/>
                <w:szCs w:val="20"/>
                <w:lang w:val="en-US" w:eastAsia="zh-CN"/>
              </w:rPr>
              <w:t>98.88</w:t>
            </w:r>
            <w:r>
              <w:rPr>
                <w:rFonts w:hint="eastAsia" w:ascii="仿宋" w:hAnsi="仿宋" w:eastAsia="仿宋" w:cs="宋体"/>
                <w:b/>
                <w:bCs/>
                <w:color w:val="auto"/>
                <w:kern w:val="0"/>
                <w:sz w:val="20"/>
                <w:szCs w:val="20"/>
              </w:rPr>
              <w:t>%</w:t>
            </w:r>
          </w:p>
        </w:tc>
      </w:tr>
    </w:tbl>
    <w:p>
      <w:pPr>
        <w:spacing w:line="500" w:lineRule="exact"/>
        <w:ind w:firstLine="8433" w:firstLineChars="3000"/>
        <w:jc w:val="both"/>
        <w:rPr>
          <w:rFonts w:hint="eastAsia" w:eastAsia="仿宋_GB2312"/>
          <w:b/>
          <w:bCs/>
          <w:color w:val="auto"/>
          <w:kern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7588" w:firstLineChars="2362"/>
        <w:jc w:val="both"/>
        <w:textAlignment w:val="auto"/>
        <w:rPr>
          <w:rFonts w:hint="eastAsia" w:eastAsia="仿宋_GB2312"/>
          <w:b/>
          <w:bCs/>
          <w:color w:val="auto"/>
          <w:kern w:val="0"/>
          <w:sz w:val="32"/>
          <w:szCs w:val="32"/>
          <w:lang w:val="en-US" w:eastAsia="zh-CN"/>
        </w:rPr>
      </w:pPr>
    </w:p>
    <w:p>
      <w:pPr>
        <w:ind w:firstLine="6425" w:firstLineChars="2000"/>
        <w:jc w:val="left"/>
        <w:rPr>
          <w:rFonts w:hint="eastAsia" w:ascii="Times New Roman" w:hAnsi="Times New Roman" w:eastAsia="黑体" w:cs="Times New Roman"/>
          <w:b w:val="0"/>
          <w:bCs w:val="0"/>
          <w:color w:val="auto"/>
          <w:sz w:val="32"/>
          <w:szCs w:val="32"/>
          <w:highlight w:val="none"/>
          <w:lang w:val="en-US" w:eastAsia="zh-CN"/>
        </w:rPr>
      </w:pPr>
      <w:r>
        <w:rPr>
          <w:rFonts w:hint="eastAsia" w:eastAsia="仿宋_GB2312"/>
          <w:b/>
          <w:bCs/>
          <w:color w:val="auto"/>
          <w:kern w:val="0"/>
          <w:sz w:val="32"/>
          <w:szCs w:val="32"/>
          <w:lang w:val="en-US" w:eastAsia="zh-CN"/>
        </w:rPr>
        <w:t>评价机构：</w:t>
      </w:r>
      <w:r>
        <w:rPr>
          <w:rFonts w:hint="eastAsia" w:ascii="Times New Roman" w:hAnsi="Times New Roman" w:eastAsia="黑体" w:cs="Times New Roman"/>
          <w:b w:val="0"/>
          <w:bCs w:val="0"/>
          <w:color w:val="auto"/>
          <w:sz w:val="32"/>
          <w:szCs w:val="32"/>
          <w:highlight w:val="none"/>
          <w:lang w:val="en-US" w:eastAsia="zh-CN"/>
        </w:rPr>
        <w:t>新疆永信中正项目管理咨询有限公司</w:t>
      </w:r>
    </w:p>
    <w:p>
      <w:pPr>
        <w:keepNext w:val="0"/>
        <w:keepLines w:val="0"/>
        <w:pageBreakBefore w:val="0"/>
        <w:widowControl w:val="0"/>
        <w:kinsoku/>
        <w:wordWrap/>
        <w:overflowPunct/>
        <w:topLinePunct w:val="0"/>
        <w:autoSpaceDE/>
        <w:autoSpaceDN/>
        <w:bidi w:val="0"/>
        <w:adjustRightInd/>
        <w:snapToGrid/>
        <w:spacing w:line="360" w:lineRule="auto"/>
        <w:ind w:firstLine="6425" w:firstLineChars="2000"/>
        <w:jc w:val="both"/>
        <w:textAlignment w:val="auto"/>
        <w:rPr>
          <w:rFonts w:hint="default" w:eastAsia="仿宋_GB2312"/>
          <w:b/>
          <w:bCs/>
          <w:color w:val="auto"/>
          <w:kern w:val="0"/>
          <w:sz w:val="32"/>
          <w:szCs w:val="32"/>
          <w:lang w:val="en-US" w:eastAsia="zh-CN"/>
        </w:rPr>
        <w:sectPr>
          <w:pgSz w:w="16838" w:h="11906" w:orient="landscape"/>
          <w:pgMar w:top="1800" w:right="1440" w:bottom="1800" w:left="1440" w:header="851" w:footer="992" w:gutter="0"/>
          <w:pgNumType w:fmt="numberInDash"/>
          <w:cols w:space="720" w:num="1"/>
          <w:docGrid w:type="lines" w:linePitch="312" w:charSpace="0"/>
        </w:sectPr>
      </w:pPr>
      <w:r>
        <w:rPr>
          <w:rFonts w:hint="eastAsia" w:eastAsia="仿宋_GB2312"/>
          <w:b/>
          <w:bCs/>
          <w:color w:val="auto"/>
          <w:kern w:val="0"/>
          <w:sz w:val="32"/>
          <w:szCs w:val="32"/>
          <w:lang w:val="en-US" w:eastAsia="zh-CN"/>
        </w:rPr>
        <w:t>主评人：邹燕</w:t>
      </w:r>
    </w:p>
    <w:p>
      <w:pPr>
        <w:pStyle w:val="3"/>
        <w:bidi w:val="0"/>
        <w:rPr>
          <w:rFonts w:hint="default"/>
          <w:lang w:val="en-US" w:eastAsia="zh-CN"/>
        </w:rPr>
      </w:pPr>
      <w:bookmarkStart w:id="104" w:name="_Toc31452_WPSOffice_Level1"/>
      <w:bookmarkStart w:id="105" w:name="_Toc15827"/>
      <w:r>
        <w:rPr>
          <w:rFonts w:hint="eastAsia"/>
          <w:lang w:val="en-US" w:eastAsia="zh-CN"/>
        </w:rPr>
        <w:t>附件3 部门整体支出明细汇总表</w:t>
      </w:r>
      <w:bookmarkEnd w:id="104"/>
      <w:bookmarkEnd w:id="105"/>
    </w:p>
    <w:p>
      <w:pPr>
        <w:pStyle w:val="17"/>
        <w:keepNext w:val="0"/>
        <w:keepLines w:val="0"/>
        <w:pageBreakBefore w:val="0"/>
        <w:widowControl w:val="0"/>
        <w:numPr>
          <w:ilvl w:val="0"/>
          <w:numId w:val="0"/>
        </w:numPr>
        <w:kinsoku/>
        <w:wordWrap/>
        <w:overflowPunct/>
        <w:topLinePunct w:val="0"/>
        <w:autoSpaceDE/>
        <w:autoSpaceDN/>
        <w:bidi w:val="0"/>
        <w:adjustRightInd/>
        <w:snapToGrid w:val="0"/>
        <w:spacing w:line="570" w:lineRule="atLeast"/>
        <w:ind w:firstLine="420" w:firstLineChars="200"/>
        <w:jc w:val="both"/>
        <w:textAlignment w:val="auto"/>
        <w:rPr>
          <w:color w:val="auto"/>
        </w:rPr>
      </w:pPr>
      <w:r>
        <w:rPr>
          <w:color w:val="auto"/>
        </w:rPr>
        <w:drawing>
          <wp:inline distT="0" distB="0" distL="0" distR="0">
            <wp:extent cx="7897495" cy="3712210"/>
            <wp:effectExtent l="0" t="0" r="8255" b="254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8" cstate="print"/>
                    <a:srcRect/>
                    <a:stretch>
                      <a:fillRect/>
                    </a:stretch>
                  </pic:blipFill>
                  <pic:spPr>
                    <a:xfrm>
                      <a:off x="0" y="0"/>
                      <a:ext cx="7897495" cy="3712210"/>
                    </a:xfrm>
                    <a:prstGeom prst="rect">
                      <a:avLst/>
                    </a:prstGeom>
                    <a:ln>
                      <a:noFill/>
                    </a:ln>
                  </pic:spPr>
                </pic:pic>
              </a:graphicData>
            </a:graphic>
          </wp:inline>
        </w:drawing>
      </w:r>
    </w:p>
    <w:p>
      <w:pPr>
        <w:pStyle w:val="26"/>
        <w:spacing w:before="0" w:after="0" w:line="560" w:lineRule="exact"/>
        <w:jc w:val="both"/>
        <w:outlineLvl w:val="0"/>
        <w:rPr>
          <w:rFonts w:hint="eastAsia" w:ascii="黑体" w:hAnsi="黑体" w:eastAsia="黑体"/>
          <w:b w:val="0"/>
          <w:bCs/>
          <w:color w:val="auto"/>
          <w:sz w:val="32"/>
          <w:szCs w:val="32"/>
          <w:lang w:val="en-US" w:eastAsia="zh-CN"/>
        </w:rPr>
      </w:pPr>
      <w:bookmarkStart w:id="106" w:name="_Toc11116"/>
    </w:p>
    <w:p>
      <w:pPr>
        <w:pStyle w:val="3"/>
        <w:bidi w:val="0"/>
        <w:rPr>
          <w:rFonts w:hint="eastAsia"/>
          <w:lang w:val="en-US" w:eastAsia="zh-CN"/>
        </w:rPr>
      </w:pPr>
      <w:bookmarkStart w:id="107" w:name="_Toc22582_WPSOffice_Level1"/>
      <w:r>
        <w:rPr>
          <w:rFonts w:hint="eastAsia"/>
          <w:lang w:val="en-US" w:eastAsia="zh-CN"/>
        </w:rPr>
        <w:t>附件4 伽师县市场监督管理局“三公”经费使用情况统计表</w:t>
      </w:r>
      <w:bookmarkEnd w:id="106"/>
      <w:bookmarkEnd w:id="107"/>
    </w:p>
    <w:p>
      <w:pPr>
        <w:spacing w:line="240" w:lineRule="atLeast"/>
        <w:jc w:val="both"/>
        <w:textAlignment w:val="center"/>
        <w:rPr>
          <w:rFonts w:ascii="仿宋_GB2312" w:hAnsi="宋体" w:eastAsia="仿宋_GB2312" w:cs="仿宋_GB2312"/>
          <w:bCs/>
          <w:color w:val="auto"/>
          <w:kern w:val="0"/>
          <w:sz w:val="24"/>
        </w:rPr>
      </w:pPr>
      <w:r>
        <w:rPr>
          <w:rFonts w:hint="eastAsia" w:ascii="仿宋_GB2312" w:hAnsi="宋体" w:eastAsia="仿宋_GB2312" w:cs="仿宋_GB2312"/>
          <w:bCs/>
          <w:color w:val="auto"/>
          <w:kern w:val="0"/>
          <w:sz w:val="24"/>
        </w:rPr>
        <w:t xml:space="preserve">                                                                                                  </w:t>
      </w:r>
      <w:bookmarkStart w:id="108" w:name="_Toc14172_WPSOffice_Level2"/>
      <w:r>
        <w:rPr>
          <w:rFonts w:ascii="仿宋_GB2312" w:hAnsi="宋体" w:eastAsia="仿宋_GB2312" w:cs="仿宋_GB2312"/>
          <w:bCs/>
          <w:color w:val="auto"/>
          <w:kern w:val="0"/>
          <w:sz w:val="24"/>
        </w:rPr>
        <w:t>单位：万元</w:t>
      </w:r>
      <w:bookmarkEnd w:id="108"/>
    </w:p>
    <w:tbl>
      <w:tblPr>
        <w:tblStyle w:val="11"/>
        <w:tblW w:w="13495" w:type="dxa"/>
        <w:tblInd w:w="0" w:type="dxa"/>
        <w:tblLayout w:type="fixed"/>
        <w:tblCellMar>
          <w:top w:w="15" w:type="dxa"/>
          <w:left w:w="15" w:type="dxa"/>
          <w:bottom w:w="15" w:type="dxa"/>
          <w:right w:w="15" w:type="dxa"/>
        </w:tblCellMar>
      </w:tblPr>
      <w:tblGrid>
        <w:gridCol w:w="505"/>
        <w:gridCol w:w="1020"/>
        <w:gridCol w:w="1290"/>
        <w:gridCol w:w="1320"/>
        <w:gridCol w:w="1455"/>
        <w:gridCol w:w="1425"/>
        <w:gridCol w:w="1560"/>
        <w:gridCol w:w="1650"/>
        <w:gridCol w:w="1605"/>
        <w:gridCol w:w="1665"/>
      </w:tblGrid>
      <w:tr>
        <w:tblPrEx>
          <w:tblCellMar>
            <w:top w:w="15" w:type="dxa"/>
            <w:left w:w="15" w:type="dxa"/>
            <w:bottom w:w="15" w:type="dxa"/>
            <w:right w:w="15" w:type="dxa"/>
          </w:tblCellMar>
        </w:tblPrEx>
        <w:trPr>
          <w:trHeight w:val="450" w:hRule="atLeast"/>
        </w:trPr>
        <w:tc>
          <w:tcPr>
            <w:tcW w:w="13495" w:type="dxa"/>
            <w:gridSpan w:val="10"/>
            <w:tcBorders>
              <w:top w:val="single" w:color="000000" w:sz="4" w:space="0"/>
              <w:left w:val="single" w:color="000000" w:sz="4" w:space="0"/>
              <w:right w:val="single" w:color="000000" w:sz="4" w:space="0"/>
            </w:tcBorders>
            <w:shd w:val="clear" w:color="auto" w:fill="FFFFFF"/>
            <w:vAlign w:val="center"/>
          </w:tcPr>
          <w:p>
            <w:pPr>
              <w:widowControl/>
              <w:jc w:val="both"/>
              <w:textAlignment w:val="center"/>
              <w:rPr>
                <w:rFonts w:ascii="仿宋_GB2312" w:hAnsi="宋体" w:eastAsia="仿宋_GB2312" w:cs="仿宋_GB2312"/>
                <w:b/>
                <w:bCs/>
                <w:color w:val="auto"/>
                <w:kern w:val="0"/>
                <w:sz w:val="22"/>
                <w:szCs w:val="22"/>
              </w:rPr>
            </w:pPr>
            <w:r>
              <w:rPr>
                <w:rFonts w:ascii="仿宋_GB2312" w:hAnsi="宋体" w:eastAsia="仿宋_GB2312" w:cs="仿宋_GB2312"/>
                <w:b/>
                <w:bCs/>
                <w:color w:val="auto"/>
                <w:kern w:val="0"/>
                <w:sz w:val="22"/>
                <w:szCs w:val="22"/>
              </w:rPr>
              <w:t>填制单位（章）：</w:t>
            </w:r>
          </w:p>
        </w:tc>
      </w:tr>
      <w:tr>
        <w:tblPrEx>
          <w:tblCellMar>
            <w:top w:w="15" w:type="dxa"/>
            <w:left w:w="15" w:type="dxa"/>
            <w:bottom w:w="15" w:type="dxa"/>
            <w:right w:w="15" w:type="dxa"/>
          </w:tblCellMar>
        </w:tblPrEx>
        <w:trPr>
          <w:trHeight w:val="450" w:hRule="atLeast"/>
        </w:trPr>
        <w:tc>
          <w:tcPr>
            <w:tcW w:w="13495" w:type="dxa"/>
            <w:gridSpan w:val="10"/>
            <w:tcBorders>
              <w:top w:val="single" w:color="000000" w:sz="4" w:space="0"/>
              <w:left w:val="single" w:color="000000" w:sz="4" w:space="0"/>
              <w:right w:val="single" w:color="000000" w:sz="4" w:space="0"/>
            </w:tcBorders>
            <w:shd w:val="clear" w:color="auto" w:fill="FFFFFF"/>
            <w:vAlign w:val="center"/>
          </w:tcPr>
          <w:p>
            <w:pPr>
              <w:widowControl/>
              <w:jc w:val="both"/>
              <w:textAlignment w:val="center"/>
              <w:rPr>
                <w:rFonts w:ascii="仿宋_GB2312" w:hAnsi="宋体" w:eastAsia="仿宋_GB2312" w:cs="仿宋_GB2312"/>
                <w:b/>
                <w:bCs/>
                <w:color w:val="auto"/>
                <w:kern w:val="0"/>
                <w:sz w:val="22"/>
                <w:szCs w:val="22"/>
              </w:rPr>
            </w:pPr>
            <w:r>
              <w:rPr>
                <w:rFonts w:ascii="仿宋_GB2312" w:hAnsi="宋体" w:eastAsia="仿宋_GB2312" w:cs="仿宋_GB2312"/>
                <w:b/>
                <w:bCs/>
                <w:color w:val="auto"/>
                <w:kern w:val="0"/>
                <w:sz w:val="22"/>
                <w:szCs w:val="22"/>
              </w:rPr>
              <w:t xml:space="preserve">填表人：　         联系方式：　            填表日期：　                核查人：  </w:t>
            </w:r>
          </w:p>
        </w:tc>
      </w:tr>
      <w:tr>
        <w:tblPrEx>
          <w:tblCellMar>
            <w:top w:w="15" w:type="dxa"/>
            <w:left w:w="15" w:type="dxa"/>
            <w:bottom w:w="15" w:type="dxa"/>
            <w:right w:w="15" w:type="dxa"/>
          </w:tblCellMar>
        </w:tblPrEx>
        <w:trPr>
          <w:trHeight w:val="450" w:hRule="atLeast"/>
        </w:trPr>
        <w:tc>
          <w:tcPr>
            <w:tcW w:w="1525" w:type="dxa"/>
            <w:gridSpan w:val="2"/>
            <w:vMerge w:val="restart"/>
            <w:tcBorders>
              <w:top w:val="single" w:color="000000" w:sz="4" w:space="0"/>
              <w:left w:val="single" w:color="000000" w:sz="4" w:space="0"/>
              <w:right w:val="single" w:color="000000" w:sz="4" w:space="0"/>
            </w:tcBorders>
            <w:shd w:val="clear" w:color="auto" w:fill="FFFFFF"/>
            <w:vAlign w:val="center"/>
          </w:tcPr>
          <w:p>
            <w:pPr>
              <w:widowControl/>
              <w:jc w:val="both"/>
              <w:textAlignment w:val="center"/>
              <w:rPr>
                <w:rFonts w:ascii="仿宋_GB2312" w:hAnsi="宋体" w:eastAsia="仿宋_GB2312" w:cs="仿宋_GB2312"/>
                <w:color w:val="auto"/>
                <w:kern w:val="0"/>
                <w:sz w:val="22"/>
                <w:szCs w:val="22"/>
              </w:rPr>
            </w:pPr>
            <w:r>
              <w:rPr>
                <w:rFonts w:hint="eastAsia" w:ascii="仿宋_GB2312" w:hAnsi="宋体" w:eastAsia="仿宋_GB2312" w:cs="仿宋_GB2312"/>
                <w:color w:val="auto"/>
                <w:kern w:val="0"/>
                <w:sz w:val="22"/>
                <w:szCs w:val="22"/>
              </w:rPr>
              <w:t>项目</w:t>
            </w:r>
          </w:p>
        </w:tc>
        <w:tc>
          <w:tcPr>
            <w:tcW w:w="11970"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both"/>
              <w:textAlignment w:val="center"/>
              <w:rPr>
                <w:rFonts w:ascii="仿宋_GB2312" w:hAnsi="宋体" w:eastAsia="仿宋_GB2312" w:cs="仿宋_GB2312"/>
                <w:color w:val="auto"/>
                <w:kern w:val="0"/>
                <w:sz w:val="22"/>
                <w:szCs w:val="22"/>
              </w:rPr>
            </w:pPr>
            <w:r>
              <w:rPr>
                <w:rFonts w:hint="eastAsia" w:ascii="仿宋_GB2312" w:hAnsi="宋体" w:eastAsia="仿宋_GB2312" w:cs="仿宋_GB2312"/>
                <w:color w:val="auto"/>
                <w:kern w:val="0"/>
                <w:sz w:val="22"/>
                <w:szCs w:val="22"/>
              </w:rPr>
              <w:t>“三公”经费使用情况</w:t>
            </w:r>
          </w:p>
        </w:tc>
      </w:tr>
      <w:tr>
        <w:tblPrEx>
          <w:tblCellMar>
            <w:top w:w="15" w:type="dxa"/>
            <w:left w:w="15" w:type="dxa"/>
            <w:bottom w:w="15" w:type="dxa"/>
            <w:right w:w="15" w:type="dxa"/>
          </w:tblCellMar>
        </w:tblPrEx>
        <w:trPr>
          <w:trHeight w:val="555" w:hRule="atLeast"/>
        </w:trPr>
        <w:tc>
          <w:tcPr>
            <w:tcW w:w="1525" w:type="dxa"/>
            <w:gridSpan w:val="2"/>
            <w:vMerge w:val="continue"/>
            <w:tcBorders>
              <w:top w:val="single" w:color="000000" w:sz="4" w:space="0"/>
              <w:left w:val="single" w:color="000000" w:sz="4" w:space="0"/>
              <w:right w:val="single" w:color="000000" w:sz="4" w:space="0"/>
            </w:tcBorders>
            <w:shd w:val="clear" w:color="auto" w:fill="FFFFFF"/>
            <w:vAlign w:val="center"/>
          </w:tcPr>
          <w:p>
            <w:pPr>
              <w:widowControl/>
              <w:jc w:val="both"/>
              <w:textAlignment w:val="center"/>
              <w:rPr>
                <w:rFonts w:ascii="仿宋_GB2312" w:hAnsi="宋体" w:eastAsia="仿宋_GB2312" w:cs="仿宋_GB2312"/>
                <w:color w:val="auto"/>
                <w:kern w:val="0"/>
                <w:sz w:val="22"/>
                <w:szCs w:val="22"/>
              </w:rPr>
            </w:pPr>
          </w:p>
        </w:tc>
        <w:tc>
          <w:tcPr>
            <w:tcW w:w="26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both"/>
              <w:textAlignment w:val="center"/>
              <w:rPr>
                <w:rFonts w:ascii="仿宋_GB2312" w:hAnsi="宋体" w:eastAsia="仿宋_GB2312" w:cs="仿宋_GB2312"/>
                <w:color w:val="auto"/>
                <w:kern w:val="0"/>
                <w:sz w:val="22"/>
                <w:szCs w:val="22"/>
              </w:rPr>
            </w:pPr>
            <w:r>
              <w:rPr>
                <w:rFonts w:hint="eastAsia" w:ascii="仿宋_GB2312" w:hAnsi="宋体" w:eastAsia="仿宋_GB2312" w:cs="仿宋_GB2312"/>
                <w:color w:val="auto"/>
                <w:kern w:val="0"/>
                <w:sz w:val="22"/>
                <w:szCs w:val="22"/>
              </w:rPr>
              <w:t>“三公”经费合计</w:t>
            </w:r>
          </w:p>
        </w:tc>
        <w:tc>
          <w:tcPr>
            <w:tcW w:w="28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both"/>
              <w:textAlignment w:val="center"/>
              <w:rPr>
                <w:rFonts w:ascii="仿宋_GB2312" w:hAnsi="宋体" w:eastAsia="仿宋_GB2312" w:cs="仿宋_GB2312"/>
                <w:color w:val="auto"/>
                <w:kern w:val="0"/>
                <w:sz w:val="22"/>
                <w:szCs w:val="22"/>
              </w:rPr>
            </w:pPr>
            <w:r>
              <w:rPr>
                <w:rFonts w:hint="eastAsia" w:ascii="仿宋_GB2312" w:hAnsi="宋体" w:eastAsia="仿宋_GB2312" w:cs="仿宋_GB2312"/>
                <w:color w:val="auto"/>
                <w:kern w:val="0"/>
                <w:sz w:val="22"/>
                <w:szCs w:val="22"/>
              </w:rPr>
              <w:t>其中：1.因公出国（境）费</w:t>
            </w:r>
          </w:p>
        </w:tc>
        <w:tc>
          <w:tcPr>
            <w:tcW w:w="3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both"/>
              <w:textAlignment w:val="center"/>
              <w:rPr>
                <w:rFonts w:ascii="仿宋_GB2312" w:hAnsi="宋体" w:eastAsia="仿宋_GB2312" w:cs="仿宋_GB2312"/>
                <w:color w:val="auto"/>
                <w:kern w:val="0"/>
                <w:sz w:val="22"/>
                <w:szCs w:val="22"/>
              </w:rPr>
            </w:pPr>
            <w:r>
              <w:rPr>
                <w:rFonts w:hint="eastAsia" w:ascii="仿宋_GB2312" w:hAnsi="宋体" w:eastAsia="仿宋_GB2312" w:cs="仿宋_GB2312"/>
                <w:color w:val="auto"/>
                <w:kern w:val="0"/>
                <w:sz w:val="22"/>
                <w:szCs w:val="22"/>
              </w:rPr>
              <w:t>2.公务用车运行费</w:t>
            </w:r>
          </w:p>
        </w:tc>
        <w:tc>
          <w:tcPr>
            <w:tcW w:w="327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both"/>
              <w:textAlignment w:val="center"/>
              <w:rPr>
                <w:rFonts w:ascii="仿宋_GB2312" w:hAnsi="宋体" w:eastAsia="仿宋_GB2312" w:cs="仿宋_GB2312"/>
                <w:color w:val="auto"/>
                <w:kern w:val="0"/>
                <w:sz w:val="22"/>
                <w:szCs w:val="22"/>
              </w:rPr>
            </w:pPr>
            <w:r>
              <w:rPr>
                <w:rFonts w:hint="eastAsia" w:ascii="仿宋_GB2312" w:hAnsi="宋体" w:eastAsia="仿宋_GB2312" w:cs="仿宋_GB2312"/>
                <w:color w:val="auto"/>
                <w:kern w:val="0"/>
                <w:sz w:val="22"/>
                <w:szCs w:val="22"/>
              </w:rPr>
              <w:t>3.公务接待费</w:t>
            </w:r>
          </w:p>
        </w:tc>
      </w:tr>
      <w:tr>
        <w:tblPrEx>
          <w:tblCellMar>
            <w:top w:w="15" w:type="dxa"/>
            <w:left w:w="15" w:type="dxa"/>
            <w:bottom w:w="15" w:type="dxa"/>
            <w:right w:w="15" w:type="dxa"/>
          </w:tblCellMar>
        </w:tblPrEx>
        <w:trPr>
          <w:trHeight w:val="450" w:hRule="atLeast"/>
        </w:trPr>
        <w:tc>
          <w:tcPr>
            <w:tcW w:w="505" w:type="dxa"/>
            <w:tcBorders>
              <w:top w:val="single" w:color="000000" w:sz="4" w:space="0"/>
              <w:left w:val="single" w:color="000000" w:sz="4" w:space="0"/>
              <w:bottom w:val="single" w:color="000000" w:sz="4" w:space="0"/>
              <w:right w:val="single" w:color="auto" w:sz="4" w:space="0"/>
            </w:tcBorders>
            <w:vAlign w:val="center"/>
          </w:tcPr>
          <w:p>
            <w:pPr>
              <w:widowControl/>
              <w:jc w:val="both"/>
              <w:textAlignment w:val="center"/>
              <w:rPr>
                <w:rFonts w:ascii="仿宋_GB2312" w:hAnsi="宋体" w:eastAsia="仿宋_GB2312" w:cs="仿宋_GB2312"/>
                <w:color w:val="auto"/>
                <w:kern w:val="0"/>
                <w:sz w:val="22"/>
                <w:szCs w:val="22"/>
              </w:rPr>
            </w:pPr>
            <w:r>
              <w:rPr>
                <w:rFonts w:hint="eastAsia" w:ascii="仿宋_GB2312" w:hAnsi="宋体" w:eastAsia="仿宋_GB2312" w:cs="仿宋_GB2312"/>
                <w:color w:val="auto"/>
                <w:kern w:val="0"/>
                <w:sz w:val="22"/>
                <w:szCs w:val="22"/>
              </w:rPr>
              <w:t>序号</w:t>
            </w:r>
          </w:p>
        </w:tc>
        <w:tc>
          <w:tcPr>
            <w:tcW w:w="1020" w:type="dxa"/>
            <w:tcBorders>
              <w:top w:val="single" w:color="000000" w:sz="4" w:space="0"/>
              <w:left w:val="single" w:color="auto" w:sz="4" w:space="0"/>
              <w:bottom w:val="single" w:color="000000" w:sz="4" w:space="0"/>
              <w:right w:val="single" w:color="000000" w:sz="4" w:space="0"/>
            </w:tcBorders>
            <w:vAlign w:val="center"/>
          </w:tcPr>
          <w:p>
            <w:pPr>
              <w:widowControl/>
              <w:jc w:val="both"/>
              <w:textAlignment w:val="center"/>
              <w:rPr>
                <w:rFonts w:ascii="仿宋_GB2312" w:hAnsi="宋体" w:eastAsia="仿宋_GB2312" w:cs="仿宋_GB2312"/>
                <w:color w:val="auto"/>
                <w:kern w:val="0"/>
                <w:sz w:val="22"/>
                <w:szCs w:val="22"/>
              </w:rPr>
            </w:pPr>
            <w:r>
              <w:rPr>
                <w:rFonts w:hint="eastAsia" w:ascii="仿宋_GB2312" w:hAnsi="宋体" w:eastAsia="仿宋_GB2312" w:cs="仿宋_GB2312"/>
                <w:color w:val="auto"/>
                <w:kern w:val="0"/>
                <w:sz w:val="22"/>
                <w:szCs w:val="22"/>
              </w:rPr>
              <w:t>年度</w:t>
            </w:r>
          </w:p>
        </w:tc>
        <w:tc>
          <w:tcPr>
            <w:tcW w:w="1290" w:type="dxa"/>
            <w:tcBorders>
              <w:top w:val="single" w:color="000000" w:sz="4" w:space="0"/>
              <w:left w:val="single" w:color="000000" w:sz="4" w:space="0"/>
              <w:bottom w:val="single" w:color="000000" w:sz="4" w:space="0"/>
              <w:right w:val="single" w:color="000000" w:sz="4" w:space="0"/>
            </w:tcBorders>
            <w:vAlign w:val="bottom"/>
          </w:tcPr>
          <w:p>
            <w:pPr>
              <w:widowControl/>
              <w:jc w:val="both"/>
              <w:textAlignment w:val="center"/>
              <w:rPr>
                <w:rFonts w:ascii="仿宋_GB2312" w:hAnsi="宋体" w:eastAsia="仿宋_GB2312" w:cs="仿宋_GB2312"/>
                <w:color w:val="auto"/>
                <w:kern w:val="0"/>
                <w:sz w:val="22"/>
                <w:szCs w:val="22"/>
              </w:rPr>
            </w:pPr>
            <w:r>
              <w:rPr>
                <w:rFonts w:hint="eastAsia" w:ascii="仿宋_GB2312" w:hAnsi="宋体" w:eastAsia="仿宋_GB2312" w:cs="仿宋_GB2312"/>
                <w:color w:val="auto"/>
                <w:kern w:val="0"/>
                <w:sz w:val="22"/>
                <w:szCs w:val="22"/>
              </w:rPr>
              <w:t>预算数</w:t>
            </w:r>
          </w:p>
        </w:tc>
        <w:tc>
          <w:tcPr>
            <w:tcW w:w="1320" w:type="dxa"/>
            <w:tcBorders>
              <w:top w:val="single" w:color="000000" w:sz="4" w:space="0"/>
              <w:left w:val="single" w:color="000000" w:sz="4" w:space="0"/>
              <w:bottom w:val="single" w:color="000000" w:sz="4" w:space="0"/>
              <w:right w:val="single" w:color="000000" w:sz="4" w:space="0"/>
            </w:tcBorders>
            <w:vAlign w:val="bottom"/>
          </w:tcPr>
          <w:p>
            <w:pPr>
              <w:widowControl/>
              <w:jc w:val="both"/>
              <w:textAlignment w:val="center"/>
              <w:rPr>
                <w:rFonts w:ascii="仿宋_GB2312" w:hAnsi="宋体" w:eastAsia="仿宋_GB2312" w:cs="仿宋_GB2312"/>
                <w:color w:val="auto"/>
                <w:kern w:val="0"/>
                <w:sz w:val="22"/>
                <w:szCs w:val="22"/>
              </w:rPr>
            </w:pPr>
            <w:r>
              <w:rPr>
                <w:rFonts w:hint="eastAsia" w:ascii="仿宋_GB2312" w:hAnsi="宋体" w:eastAsia="仿宋_GB2312" w:cs="仿宋_GB2312"/>
                <w:color w:val="auto"/>
                <w:kern w:val="0"/>
                <w:sz w:val="22"/>
                <w:szCs w:val="22"/>
              </w:rPr>
              <w:t>支出数</w:t>
            </w:r>
          </w:p>
        </w:tc>
        <w:tc>
          <w:tcPr>
            <w:tcW w:w="1455" w:type="dxa"/>
            <w:tcBorders>
              <w:top w:val="single" w:color="000000" w:sz="4" w:space="0"/>
              <w:left w:val="single" w:color="000000" w:sz="4" w:space="0"/>
              <w:bottom w:val="single" w:color="000000" w:sz="4" w:space="0"/>
              <w:right w:val="single" w:color="000000" w:sz="4" w:space="0"/>
            </w:tcBorders>
            <w:vAlign w:val="bottom"/>
          </w:tcPr>
          <w:p>
            <w:pPr>
              <w:widowControl/>
              <w:jc w:val="both"/>
              <w:textAlignment w:val="center"/>
              <w:rPr>
                <w:rFonts w:ascii="仿宋_GB2312" w:hAnsi="宋体" w:eastAsia="仿宋_GB2312" w:cs="仿宋_GB2312"/>
                <w:color w:val="auto"/>
                <w:kern w:val="0"/>
                <w:sz w:val="22"/>
                <w:szCs w:val="22"/>
              </w:rPr>
            </w:pPr>
            <w:r>
              <w:rPr>
                <w:rFonts w:hint="eastAsia" w:ascii="仿宋_GB2312" w:hAnsi="宋体" w:eastAsia="仿宋_GB2312" w:cs="仿宋_GB2312"/>
                <w:color w:val="auto"/>
                <w:kern w:val="0"/>
                <w:sz w:val="22"/>
                <w:szCs w:val="22"/>
              </w:rPr>
              <w:t>预算数</w:t>
            </w:r>
          </w:p>
        </w:tc>
        <w:tc>
          <w:tcPr>
            <w:tcW w:w="1425" w:type="dxa"/>
            <w:tcBorders>
              <w:top w:val="single" w:color="000000" w:sz="4" w:space="0"/>
              <w:left w:val="single" w:color="000000" w:sz="4" w:space="0"/>
              <w:bottom w:val="single" w:color="000000" w:sz="4" w:space="0"/>
              <w:right w:val="single" w:color="000000" w:sz="4" w:space="0"/>
            </w:tcBorders>
            <w:vAlign w:val="bottom"/>
          </w:tcPr>
          <w:p>
            <w:pPr>
              <w:widowControl/>
              <w:jc w:val="both"/>
              <w:textAlignment w:val="center"/>
              <w:rPr>
                <w:rFonts w:ascii="仿宋_GB2312" w:hAnsi="宋体" w:eastAsia="仿宋_GB2312" w:cs="仿宋_GB2312"/>
                <w:color w:val="auto"/>
                <w:kern w:val="0"/>
                <w:sz w:val="22"/>
                <w:szCs w:val="22"/>
              </w:rPr>
            </w:pPr>
            <w:r>
              <w:rPr>
                <w:rFonts w:hint="eastAsia" w:ascii="仿宋_GB2312" w:hAnsi="宋体" w:eastAsia="仿宋_GB2312" w:cs="仿宋_GB2312"/>
                <w:color w:val="auto"/>
                <w:kern w:val="0"/>
                <w:sz w:val="22"/>
                <w:szCs w:val="22"/>
              </w:rPr>
              <w:t>支出数</w:t>
            </w:r>
          </w:p>
        </w:tc>
        <w:tc>
          <w:tcPr>
            <w:tcW w:w="1560" w:type="dxa"/>
            <w:tcBorders>
              <w:top w:val="single" w:color="000000" w:sz="4" w:space="0"/>
              <w:left w:val="single" w:color="000000" w:sz="4" w:space="0"/>
              <w:bottom w:val="single" w:color="000000" w:sz="4" w:space="0"/>
              <w:right w:val="single" w:color="000000" w:sz="4" w:space="0"/>
            </w:tcBorders>
            <w:vAlign w:val="bottom"/>
          </w:tcPr>
          <w:p>
            <w:pPr>
              <w:widowControl/>
              <w:jc w:val="both"/>
              <w:textAlignment w:val="center"/>
              <w:rPr>
                <w:rFonts w:ascii="仿宋_GB2312" w:hAnsi="宋体" w:eastAsia="仿宋_GB2312" w:cs="仿宋_GB2312"/>
                <w:color w:val="auto"/>
                <w:kern w:val="0"/>
                <w:sz w:val="22"/>
                <w:szCs w:val="22"/>
              </w:rPr>
            </w:pPr>
            <w:r>
              <w:rPr>
                <w:rFonts w:hint="eastAsia" w:ascii="仿宋_GB2312" w:hAnsi="宋体" w:eastAsia="仿宋_GB2312" w:cs="仿宋_GB2312"/>
                <w:color w:val="auto"/>
                <w:kern w:val="0"/>
                <w:sz w:val="22"/>
                <w:szCs w:val="22"/>
              </w:rPr>
              <w:t>预算数</w:t>
            </w:r>
          </w:p>
        </w:tc>
        <w:tc>
          <w:tcPr>
            <w:tcW w:w="1650" w:type="dxa"/>
            <w:tcBorders>
              <w:top w:val="single" w:color="000000" w:sz="4" w:space="0"/>
              <w:left w:val="single" w:color="000000" w:sz="4" w:space="0"/>
              <w:bottom w:val="single" w:color="000000" w:sz="4" w:space="0"/>
              <w:right w:val="single" w:color="000000" w:sz="4" w:space="0"/>
            </w:tcBorders>
            <w:vAlign w:val="bottom"/>
          </w:tcPr>
          <w:p>
            <w:pPr>
              <w:widowControl/>
              <w:jc w:val="both"/>
              <w:textAlignment w:val="center"/>
              <w:rPr>
                <w:rFonts w:ascii="仿宋_GB2312" w:hAnsi="宋体" w:eastAsia="仿宋_GB2312" w:cs="仿宋_GB2312"/>
                <w:color w:val="auto"/>
                <w:kern w:val="0"/>
                <w:sz w:val="22"/>
                <w:szCs w:val="22"/>
              </w:rPr>
            </w:pPr>
            <w:r>
              <w:rPr>
                <w:rFonts w:hint="eastAsia" w:ascii="仿宋_GB2312" w:hAnsi="宋体" w:eastAsia="仿宋_GB2312" w:cs="仿宋_GB2312"/>
                <w:color w:val="auto"/>
                <w:kern w:val="0"/>
                <w:sz w:val="22"/>
                <w:szCs w:val="22"/>
              </w:rPr>
              <w:t>支出数</w:t>
            </w:r>
          </w:p>
        </w:tc>
        <w:tc>
          <w:tcPr>
            <w:tcW w:w="1605" w:type="dxa"/>
            <w:tcBorders>
              <w:top w:val="single" w:color="000000" w:sz="4" w:space="0"/>
              <w:left w:val="single" w:color="000000" w:sz="4" w:space="0"/>
              <w:bottom w:val="single" w:color="000000" w:sz="4" w:space="0"/>
              <w:right w:val="single" w:color="000000" w:sz="4" w:space="0"/>
            </w:tcBorders>
            <w:vAlign w:val="bottom"/>
          </w:tcPr>
          <w:p>
            <w:pPr>
              <w:widowControl/>
              <w:jc w:val="both"/>
              <w:textAlignment w:val="center"/>
              <w:rPr>
                <w:rFonts w:ascii="仿宋_GB2312" w:hAnsi="宋体" w:eastAsia="仿宋_GB2312" w:cs="仿宋_GB2312"/>
                <w:color w:val="auto"/>
                <w:kern w:val="0"/>
                <w:sz w:val="22"/>
                <w:szCs w:val="22"/>
              </w:rPr>
            </w:pPr>
            <w:r>
              <w:rPr>
                <w:rFonts w:hint="eastAsia" w:ascii="仿宋_GB2312" w:hAnsi="宋体" w:eastAsia="仿宋_GB2312" w:cs="仿宋_GB2312"/>
                <w:color w:val="auto"/>
                <w:kern w:val="0"/>
                <w:sz w:val="22"/>
                <w:szCs w:val="22"/>
              </w:rPr>
              <w:t>预算数</w:t>
            </w:r>
          </w:p>
        </w:tc>
        <w:tc>
          <w:tcPr>
            <w:tcW w:w="1665" w:type="dxa"/>
            <w:tcBorders>
              <w:top w:val="single" w:color="000000" w:sz="4" w:space="0"/>
              <w:left w:val="single" w:color="000000" w:sz="4" w:space="0"/>
              <w:bottom w:val="single" w:color="000000" w:sz="4" w:space="0"/>
              <w:right w:val="single" w:color="000000" w:sz="4" w:space="0"/>
            </w:tcBorders>
            <w:vAlign w:val="bottom"/>
          </w:tcPr>
          <w:p>
            <w:pPr>
              <w:widowControl/>
              <w:jc w:val="both"/>
              <w:textAlignment w:val="center"/>
              <w:rPr>
                <w:rFonts w:ascii="仿宋_GB2312" w:hAnsi="宋体" w:eastAsia="仿宋_GB2312" w:cs="仿宋_GB2312"/>
                <w:color w:val="auto"/>
                <w:kern w:val="0"/>
                <w:sz w:val="22"/>
                <w:szCs w:val="22"/>
              </w:rPr>
            </w:pPr>
            <w:r>
              <w:rPr>
                <w:rFonts w:hint="eastAsia" w:ascii="仿宋_GB2312" w:hAnsi="宋体" w:eastAsia="仿宋_GB2312" w:cs="仿宋_GB2312"/>
                <w:color w:val="auto"/>
                <w:kern w:val="0"/>
                <w:sz w:val="22"/>
                <w:szCs w:val="22"/>
              </w:rPr>
              <w:t>支出数</w:t>
            </w:r>
          </w:p>
        </w:tc>
      </w:tr>
      <w:tr>
        <w:tblPrEx>
          <w:tblCellMar>
            <w:top w:w="15" w:type="dxa"/>
            <w:left w:w="15" w:type="dxa"/>
            <w:bottom w:w="15" w:type="dxa"/>
            <w:right w:w="15" w:type="dxa"/>
          </w:tblCellMar>
        </w:tblPrEx>
        <w:trPr>
          <w:trHeight w:val="450" w:hRule="atLeast"/>
        </w:trPr>
        <w:tc>
          <w:tcPr>
            <w:tcW w:w="505" w:type="dxa"/>
            <w:tcBorders>
              <w:top w:val="single" w:color="000000" w:sz="4" w:space="0"/>
              <w:left w:val="single" w:color="000000" w:sz="4" w:space="0"/>
              <w:bottom w:val="single" w:color="000000" w:sz="4" w:space="0"/>
              <w:right w:val="single" w:color="auto" w:sz="4" w:space="0"/>
            </w:tcBorders>
            <w:vAlign w:val="center"/>
          </w:tcPr>
          <w:p>
            <w:pPr>
              <w:widowControl/>
              <w:jc w:val="both"/>
              <w:textAlignment w:val="center"/>
              <w:rPr>
                <w:rFonts w:ascii="仿宋_GB2312" w:hAnsi="宋体" w:eastAsia="仿宋_GB2312" w:cs="仿宋_GB2312"/>
                <w:color w:val="auto"/>
                <w:kern w:val="0"/>
                <w:sz w:val="22"/>
                <w:szCs w:val="22"/>
              </w:rPr>
            </w:pPr>
            <w:r>
              <w:rPr>
                <w:rFonts w:hint="eastAsia" w:ascii="仿宋_GB2312" w:hAnsi="宋体" w:eastAsia="仿宋_GB2312" w:cs="仿宋_GB2312"/>
                <w:color w:val="auto"/>
                <w:kern w:val="0"/>
                <w:sz w:val="22"/>
                <w:szCs w:val="22"/>
              </w:rPr>
              <w:t>1</w:t>
            </w:r>
          </w:p>
        </w:tc>
        <w:tc>
          <w:tcPr>
            <w:tcW w:w="1020" w:type="dxa"/>
            <w:tcBorders>
              <w:top w:val="single" w:color="000000" w:sz="4" w:space="0"/>
              <w:left w:val="single" w:color="auto" w:sz="4" w:space="0"/>
              <w:bottom w:val="single" w:color="000000" w:sz="4" w:space="0"/>
              <w:right w:val="single" w:color="000000" w:sz="4" w:space="0"/>
            </w:tcBorders>
            <w:vAlign w:val="center"/>
          </w:tcPr>
          <w:p>
            <w:pPr>
              <w:widowControl/>
              <w:jc w:val="both"/>
              <w:textAlignment w:val="center"/>
              <w:rPr>
                <w:rFonts w:ascii="仿宋_GB2312" w:hAnsi="宋体" w:eastAsia="仿宋_GB2312" w:cs="仿宋_GB2312"/>
                <w:color w:val="auto"/>
                <w:kern w:val="0"/>
                <w:sz w:val="22"/>
                <w:szCs w:val="22"/>
              </w:rPr>
            </w:pPr>
            <w:r>
              <w:rPr>
                <w:rFonts w:hint="eastAsia" w:ascii="仿宋_GB2312" w:hAnsi="宋体" w:eastAsia="仿宋_GB2312" w:cs="仿宋_GB2312"/>
                <w:color w:val="auto"/>
                <w:kern w:val="0"/>
                <w:sz w:val="22"/>
                <w:szCs w:val="22"/>
              </w:rPr>
              <w:t>2021年</w:t>
            </w:r>
          </w:p>
        </w:tc>
        <w:tc>
          <w:tcPr>
            <w:tcW w:w="1290" w:type="dxa"/>
            <w:tcBorders>
              <w:top w:val="single" w:color="000000" w:sz="4" w:space="0"/>
              <w:left w:val="single" w:color="000000" w:sz="4" w:space="0"/>
              <w:bottom w:val="single" w:color="000000" w:sz="4" w:space="0"/>
              <w:right w:val="single" w:color="000000" w:sz="4" w:space="0"/>
            </w:tcBorders>
            <w:vAlign w:val="bottom"/>
          </w:tcPr>
          <w:p>
            <w:pPr>
              <w:widowControl/>
              <w:jc w:val="both"/>
              <w:textAlignment w:val="center"/>
              <w:rPr>
                <w:rFonts w:hint="default" w:ascii="仿宋_GB2312" w:hAnsi="宋体" w:eastAsia="仿宋_GB2312" w:cs="仿宋_GB2312"/>
                <w:color w:val="auto"/>
                <w:kern w:val="0"/>
                <w:sz w:val="22"/>
                <w:szCs w:val="22"/>
                <w:lang w:val="en-US" w:eastAsia="zh-CN"/>
              </w:rPr>
            </w:pPr>
            <w:r>
              <w:rPr>
                <w:rFonts w:hint="eastAsia" w:ascii="仿宋_GB2312" w:hAnsi="宋体" w:eastAsia="仿宋_GB2312" w:cs="仿宋_GB2312"/>
                <w:color w:val="auto"/>
                <w:kern w:val="0"/>
                <w:sz w:val="22"/>
                <w:szCs w:val="22"/>
                <w:lang w:val="en-US" w:eastAsia="zh-CN"/>
              </w:rPr>
              <w:t>16.57</w:t>
            </w:r>
          </w:p>
        </w:tc>
        <w:tc>
          <w:tcPr>
            <w:tcW w:w="1320" w:type="dxa"/>
            <w:tcBorders>
              <w:top w:val="single" w:color="000000" w:sz="4" w:space="0"/>
              <w:left w:val="single" w:color="000000" w:sz="4" w:space="0"/>
              <w:bottom w:val="single" w:color="000000" w:sz="4" w:space="0"/>
              <w:right w:val="single" w:color="000000" w:sz="4" w:space="0"/>
            </w:tcBorders>
            <w:vAlign w:val="bottom"/>
          </w:tcPr>
          <w:p>
            <w:pPr>
              <w:widowControl/>
              <w:jc w:val="both"/>
              <w:textAlignment w:val="center"/>
              <w:rPr>
                <w:rFonts w:hint="default" w:ascii="仿宋_GB2312" w:hAnsi="宋体" w:eastAsia="仿宋_GB2312" w:cs="仿宋_GB2312"/>
                <w:color w:val="auto"/>
                <w:kern w:val="0"/>
                <w:sz w:val="22"/>
                <w:szCs w:val="22"/>
                <w:lang w:val="en-US" w:eastAsia="zh-CN"/>
              </w:rPr>
            </w:pPr>
            <w:r>
              <w:rPr>
                <w:rFonts w:hint="eastAsia" w:ascii="仿宋_GB2312" w:hAnsi="宋体" w:eastAsia="仿宋_GB2312" w:cs="仿宋_GB2312"/>
                <w:color w:val="auto"/>
                <w:kern w:val="0"/>
                <w:sz w:val="22"/>
                <w:szCs w:val="22"/>
                <w:lang w:val="en-US" w:eastAsia="zh-CN"/>
              </w:rPr>
              <w:t>16.57</w:t>
            </w:r>
          </w:p>
        </w:tc>
        <w:tc>
          <w:tcPr>
            <w:tcW w:w="1455" w:type="dxa"/>
            <w:tcBorders>
              <w:top w:val="single" w:color="000000" w:sz="4" w:space="0"/>
              <w:left w:val="single" w:color="000000" w:sz="4" w:space="0"/>
              <w:bottom w:val="single" w:color="000000" w:sz="4" w:space="0"/>
              <w:right w:val="single" w:color="000000" w:sz="4" w:space="0"/>
            </w:tcBorders>
            <w:vAlign w:val="bottom"/>
          </w:tcPr>
          <w:p>
            <w:pPr>
              <w:widowControl/>
              <w:jc w:val="both"/>
              <w:textAlignment w:val="center"/>
              <w:rPr>
                <w:rFonts w:ascii="仿宋_GB2312" w:hAnsi="宋体" w:eastAsia="仿宋_GB2312" w:cs="仿宋_GB2312"/>
                <w:color w:val="auto"/>
                <w:kern w:val="0"/>
                <w:sz w:val="22"/>
                <w:szCs w:val="22"/>
              </w:rPr>
            </w:pPr>
            <w:r>
              <w:rPr>
                <w:rFonts w:hint="eastAsia" w:ascii="仿宋_GB2312" w:hAnsi="宋体" w:eastAsia="仿宋_GB2312" w:cs="仿宋_GB2312"/>
                <w:color w:val="auto"/>
                <w:kern w:val="0"/>
                <w:sz w:val="22"/>
                <w:szCs w:val="22"/>
              </w:rPr>
              <w:t>0</w:t>
            </w:r>
          </w:p>
        </w:tc>
        <w:tc>
          <w:tcPr>
            <w:tcW w:w="1425" w:type="dxa"/>
            <w:tcBorders>
              <w:top w:val="single" w:color="000000" w:sz="4" w:space="0"/>
              <w:left w:val="single" w:color="000000" w:sz="4" w:space="0"/>
              <w:bottom w:val="single" w:color="000000" w:sz="4" w:space="0"/>
              <w:right w:val="single" w:color="000000" w:sz="4" w:space="0"/>
            </w:tcBorders>
            <w:vAlign w:val="bottom"/>
          </w:tcPr>
          <w:p>
            <w:pPr>
              <w:widowControl/>
              <w:jc w:val="both"/>
              <w:textAlignment w:val="center"/>
              <w:rPr>
                <w:rFonts w:ascii="仿宋_GB2312" w:hAnsi="宋体" w:eastAsia="仿宋_GB2312" w:cs="仿宋_GB2312"/>
                <w:color w:val="auto"/>
                <w:kern w:val="0"/>
                <w:sz w:val="22"/>
                <w:szCs w:val="22"/>
              </w:rPr>
            </w:pPr>
            <w:r>
              <w:rPr>
                <w:rFonts w:hint="eastAsia" w:ascii="仿宋_GB2312" w:hAnsi="宋体" w:eastAsia="仿宋_GB2312" w:cs="仿宋_GB2312"/>
                <w:color w:val="auto"/>
                <w:kern w:val="0"/>
                <w:sz w:val="22"/>
                <w:szCs w:val="22"/>
              </w:rPr>
              <w:t>0</w:t>
            </w:r>
          </w:p>
        </w:tc>
        <w:tc>
          <w:tcPr>
            <w:tcW w:w="1560" w:type="dxa"/>
            <w:tcBorders>
              <w:top w:val="single" w:color="000000" w:sz="4" w:space="0"/>
              <w:left w:val="single" w:color="000000" w:sz="4" w:space="0"/>
              <w:bottom w:val="single" w:color="000000" w:sz="4" w:space="0"/>
              <w:right w:val="single" w:color="000000" w:sz="4" w:space="0"/>
            </w:tcBorders>
            <w:vAlign w:val="bottom"/>
          </w:tcPr>
          <w:p>
            <w:pPr>
              <w:widowControl/>
              <w:jc w:val="both"/>
              <w:textAlignment w:val="center"/>
              <w:rPr>
                <w:rFonts w:hint="default" w:ascii="仿宋_GB2312" w:hAnsi="宋体" w:eastAsia="仿宋_GB2312" w:cs="仿宋_GB2312"/>
                <w:color w:val="auto"/>
                <w:kern w:val="0"/>
                <w:sz w:val="22"/>
                <w:szCs w:val="22"/>
                <w:lang w:val="en-US" w:eastAsia="zh-CN"/>
              </w:rPr>
            </w:pPr>
            <w:r>
              <w:rPr>
                <w:rFonts w:hint="eastAsia" w:ascii="仿宋_GB2312" w:hAnsi="宋体" w:eastAsia="仿宋_GB2312" w:cs="仿宋_GB2312"/>
                <w:color w:val="auto"/>
                <w:kern w:val="0"/>
                <w:sz w:val="22"/>
                <w:szCs w:val="22"/>
                <w:lang w:val="en-US" w:eastAsia="zh-CN"/>
              </w:rPr>
              <w:t>15.67</w:t>
            </w:r>
          </w:p>
        </w:tc>
        <w:tc>
          <w:tcPr>
            <w:tcW w:w="1650" w:type="dxa"/>
            <w:tcBorders>
              <w:top w:val="single" w:color="000000" w:sz="4" w:space="0"/>
              <w:left w:val="single" w:color="000000" w:sz="4" w:space="0"/>
              <w:bottom w:val="single" w:color="000000" w:sz="4" w:space="0"/>
              <w:right w:val="single" w:color="000000" w:sz="4" w:space="0"/>
            </w:tcBorders>
            <w:vAlign w:val="bottom"/>
          </w:tcPr>
          <w:p>
            <w:pPr>
              <w:widowControl/>
              <w:jc w:val="both"/>
              <w:textAlignment w:val="center"/>
              <w:rPr>
                <w:rFonts w:hint="default" w:ascii="仿宋_GB2312" w:hAnsi="宋体" w:eastAsia="仿宋_GB2312" w:cs="仿宋_GB2312"/>
                <w:color w:val="auto"/>
                <w:kern w:val="0"/>
                <w:sz w:val="22"/>
                <w:szCs w:val="22"/>
                <w:lang w:val="en-US" w:eastAsia="zh-CN"/>
              </w:rPr>
            </w:pPr>
            <w:r>
              <w:rPr>
                <w:rFonts w:hint="eastAsia" w:ascii="仿宋_GB2312" w:hAnsi="宋体" w:eastAsia="仿宋_GB2312" w:cs="仿宋_GB2312"/>
                <w:color w:val="auto"/>
                <w:kern w:val="0"/>
                <w:sz w:val="22"/>
                <w:szCs w:val="22"/>
                <w:lang w:val="en-US" w:eastAsia="zh-CN"/>
              </w:rPr>
              <w:t>15.67</w:t>
            </w:r>
          </w:p>
        </w:tc>
        <w:tc>
          <w:tcPr>
            <w:tcW w:w="1605" w:type="dxa"/>
            <w:tcBorders>
              <w:top w:val="single" w:color="000000" w:sz="4" w:space="0"/>
              <w:left w:val="single" w:color="000000" w:sz="4" w:space="0"/>
              <w:bottom w:val="single" w:color="000000" w:sz="4" w:space="0"/>
              <w:right w:val="single" w:color="000000" w:sz="4" w:space="0"/>
            </w:tcBorders>
            <w:vAlign w:val="bottom"/>
          </w:tcPr>
          <w:p>
            <w:pPr>
              <w:widowControl/>
              <w:jc w:val="both"/>
              <w:textAlignment w:val="center"/>
              <w:rPr>
                <w:rFonts w:hint="default" w:ascii="仿宋_GB2312" w:hAnsi="宋体" w:eastAsia="仿宋_GB2312" w:cs="仿宋_GB2312"/>
                <w:color w:val="auto"/>
                <w:kern w:val="0"/>
                <w:sz w:val="22"/>
                <w:szCs w:val="22"/>
                <w:lang w:val="en-US" w:eastAsia="zh-CN"/>
              </w:rPr>
            </w:pPr>
            <w:r>
              <w:rPr>
                <w:rFonts w:hint="eastAsia" w:ascii="仿宋_GB2312" w:hAnsi="宋体" w:eastAsia="仿宋_GB2312" w:cs="仿宋_GB2312"/>
                <w:color w:val="auto"/>
                <w:kern w:val="0"/>
                <w:sz w:val="22"/>
                <w:szCs w:val="22"/>
                <w:lang w:val="en-US" w:eastAsia="zh-CN"/>
              </w:rPr>
              <w:t>0.89</w:t>
            </w:r>
          </w:p>
        </w:tc>
        <w:tc>
          <w:tcPr>
            <w:tcW w:w="1665" w:type="dxa"/>
            <w:tcBorders>
              <w:top w:val="single" w:color="000000" w:sz="4" w:space="0"/>
              <w:left w:val="single" w:color="000000" w:sz="4" w:space="0"/>
              <w:bottom w:val="single" w:color="000000" w:sz="4" w:space="0"/>
              <w:right w:val="single" w:color="000000" w:sz="4" w:space="0"/>
            </w:tcBorders>
            <w:vAlign w:val="bottom"/>
          </w:tcPr>
          <w:p>
            <w:pPr>
              <w:widowControl/>
              <w:jc w:val="both"/>
              <w:textAlignment w:val="center"/>
              <w:rPr>
                <w:rFonts w:hint="default" w:ascii="仿宋_GB2312" w:hAnsi="宋体" w:eastAsia="仿宋_GB2312" w:cs="仿宋_GB2312"/>
                <w:color w:val="auto"/>
                <w:kern w:val="0"/>
                <w:sz w:val="22"/>
                <w:szCs w:val="22"/>
                <w:lang w:val="en-US" w:eastAsia="zh-CN"/>
              </w:rPr>
            </w:pPr>
            <w:r>
              <w:rPr>
                <w:rFonts w:hint="eastAsia" w:ascii="仿宋_GB2312" w:hAnsi="宋体" w:eastAsia="仿宋_GB2312" w:cs="仿宋_GB2312"/>
                <w:color w:val="auto"/>
                <w:kern w:val="0"/>
                <w:sz w:val="22"/>
                <w:szCs w:val="22"/>
                <w:lang w:val="en-US" w:eastAsia="zh-CN"/>
              </w:rPr>
              <w:t>0.89</w:t>
            </w:r>
          </w:p>
        </w:tc>
      </w:tr>
      <w:tr>
        <w:tblPrEx>
          <w:tblCellMar>
            <w:top w:w="15" w:type="dxa"/>
            <w:left w:w="15" w:type="dxa"/>
            <w:bottom w:w="15" w:type="dxa"/>
            <w:right w:w="15" w:type="dxa"/>
          </w:tblCellMar>
        </w:tblPrEx>
        <w:trPr>
          <w:trHeight w:val="450" w:hRule="atLeast"/>
        </w:trPr>
        <w:tc>
          <w:tcPr>
            <w:tcW w:w="505" w:type="dxa"/>
            <w:tcBorders>
              <w:top w:val="single" w:color="000000" w:sz="4" w:space="0"/>
              <w:left w:val="single" w:color="000000" w:sz="4" w:space="0"/>
              <w:bottom w:val="single" w:color="000000" w:sz="4" w:space="0"/>
              <w:right w:val="single" w:color="auto" w:sz="4" w:space="0"/>
            </w:tcBorders>
            <w:vAlign w:val="center"/>
          </w:tcPr>
          <w:p>
            <w:pPr>
              <w:widowControl/>
              <w:jc w:val="both"/>
              <w:textAlignment w:val="center"/>
              <w:rPr>
                <w:rFonts w:ascii="仿宋_GB2312" w:hAnsi="宋体" w:eastAsia="仿宋_GB2312" w:cs="仿宋_GB2312"/>
                <w:color w:val="auto"/>
                <w:kern w:val="0"/>
                <w:sz w:val="22"/>
                <w:szCs w:val="22"/>
              </w:rPr>
            </w:pPr>
            <w:r>
              <w:rPr>
                <w:rFonts w:hint="eastAsia" w:ascii="仿宋_GB2312" w:hAnsi="宋体" w:eastAsia="仿宋_GB2312" w:cs="仿宋_GB2312"/>
                <w:color w:val="auto"/>
                <w:kern w:val="0"/>
                <w:sz w:val="22"/>
                <w:szCs w:val="22"/>
              </w:rPr>
              <w:t>2</w:t>
            </w:r>
          </w:p>
        </w:tc>
        <w:tc>
          <w:tcPr>
            <w:tcW w:w="1020" w:type="dxa"/>
            <w:tcBorders>
              <w:top w:val="single" w:color="000000" w:sz="4" w:space="0"/>
              <w:left w:val="single" w:color="auto" w:sz="4" w:space="0"/>
              <w:bottom w:val="single" w:color="000000" w:sz="4" w:space="0"/>
              <w:right w:val="single" w:color="000000" w:sz="4" w:space="0"/>
            </w:tcBorders>
            <w:vAlign w:val="center"/>
          </w:tcPr>
          <w:p>
            <w:pPr>
              <w:widowControl/>
              <w:jc w:val="both"/>
              <w:textAlignment w:val="center"/>
              <w:rPr>
                <w:rFonts w:ascii="仿宋_GB2312" w:hAnsi="宋体" w:eastAsia="仿宋_GB2312" w:cs="仿宋_GB2312"/>
                <w:color w:val="auto"/>
                <w:kern w:val="0"/>
                <w:sz w:val="22"/>
                <w:szCs w:val="22"/>
              </w:rPr>
            </w:pPr>
            <w:r>
              <w:rPr>
                <w:rFonts w:hint="eastAsia" w:ascii="仿宋_GB2312" w:hAnsi="宋体" w:eastAsia="仿宋_GB2312" w:cs="仿宋_GB2312"/>
                <w:color w:val="auto"/>
                <w:kern w:val="0"/>
                <w:sz w:val="22"/>
                <w:szCs w:val="22"/>
              </w:rPr>
              <w:t>2022年</w:t>
            </w:r>
          </w:p>
        </w:tc>
        <w:tc>
          <w:tcPr>
            <w:tcW w:w="1290" w:type="dxa"/>
            <w:tcBorders>
              <w:top w:val="single" w:color="000000" w:sz="4" w:space="0"/>
              <w:left w:val="single" w:color="000000" w:sz="4" w:space="0"/>
              <w:bottom w:val="single" w:color="000000" w:sz="4" w:space="0"/>
              <w:right w:val="single" w:color="000000" w:sz="4" w:space="0"/>
            </w:tcBorders>
            <w:vAlign w:val="bottom"/>
          </w:tcPr>
          <w:p>
            <w:pPr>
              <w:widowControl/>
              <w:jc w:val="both"/>
              <w:textAlignment w:val="center"/>
              <w:rPr>
                <w:rFonts w:hint="default" w:ascii="仿宋_GB2312" w:hAnsi="宋体" w:eastAsia="仿宋_GB2312" w:cs="仿宋_GB2312"/>
                <w:color w:val="auto"/>
                <w:kern w:val="0"/>
                <w:sz w:val="22"/>
                <w:szCs w:val="22"/>
                <w:lang w:val="en-US" w:eastAsia="zh-CN"/>
              </w:rPr>
            </w:pPr>
            <w:r>
              <w:rPr>
                <w:rFonts w:hint="eastAsia" w:ascii="仿宋_GB2312" w:hAnsi="宋体" w:eastAsia="仿宋_GB2312" w:cs="仿宋_GB2312"/>
                <w:color w:val="auto"/>
                <w:kern w:val="0"/>
                <w:sz w:val="22"/>
                <w:szCs w:val="22"/>
                <w:lang w:val="en-US" w:eastAsia="zh-CN"/>
              </w:rPr>
              <w:t>16.57</w:t>
            </w:r>
          </w:p>
        </w:tc>
        <w:tc>
          <w:tcPr>
            <w:tcW w:w="1320" w:type="dxa"/>
            <w:tcBorders>
              <w:top w:val="single" w:color="000000" w:sz="4" w:space="0"/>
              <w:left w:val="single" w:color="000000" w:sz="4" w:space="0"/>
              <w:bottom w:val="single" w:color="000000" w:sz="4" w:space="0"/>
              <w:right w:val="single" w:color="000000" w:sz="4" w:space="0"/>
            </w:tcBorders>
            <w:vAlign w:val="bottom"/>
          </w:tcPr>
          <w:p>
            <w:pPr>
              <w:widowControl/>
              <w:jc w:val="both"/>
              <w:textAlignment w:val="center"/>
              <w:rPr>
                <w:rFonts w:hint="default" w:ascii="仿宋_GB2312" w:hAnsi="宋体" w:eastAsia="仿宋_GB2312" w:cs="仿宋_GB2312"/>
                <w:color w:val="auto"/>
                <w:kern w:val="0"/>
                <w:sz w:val="22"/>
                <w:szCs w:val="22"/>
                <w:lang w:val="en-US" w:eastAsia="zh-CN"/>
              </w:rPr>
            </w:pPr>
            <w:r>
              <w:rPr>
                <w:rFonts w:hint="eastAsia" w:ascii="仿宋_GB2312" w:hAnsi="宋体" w:eastAsia="仿宋_GB2312" w:cs="仿宋_GB2312"/>
                <w:color w:val="auto"/>
                <w:kern w:val="0"/>
                <w:sz w:val="22"/>
                <w:szCs w:val="22"/>
                <w:lang w:val="en-US" w:eastAsia="zh-CN"/>
              </w:rPr>
              <w:t>16.57</w:t>
            </w:r>
          </w:p>
        </w:tc>
        <w:tc>
          <w:tcPr>
            <w:tcW w:w="1455" w:type="dxa"/>
            <w:tcBorders>
              <w:top w:val="single" w:color="000000" w:sz="4" w:space="0"/>
              <w:left w:val="single" w:color="000000" w:sz="4" w:space="0"/>
              <w:bottom w:val="single" w:color="000000" w:sz="4" w:space="0"/>
              <w:right w:val="single" w:color="000000" w:sz="4" w:space="0"/>
            </w:tcBorders>
            <w:vAlign w:val="bottom"/>
          </w:tcPr>
          <w:p>
            <w:pPr>
              <w:widowControl/>
              <w:jc w:val="both"/>
              <w:textAlignment w:val="center"/>
              <w:rPr>
                <w:rFonts w:ascii="仿宋_GB2312" w:hAnsi="宋体" w:eastAsia="仿宋_GB2312" w:cs="仿宋_GB2312"/>
                <w:color w:val="auto"/>
                <w:kern w:val="0"/>
                <w:sz w:val="22"/>
                <w:szCs w:val="22"/>
              </w:rPr>
            </w:pPr>
            <w:r>
              <w:rPr>
                <w:rFonts w:hint="eastAsia" w:ascii="仿宋_GB2312" w:hAnsi="宋体" w:eastAsia="仿宋_GB2312" w:cs="仿宋_GB2312"/>
                <w:color w:val="auto"/>
                <w:kern w:val="0"/>
                <w:sz w:val="22"/>
                <w:szCs w:val="22"/>
              </w:rPr>
              <w:t>0</w:t>
            </w:r>
          </w:p>
        </w:tc>
        <w:tc>
          <w:tcPr>
            <w:tcW w:w="1425" w:type="dxa"/>
            <w:tcBorders>
              <w:top w:val="single" w:color="000000" w:sz="4" w:space="0"/>
              <w:left w:val="single" w:color="000000" w:sz="4" w:space="0"/>
              <w:bottom w:val="single" w:color="000000" w:sz="4" w:space="0"/>
              <w:right w:val="single" w:color="000000" w:sz="4" w:space="0"/>
            </w:tcBorders>
            <w:vAlign w:val="bottom"/>
          </w:tcPr>
          <w:p>
            <w:pPr>
              <w:widowControl/>
              <w:jc w:val="both"/>
              <w:textAlignment w:val="center"/>
              <w:rPr>
                <w:rFonts w:ascii="仿宋_GB2312" w:hAnsi="宋体" w:eastAsia="仿宋_GB2312" w:cs="仿宋_GB2312"/>
                <w:color w:val="auto"/>
                <w:kern w:val="0"/>
                <w:sz w:val="22"/>
                <w:szCs w:val="22"/>
              </w:rPr>
            </w:pPr>
            <w:r>
              <w:rPr>
                <w:rFonts w:hint="eastAsia" w:ascii="仿宋_GB2312" w:hAnsi="宋体" w:eastAsia="仿宋_GB2312" w:cs="仿宋_GB2312"/>
                <w:color w:val="auto"/>
                <w:kern w:val="0"/>
                <w:sz w:val="22"/>
                <w:szCs w:val="22"/>
              </w:rPr>
              <w:t>0</w:t>
            </w:r>
          </w:p>
        </w:tc>
        <w:tc>
          <w:tcPr>
            <w:tcW w:w="1560" w:type="dxa"/>
            <w:tcBorders>
              <w:top w:val="single" w:color="000000" w:sz="4" w:space="0"/>
              <w:left w:val="single" w:color="000000" w:sz="4" w:space="0"/>
              <w:bottom w:val="single" w:color="000000" w:sz="4" w:space="0"/>
              <w:right w:val="single" w:color="000000" w:sz="4" w:space="0"/>
            </w:tcBorders>
            <w:vAlign w:val="bottom"/>
          </w:tcPr>
          <w:p>
            <w:pPr>
              <w:widowControl/>
              <w:jc w:val="both"/>
              <w:textAlignment w:val="center"/>
              <w:rPr>
                <w:rFonts w:hint="default" w:ascii="仿宋_GB2312" w:hAnsi="宋体" w:eastAsia="仿宋_GB2312" w:cs="仿宋_GB2312"/>
                <w:color w:val="auto"/>
                <w:kern w:val="0"/>
                <w:sz w:val="22"/>
                <w:szCs w:val="22"/>
                <w:lang w:val="en-US" w:eastAsia="zh-CN"/>
              </w:rPr>
            </w:pPr>
            <w:r>
              <w:rPr>
                <w:rFonts w:hint="eastAsia" w:ascii="仿宋_GB2312" w:hAnsi="宋体" w:eastAsia="仿宋_GB2312" w:cs="仿宋_GB2312"/>
                <w:color w:val="auto"/>
                <w:kern w:val="0"/>
                <w:sz w:val="22"/>
                <w:szCs w:val="22"/>
                <w:lang w:val="en-US" w:eastAsia="zh-CN"/>
              </w:rPr>
              <w:t>15.67</w:t>
            </w:r>
          </w:p>
        </w:tc>
        <w:tc>
          <w:tcPr>
            <w:tcW w:w="1650" w:type="dxa"/>
            <w:tcBorders>
              <w:top w:val="single" w:color="000000" w:sz="4" w:space="0"/>
              <w:left w:val="single" w:color="000000" w:sz="4" w:space="0"/>
              <w:bottom w:val="single" w:color="000000" w:sz="4" w:space="0"/>
              <w:right w:val="single" w:color="000000" w:sz="4" w:space="0"/>
            </w:tcBorders>
            <w:vAlign w:val="bottom"/>
          </w:tcPr>
          <w:p>
            <w:pPr>
              <w:widowControl/>
              <w:jc w:val="both"/>
              <w:textAlignment w:val="center"/>
              <w:rPr>
                <w:rFonts w:hint="default" w:ascii="仿宋_GB2312" w:hAnsi="宋体" w:eastAsia="仿宋_GB2312" w:cs="仿宋_GB2312"/>
                <w:color w:val="auto"/>
                <w:kern w:val="0"/>
                <w:sz w:val="22"/>
                <w:szCs w:val="22"/>
                <w:lang w:val="en-US" w:eastAsia="zh-CN"/>
              </w:rPr>
            </w:pPr>
            <w:r>
              <w:rPr>
                <w:rFonts w:hint="eastAsia" w:ascii="仿宋_GB2312" w:hAnsi="宋体" w:eastAsia="仿宋_GB2312" w:cs="仿宋_GB2312"/>
                <w:color w:val="auto"/>
                <w:kern w:val="0"/>
                <w:sz w:val="22"/>
                <w:szCs w:val="22"/>
                <w:lang w:val="en-US" w:eastAsia="zh-CN"/>
              </w:rPr>
              <w:t>15.67</w:t>
            </w:r>
          </w:p>
        </w:tc>
        <w:tc>
          <w:tcPr>
            <w:tcW w:w="1605" w:type="dxa"/>
            <w:tcBorders>
              <w:top w:val="single" w:color="000000" w:sz="4" w:space="0"/>
              <w:left w:val="single" w:color="000000" w:sz="4" w:space="0"/>
              <w:bottom w:val="single" w:color="000000" w:sz="4" w:space="0"/>
              <w:right w:val="single" w:color="000000" w:sz="4" w:space="0"/>
            </w:tcBorders>
            <w:vAlign w:val="bottom"/>
          </w:tcPr>
          <w:p>
            <w:pPr>
              <w:widowControl/>
              <w:jc w:val="both"/>
              <w:textAlignment w:val="center"/>
              <w:rPr>
                <w:rFonts w:hint="default" w:ascii="仿宋_GB2312" w:hAnsi="宋体" w:eastAsia="仿宋_GB2312" w:cs="仿宋_GB2312"/>
                <w:color w:val="auto"/>
                <w:kern w:val="0"/>
                <w:sz w:val="22"/>
                <w:szCs w:val="22"/>
                <w:lang w:val="en-US" w:eastAsia="zh-CN"/>
              </w:rPr>
            </w:pPr>
            <w:r>
              <w:rPr>
                <w:rFonts w:hint="eastAsia" w:ascii="仿宋_GB2312" w:hAnsi="宋体" w:eastAsia="仿宋_GB2312" w:cs="仿宋_GB2312"/>
                <w:color w:val="auto"/>
                <w:kern w:val="0"/>
                <w:sz w:val="22"/>
                <w:szCs w:val="22"/>
                <w:lang w:val="en-US" w:eastAsia="zh-CN"/>
              </w:rPr>
              <w:t>0.89</w:t>
            </w:r>
          </w:p>
        </w:tc>
        <w:tc>
          <w:tcPr>
            <w:tcW w:w="1665" w:type="dxa"/>
            <w:tcBorders>
              <w:top w:val="single" w:color="000000" w:sz="4" w:space="0"/>
              <w:left w:val="single" w:color="000000" w:sz="4" w:space="0"/>
              <w:bottom w:val="single" w:color="000000" w:sz="4" w:space="0"/>
              <w:right w:val="single" w:color="000000" w:sz="4" w:space="0"/>
            </w:tcBorders>
            <w:vAlign w:val="bottom"/>
          </w:tcPr>
          <w:p>
            <w:pPr>
              <w:widowControl/>
              <w:jc w:val="both"/>
              <w:textAlignment w:val="center"/>
              <w:rPr>
                <w:rFonts w:hint="default" w:ascii="仿宋_GB2312" w:hAnsi="宋体" w:eastAsia="仿宋_GB2312" w:cs="仿宋_GB2312"/>
                <w:color w:val="auto"/>
                <w:kern w:val="0"/>
                <w:sz w:val="22"/>
                <w:szCs w:val="22"/>
                <w:lang w:val="en-US" w:eastAsia="zh-CN"/>
              </w:rPr>
            </w:pPr>
            <w:r>
              <w:rPr>
                <w:rFonts w:hint="eastAsia" w:ascii="仿宋_GB2312" w:hAnsi="宋体" w:eastAsia="仿宋_GB2312" w:cs="仿宋_GB2312"/>
                <w:color w:val="auto"/>
                <w:kern w:val="0"/>
                <w:sz w:val="22"/>
                <w:szCs w:val="22"/>
                <w:lang w:val="en-US" w:eastAsia="zh-CN"/>
              </w:rPr>
              <w:t>0.89</w:t>
            </w:r>
          </w:p>
        </w:tc>
      </w:tr>
    </w:tbl>
    <w:p>
      <w:pPr>
        <w:pStyle w:val="5"/>
        <w:numPr>
          <w:ilvl w:val="2"/>
          <w:numId w:val="0"/>
        </w:numPr>
        <w:outlineLvl w:val="9"/>
        <w:sectPr>
          <w:footerReference r:id="rId5" w:type="default"/>
          <w:pgSz w:w="16838" w:h="11906" w:orient="landscape"/>
          <w:pgMar w:top="1803" w:right="1440" w:bottom="1803" w:left="1440" w:header="851" w:footer="992" w:gutter="0"/>
          <w:pgNumType w:fmt="numberInDash"/>
          <w:cols w:space="720" w:num="1"/>
          <w:docGrid w:type="lines" w:linePitch="319" w:charSpace="0"/>
        </w:sectPr>
      </w:pPr>
    </w:p>
    <w:p>
      <w:pPr>
        <w:pStyle w:val="3"/>
        <w:bidi w:val="0"/>
        <w:rPr>
          <w:rFonts w:hint="eastAsia"/>
          <w:lang w:val="en-US" w:eastAsia="zh-CN"/>
        </w:rPr>
      </w:pPr>
      <w:bookmarkStart w:id="109" w:name="_Toc8133_WPSOffice_Level1"/>
      <w:r>
        <w:rPr>
          <w:rFonts w:hint="eastAsia"/>
          <w:lang w:val="en-US" w:eastAsia="zh-CN"/>
        </w:rPr>
        <w:t>附件5 访谈记录</w:t>
      </w:r>
      <w:bookmarkEnd w:id="109"/>
    </w:p>
    <w:p>
      <w:pPr>
        <w:ind w:firstLine="588" w:firstLineChars="147"/>
        <w:jc w:val="center"/>
        <w:rPr>
          <w:rFonts w:hint="default" w:ascii="方正小标宋_GBK" w:hAnsi="方正小标宋_GBK" w:eastAsia="方正小标宋_GBK" w:cs="方正小标宋_GBK"/>
          <w:b w:val="0"/>
          <w:bCs/>
          <w:kern w:val="0"/>
          <w:sz w:val="40"/>
          <w:szCs w:val="40"/>
          <w:lang w:val="en-US" w:eastAsia="zh-CN" w:bidi="ar"/>
        </w:rPr>
      </w:pPr>
      <w:bookmarkStart w:id="110" w:name="_Toc1395_WPSOffice_Level1"/>
      <w:r>
        <w:rPr>
          <w:rFonts w:hint="eastAsia" w:ascii="方正小标宋_GBK" w:hAnsi="方正小标宋_GBK" w:eastAsia="方正小标宋_GBK" w:cs="方正小标宋_GBK"/>
          <w:b w:val="0"/>
          <w:bCs/>
          <w:kern w:val="0"/>
          <w:sz w:val="40"/>
          <w:szCs w:val="40"/>
          <w:lang w:val="en-US" w:eastAsia="zh-CN" w:bidi="ar"/>
        </w:rPr>
        <w:t>2022年伽师县市场监督管理局部门整体绩效</w:t>
      </w:r>
      <w:bookmarkEnd w:id="110"/>
    </w:p>
    <w:p>
      <w:pPr>
        <w:ind w:firstLine="588" w:firstLineChars="147"/>
        <w:jc w:val="center"/>
        <w:rPr>
          <w:rFonts w:hint="eastAsia" w:ascii="方正小标宋_GBK" w:hAnsi="方正小标宋_GBK" w:eastAsia="方正小标宋_GBK" w:cs="方正小标宋_GBK"/>
          <w:b w:val="0"/>
          <w:bCs/>
          <w:kern w:val="0"/>
          <w:sz w:val="40"/>
          <w:szCs w:val="40"/>
          <w:lang w:val="en-US" w:eastAsia="zh-CN" w:bidi="ar"/>
        </w:rPr>
      </w:pPr>
      <w:bookmarkStart w:id="111" w:name="_Toc19917_WPSOffice_Level1"/>
      <w:r>
        <w:rPr>
          <w:rFonts w:hint="eastAsia" w:ascii="方正小标宋_GBK" w:hAnsi="方正小标宋_GBK" w:eastAsia="方正小标宋_GBK" w:cs="方正小标宋_GBK"/>
          <w:b w:val="0"/>
          <w:bCs/>
          <w:kern w:val="0"/>
          <w:sz w:val="40"/>
          <w:szCs w:val="40"/>
          <w:lang w:val="en-US" w:eastAsia="zh-Hans" w:bidi="ar"/>
        </w:rPr>
        <w:t>相关负责人</w:t>
      </w:r>
      <w:r>
        <w:rPr>
          <w:rFonts w:hint="eastAsia" w:ascii="方正小标宋_GBK" w:hAnsi="方正小标宋_GBK" w:eastAsia="方正小标宋_GBK" w:cs="方正小标宋_GBK"/>
          <w:b w:val="0"/>
          <w:bCs/>
          <w:kern w:val="0"/>
          <w:sz w:val="40"/>
          <w:szCs w:val="40"/>
          <w:lang w:val="en-US" w:eastAsia="zh-CN" w:bidi="ar"/>
        </w:rPr>
        <w:t>访谈提纲</w:t>
      </w:r>
      <w:bookmarkEnd w:id="111"/>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1"/>
        <w:rPr>
          <w:rFonts w:hint="eastAsia" w:ascii="Times New Roman" w:hAnsi="Times New Roman" w:eastAsia="仿宋_GB2312" w:cs="Times New Roman"/>
          <w:kern w:val="0"/>
          <w:sz w:val="28"/>
          <w:szCs w:val="28"/>
          <w:lang w:val="en-US" w:eastAsia="zh-CN" w:bidi="ar"/>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1"/>
        <w:rPr>
          <w:rFonts w:hint="eastAsia" w:ascii="方正仿宋_GBK" w:hAnsi="方正仿宋_GBK" w:eastAsia="方正仿宋_GBK" w:cs="方正仿宋_GBK"/>
          <w:kern w:val="0"/>
          <w:sz w:val="32"/>
          <w:szCs w:val="32"/>
          <w:lang w:bidi="ar"/>
        </w:rPr>
      </w:pPr>
      <w:bookmarkStart w:id="112" w:name="_Toc14809"/>
      <w:bookmarkStart w:id="113" w:name="_Toc15678_WPSOffice_Level1"/>
      <w:bookmarkStart w:id="114" w:name="_Toc24709"/>
      <w:r>
        <w:rPr>
          <w:rFonts w:hint="eastAsia" w:ascii="方正仿宋_GBK" w:hAnsi="方正仿宋_GBK" w:eastAsia="方正仿宋_GBK" w:cs="方正仿宋_GBK"/>
          <w:kern w:val="0"/>
          <w:sz w:val="32"/>
          <w:szCs w:val="32"/>
          <w:lang w:bidi="ar"/>
        </w:rPr>
        <w:t>1.请您</w:t>
      </w:r>
      <w:r>
        <w:rPr>
          <w:rFonts w:hint="eastAsia" w:ascii="方正仿宋_GBK" w:hAnsi="方正仿宋_GBK" w:eastAsia="方正仿宋_GBK" w:cs="方正仿宋_GBK"/>
          <w:kern w:val="0"/>
          <w:sz w:val="32"/>
          <w:szCs w:val="32"/>
          <w:lang w:eastAsia="zh-CN" w:bidi="ar"/>
        </w:rPr>
        <w:t>简单</w:t>
      </w:r>
      <w:r>
        <w:rPr>
          <w:rFonts w:hint="eastAsia" w:ascii="方正仿宋_GBK" w:hAnsi="方正仿宋_GBK" w:eastAsia="方正仿宋_GBK" w:cs="方正仿宋_GBK"/>
          <w:kern w:val="0"/>
          <w:sz w:val="32"/>
          <w:szCs w:val="32"/>
          <w:lang w:bidi="ar"/>
        </w:rPr>
        <w:t>谈谈</w:t>
      </w:r>
      <w:r>
        <w:rPr>
          <w:rFonts w:hint="eastAsia" w:ascii="方正仿宋_GBK" w:hAnsi="方正仿宋_GBK" w:eastAsia="方正仿宋_GBK" w:cs="方正仿宋_GBK"/>
          <w:kern w:val="0"/>
          <w:sz w:val="32"/>
          <w:szCs w:val="32"/>
          <w:lang w:eastAsia="zh-CN" w:bidi="ar"/>
        </w:rPr>
        <w:t>部门</w:t>
      </w:r>
      <w:r>
        <w:rPr>
          <w:rFonts w:hint="eastAsia" w:ascii="方正仿宋_GBK" w:hAnsi="方正仿宋_GBK" w:eastAsia="方正仿宋_GBK" w:cs="方正仿宋_GBK"/>
          <w:kern w:val="0"/>
          <w:sz w:val="32"/>
          <w:szCs w:val="32"/>
          <w:lang w:bidi="ar"/>
        </w:rPr>
        <w:t>概况。</w:t>
      </w:r>
      <w:bookmarkEnd w:id="112"/>
      <w:bookmarkEnd w:id="113"/>
      <w:bookmarkEnd w:id="114"/>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0"/>
        <w:rPr>
          <w:rFonts w:hint="eastAsia" w:ascii="方正仿宋_GBK" w:hAnsi="方正仿宋_GBK" w:eastAsia="方正仿宋_GBK" w:cs="方正仿宋_GBK"/>
          <w:kern w:val="0"/>
          <w:sz w:val="32"/>
          <w:szCs w:val="32"/>
          <w:lang w:eastAsia="zh-CN" w:bidi="ar"/>
        </w:rPr>
      </w:pPr>
      <w:bookmarkStart w:id="115" w:name="_Toc27067"/>
      <w:bookmarkStart w:id="116" w:name="_Toc26050"/>
      <w:bookmarkStart w:id="117" w:name="_Toc28738"/>
      <w:bookmarkStart w:id="118" w:name="_Toc18912_WPSOffice_Level2"/>
      <w:r>
        <w:rPr>
          <w:rFonts w:hint="eastAsia" w:ascii="方正仿宋_GBK" w:hAnsi="方正仿宋_GBK" w:eastAsia="方正仿宋_GBK" w:cs="方正仿宋_GBK"/>
          <w:kern w:val="0"/>
          <w:sz w:val="32"/>
          <w:szCs w:val="32"/>
          <w:lang w:bidi="ar"/>
        </w:rPr>
        <w:t>（1）</w:t>
      </w:r>
      <w:bookmarkEnd w:id="115"/>
      <w:bookmarkEnd w:id="116"/>
      <w:bookmarkEnd w:id="117"/>
      <w:r>
        <w:rPr>
          <w:rFonts w:hint="eastAsia" w:ascii="方正仿宋_GBK" w:hAnsi="方正仿宋_GBK" w:eastAsia="方正仿宋_GBK" w:cs="方正仿宋_GBK"/>
          <w:kern w:val="0"/>
          <w:sz w:val="32"/>
          <w:szCs w:val="32"/>
          <w:lang w:eastAsia="zh-CN" w:bidi="ar"/>
        </w:rPr>
        <w:t>部门概况：</w:t>
      </w:r>
      <w:bookmarkEnd w:id="118"/>
    </w:p>
    <w:p>
      <w:pPr>
        <w:pStyle w:val="17"/>
        <w:keepNext w:val="0"/>
        <w:keepLines w:val="0"/>
        <w:pageBreakBefore w:val="0"/>
        <w:widowControl w:val="0"/>
        <w:kinsoku/>
        <w:wordWrap/>
        <w:overflowPunct/>
        <w:topLinePunct w:val="0"/>
        <w:autoSpaceDE/>
        <w:autoSpaceDN/>
        <w:bidi w:val="0"/>
        <w:adjustRightInd/>
        <w:snapToGrid w:val="0"/>
        <w:spacing w:line="570" w:lineRule="exact"/>
        <w:ind w:firstLine="640"/>
        <w:jc w:val="both"/>
        <w:textAlignment w:val="auto"/>
        <w:rPr>
          <w:rStyle w:val="13"/>
          <w:rFonts w:hint="eastAsia" w:ascii="方正仿宋_GBK" w:hAnsi="方正仿宋_GBK" w:eastAsia="方正仿宋_GBK" w:cs="方正仿宋_GBK"/>
          <w:b w:val="0"/>
          <w:color w:val="auto"/>
          <w:spacing w:val="6"/>
          <w:kern w:val="2"/>
          <w:sz w:val="32"/>
          <w:szCs w:val="32"/>
          <w:lang w:val="en-US" w:eastAsia="zh-CN"/>
        </w:rPr>
      </w:pPr>
      <w:bookmarkStart w:id="119" w:name="_Toc1697"/>
      <w:bookmarkStart w:id="120" w:name="_Toc17397"/>
      <w:r>
        <w:rPr>
          <w:rFonts w:hint="eastAsia" w:ascii="方正仿宋_GBK" w:hAnsi="方正仿宋_GBK" w:eastAsia="方正仿宋_GBK" w:cs="方正仿宋_GBK"/>
          <w:color w:val="000000" w:themeColor="text1"/>
          <w:sz w:val="32"/>
          <w:szCs w:val="32"/>
          <w:highlight w:val="none"/>
          <w:lang w:eastAsia="zh-CN"/>
          <w14:textFill>
            <w14:solidFill>
              <w14:schemeClr w14:val="tx1"/>
            </w14:solidFill>
          </w14:textFill>
        </w:rPr>
        <w:t>市监局</w:t>
      </w:r>
      <w:r>
        <w:rPr>
          <w:rStyle w:val="13"/>
          <w:rFonts w:hint="eastAsia" w:ascii="方正仿宋_GBK" w:hAnsi="方正仿宋_GBK" w:eastAsia="方正仿宋_GBK" w:cs="方正仿宋_GBK"/>
          <w:b w:val="0"/>
          <w:color w:val="auto"/>
          <w:spacing w:val="6"/>
          <w:kern w:val="2"/>
          <w:sz w:val="32"/>
          <w:szCs w:val="32"/>
          <w:highlight w:val="none"/>
          <w:lang w:val="en-US" w:eastAsia="zh-CN"/>
        </w:rPr>
        <w:t>是伽师县人民政府工作部门，为正科级单位，属于财政全额拨款行政单位，内设职能部门13</w:t>
      </w:r>
      <w:r>
        <w:rPr>
          <w:rStyle w:val="13"/>
          <w:rFonts w:hint="eastAsia" w:ascii="方正仿宋_GBK" w:hAnsi="方正仿宋_GBK" w:eastAsia="方正仿宋_GBK" w:cs="方正仿宋_GBK"/>
          <w:b w:val="0"/>
          <w:color w:val="auto"/>
          <w:spacing w:val="6"/>
          <w:kern w:val="2"/>
          <w:sz w:val="32"/>
          <w:szCs w:val="32"/>
          <w:lang w:val="en-US" w:eastAsia="zh-CN"/>
        </w:rPr>
        <w:t>个；单位人员编制总数44人，其中：行政编制32人，机关工勤编制2人，事业编制10人。</w:t>
      </w:r>
    </w:p>
    <w:p>
      <w:pPr>
        <w:pStyle w:val="17"/>
        <w:keepNext w:val="0"/>
        <w:keepLines w:val="0"/>
        <w:pageBreakBefore w:val="0"/>
        <w:widowControl w:val="0"/>
        <w:kinsoku/>
        <w:wordWrap/>
        <w:overflowPunct/>
        <w:topLinePunct w:val="0"/>
        <w:autoSpaceDE/>
        <w:autoSpaceDN/>
        <w:bidi w:val="0"/>
        <w:adjustRightInd/>
        <w:snapToGrid w:val="0"/>
        <w:spacing w:line="570" w:lineRule="exact"/>
        <w:ind w:firstLine="640"/>
        <w:jc w:val="both"/>
        <w:textAlignment w:val="auto"/>
        <w:rPr>
          <w:rStyle w:val="13"/>
          <w:rFonts w:hint="eastAsia" w:ascii="方正仿宋_GBK" w:hAnsi="方正仿宋_GBK" w:eastAsia="方正仿宋_GBK" w:cs="方正仿宋_GBK"/>
          <w:b w:val="0"/>
          <w:color w:val="auto"/>
          <w:spacing w:val="6"/>
          <w:kern w:val="2"/>
          <w:sz w:val="32"/>
          <w:szCs w:val="32"/>
          <w:highlight w:val="none"/>
          <w:lang w:val="en-US" w:eastAsia="zh-CN"/>
        </w:rPr>
      </w:pPr>
      <w:r>
        <w:rPr>
          <w:rFonts w:hint="eastAsia" w:ascii="方正仿宋_GBK" w:hAnsi="方正仿宋_GBK" w:eastAsia="方正仿宋_GBK" w:cs="方正仿宋_GBK"/>
          <w:color w:val="000000" w:themeColor="text1"/>
          <w:sz w:val="32"/>
          <w:szCs w:val="32"/>
          <w:highlight w:val="none"/>
          <w:lang w:eastAsia="zh-CN"/>
          <w14:textFill>
            <w14:solidFill>
              <w14:schemeClr w14:val="tx1"/>
            </w14:solidFill>
          </w14:textFill>
        </w:rPr>
        <w:t>市监局2022年年初预算收入729.44万元，全年预算收入952.43万元，其中，财政拨款收入895.33万元，</w:t>
      </w:r>
      <w:r>
        <w:rPr>
          <w:rFonts w:hint="eastAsia" w:ascii="方正仿宋_GBK" w:hAnsi="方正仿宋_GBK" w:eastAsia="方正仿宋_GBK" w:cs="方正仿宋_GBK"/>
          <w:sz w:val="32"/>
          <w:szCs w:val="32"/>
          <w:highlight w:val="none"/>
        </w:rPr>
        <w:t>非本级财政拨款</w:t>
      </w:r>
      <w:r>
        <w:rPr>
          <w:rFonts w:hint="eastAsia" w:ascii="方正仿宋_GBK" w:hAnsi="方正仿宋_GBK" w:eastAsia="方正仿宋_GBK" w:cs="方正仿宋_GBK"/>
          <w:sz w:val="32"/>
          <w:szCs w:val="32"/>
          <w:highlight w:val="none"/>
          <w:lang w:eastAsia="zh-CN"/>
        </w:rPr>
        <w:t>（</w:t>
      </w:r>
      <w:r>
        <w:rPr>
          <w:rFonts w:hint="eastAsia" w:ascii="方正仿宋_GBK" w:hAnsi="方正仿宋_GBK" w:eastAsia="方正仿宋_GBK" w:cs="方正仿宋_GBK"/>
          <w:sz w:val="32"/>
          <w:szCs w:val="32"/>
          <w:highlight w:val="none"/>
        </w:rPr>
        <w:t>援疆资金</w:t>
      </w:r>
      <w:r>
        <w:rPr>
          <w:rFonts w:hint="eastAsia" w:ascii="方正仿宋_GBK" w:hAnsi="方正仿宋_GBK" w:eastAsia="方正仿宋_GBK" w:cs="方正仿宋_GBK"/>
          <w:sz w:val="32"/>
          <w:szCs w:val="32"/>
          <w:highlight w:val="none"/>
          <w:lang w:eastAsia="zh-CN"/>
        </w:rPr>
        <w:t>）</w:t>
      </w:r>
      <w:r>
        <w:rPr>
          <w:rFonts w:hint="eastAsia" w:ascii="方正仿宋_GBK" w:hAnsi="方正仿宋_GBK" w:eastAsia="方正仿宋_GBK" w:cs="方正仿宋_GBK"/>
          <w:sz w:val="32"/>
          <w:szCs w:val="32"/>
          <w:highlight w:val="none"/>
          <w:lang w:val="en-US" w:eastAsia="zh-CN"/>
        </w:rPr>
        <w:t>57.1</w:t>
      </w:r>
      <w:r>
        <w:rPr>
          <w:rFonts w:hint="eastAsia" w:ascii="方正仿宋_GBK" w:hAnsi="方正仿宋_GBK" w:eastAsia="方正仿宋_GBK" w:cs="方正仿宋_GBK"/>
          <w:sz w:val="32"/>
          <w:szCs w:val="32"/>
          <w:highlight w:val="none"/>
        </w:rPr>
        <w:t>万元</w:t>
      </w:r>
      <w:r>
        <w:rPr>
          <w:rFonts w:hint="eastAsia" w:ascii="方正仿宋_GBK" w:hAnsi="方正仿宋_GBK" w:eastAsia="方正仿宋_GBK" w:cs="方正仿宋_GBK"/>
          <w:sz w:val="32"/>
          <w:szCs w:val="32"/>
          <w:highlight w:val="none"/>
          <w:lang w:eastAsia="zh-CN"/>
        </w:rPr>
        <w:t>。</w:t>
      </w:r>
      <w:r>
        <w:rPr>
          <w:rFonts w:hint="eastAsia" w:ascii="方正仿宋_GBK" w:hAnsi="方正仿宋_GBK" w:eastAsia="方正仿宋_GBK" w:cs="方正仿宋_GBK"/>
          <w:color w:val="000000"/>
          <w:kern w:val="2"/>
          <w:sz w:val="32"/>
          <w:szCs w:val="32"/>
          <w:highlight w:val="none"/>
          <w:lang w:val="en-US" w:eastAsia="zh-CN" w:bidi="ar-SA"/>
        </w:rPr>
        <w:t>2022年全年支出952.43万元，</w:t>
      </w:r>
      <w:r>
        <w:rPr>
          <w:rStyle w:val="13"/>
          <w:rFonts w:hint="eastAsia" w:ascii="方正仿宋_GBK" w:hAnsi="方正仿宋_GBK" w:eastAsia="方正仿宋_GBK" w:cs="方正仿宋_GBK"/>
          <w:b w:val="0"/>
          <w:color w:val="auto"/>
          <w:spacing w:val="6"/>
          <w:kern w:val="2"/>
          <w:sz w:val="32"/>
          <w:szCs w:val="32"/>
          <w:highlight w:val="none"/>
          <w:lang w:val="en-US" w:eastAsia="zh-CN"/>
        </w:rPr>
        <w:t>其中：基本支出833.33万元，项目支出119.1万元。</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outlineLvl w:val="1"/>
        <w:rPr>
          <w:rFonts w:hint="eastAsia" w:ascii="方正仿宋_GBK" w:hAnsi="方正仿宋_GBK" w:eastAsia="方正仿宋_GBK" w:cs="方正仿宋_GBK"/>
          <w:color w:val="000000" w:themeColor="text1"/>
          <w:sz w:val="32"/>
          <w:szCs w:val="32"/>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highlight w:val="none"/>
          <w:lang w:eastAsia="zh-CN"/>
          <w14:textFill>
            <w14:solidFill>
              <w14:schemeClr w14:val="tx1"/>
            </w14:solidFill>
          </w14:textFill>
        </w:rPr>
        <w:t>市监局</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2022年履职情况：主要</w:t>
      </w:r>
      <w:r>
        <w:rPr>
          <w:rFonts w:hint="eastAsia" w:ascii="方正仿宋_GBK" w:hAnsi="方正仿宋_GBK" w:eastAsia="方正仿宋_GBK" w:cs="方正仿宋_GBK"/>
          <w:color w:val="000000" w:themeColor="text1"/>
          <w:sz w:val="32"/>
          <w:szCs w:val="32"/>
          <w:highlight w:val="none"/>
          <w:lang w:eastAsia="zh-CN"/>
          <w14:textFill>
            <w14:solidFill>
              <w14:schemeClr w14:val="tx1"/>
            </w14:solidFill>
          </w14:textFill>
        </w:rPr>
        <w:t>围绕食品、药品、特种设备、产品质量安全领域，结合“双随机”抽查，维护市场环境安全稳定。开展价格监管行政执法、市场监管专项整治，推进“放管服”改革，优化营商环境。保障人民群众息息相关的生活物品的供应充足、价格稳定、质量安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outlineLvl w:val="1"/>
        <w:rPr>
          <w:rFonts w:hint="eastAsia" w:ascii="方正仿宋_GBK" w:hAnsi="方正仿宋_GBK" w:eastAsia="方正仿宋_GBK" w:cs="方正仿宋_GBK"/>
          <w:kern w:val="0"/>
          <w:sz w:val="32"/>
          <w:szCs w:val="32"/>
          <w:lang w:bidi="ar"/>
        </w:rPr>
      </w:pPr>
      <w:bookmarkStart w:id="121" w:name="_Toc14172_WPSOffice_Level1"/>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2.</w:t>
      </w:r>
      <w:r>
        <w:rPr>
          <w:rFonts w:hint="eastAsia" w:ascii="方正仿宋_GBK" w:hAnsi="方正仿宋_GBK" w:eastAsia="方正仿宋_GBK" w:cs="方正仿宋_GBK"/>
          <w:kern w:val="0"/>
          <w:sz w:val="32"/>
          <w:szCs w:val="32"/>
          <w:lang w:bidi="ar"/>
        </w:rPr>
        <w:t>请您简要介绍</w:t>
      </w:r>
      <w:r>
        <w:rPr>
          <w:rFonts w:hint="eastAsia" w:ascii="方正仿宋_GBK" w:hAnsi="方正仿宋_GBK" w:eastAsia="方正仿宋_GBK" w:cs="方正仿宋_GBK"/>
          <w:kern w:val="0"/>
          <w:sz w:val="32"/>
          <w:szCs w:val="32"/>
          <w:lang w:eastAsia="zh-CN" w:bidi="ar"/>
        </w:rPr>
        <w:t>部门整体</w:t>
      </w:r>
      <w:r>
        <w:rPr>
          <w:rFonts w:hint="eastAsia" w:ascii="方正仿宋_GBK" w:hAnsi="方正仿宋_GBK" w:eastAsia="方正仿宋_GBK" w:cs="方正仿宋_GBK"/>
          <w:kern w:val="0"/>
          <w:sz w:val="32"/>
          <w:szCs w:val="32"/>
          <w:lang w:bidi="ar"/>
        </w:rPr>
        <w:t>预算申请编报、审批和拨付流程。</w:t>
      </w:r>
      <w:bookmarkEnd w:id="119"/>
      <w:bookmarkEnd w:id="120"/>
      <w:bookmarkEnd w:id="121"/>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0"/>
        <w:rPr>
          <w:rFonts w:hint="eastAsia" w:ascii="方正仿宋_GBK" w:hAnsi="方正仿宋_GBK" w:eastAsia="方正仿宋_GBK" w:cs="方正仿宋_GBK"/>
          <w:b w:val="0"/>
          <w:bCs w:val="0"/>
          <w:kern w:val="0"/>
          <w:sz w:val="32"/>
          <w:szCs w:val="32"/>
          <w:lang w:val="en-US" w:eastAsia="zh-CN" w:bidi="ar"/>
        </w:rPr>
      </w:pPr>
      <w:r>
        <w:rPr>
          <w:rFonts w:hint="eastAsia" w:ascii="方正仿宋_GBK" w:hAnsi="方正仿宋_GBK" w:eastAsia="方正仿宋_GBK" w:cs="方正仿宋_GBK"/>
          <w:b w:val="0"/>
          <w:bCs w:val="0"/>
          <w:kern w:val="0"/>
          <w:sz w:val="32"/>
          <w:szCs w:val="32"/>
          <w:lang w:val="en-US" w:eastAsia="zh-CN" w:bidi="ar"/>
        </w:rPr>
        <w:t>答：根据财政部门下发的编制预算的通知，召开预算编制工作会，项目根据预算编制要求提出预算建议数，并提交申报数据基础材料并通过党委会审议审定，上级财政部门依据财政资金安排，下达资金控制数。</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0"/>
        <w:rPr>
          <w:rFonts w:hint="eastAsia" w:ascii="方正仿宋_GBK" w:hAnsi="方正仿宋_GBK" w:eastAsia="方正仿宋_GBK" w:cs="方正仿宋_GBK"/>
          <w:b w:val="0"/>
          <w:bCs w:val="0"/>
          <w:kern w:val="0"/>
          <w:sz w:val="32"/>
          <w:szCs w:val="32"/>
          <w:lang w:val="en-US" w:eastAsia="zh-CN" w:bidi="ar"/>
        </w:rPr>
      </w:pPr>
      <w:r>
        <w:rPr>
          <w:rFonts w:hint="eastAsia" w:ascii="方正仿宋_GBK" w:hAnsi="方正仿宋_GBK" w:eastAsia="方正仿宋_GBK" w:cs="方正仿宋_GBK"/>
          <w:b w:val="0"/>
          <w:bCs w:val="0"/>
          <w:kern w:val="0"/>
          <w:sz w:val="32"/>
          <w:szCs w:val="32"/>
          <w:lang w:val="en-US" w:eastAsia="zh-CN" w:bidi="ar"/>
        </w:rPr>
        <w:t>资金审批、拨付流程通过施工单位按照现场进度申请、监理单位审核、建设单位会同审计单位进行实地查验进行受理，形成资金支付材料及资金审批表，审批表通过分管行业部门及县委、政府分管领导审批，报财政部门业务股室进行审核，确定无误后进行拨付。</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0"/>
        <w:rPr>
          <w:rFonts w:hint="default" w:ascii="Times New Roman" w:hAnsi="Times New Roman" w:eastAsia="仿宋_GB2312" w:cs="Times New Roman"/>
          <w:kern w:val="0"/>
          <w:sz w:val="28"/>
          <w:szCs w:val="28"/>
          <w:lang w:val="en-US" w:bidi="ar"/>
        </w:rPr>
      </w:pPr>
      <w:r>
        <w:rPr>
          <w:rFonts w:hint="eastAsia" w:ascii="方正仿宋_GBK" w:hAnsi="方正仿宋_GBK" w:eastAsia="方正仿宋_GBK" w:cs="方正仿宋_GBK"/>
          <w:kern w:val="0"/>
          <w:sz w:val="32"/>
          <w:szCs w:val="32"/>
          <w:lang w:val="en-US" w:eastAsia="zh-CN" w:bidi="ar"/>
        </w:rPr>
        <w:t>2.</w:t>
      </w:r>
      <w:r>
        <w:rPr>
          <w:rFonts w:hint="eastAsia" w:ascii="方正仿宋_GBK" w:hAnsi="方正仿宋_GBK" w:eastAsia="方正仿宋_GBK" w:cs="方正仿宋_GBK"/>
          <w:kern w:val="0"/>
          <w:sz w:val="32"/>
          <w:szCs w:val="32"/>
          <w:lang w:bidi="ar"/>
        </w:rPr>
        <w:t>请您简要介绍</w:t>
      </w:r>
      <w:r>
        <w:rPr>
          <w:rFonts w:hint="eastAsia" w:ascii="方正仿宋_GBK" w:hAnsi="方正仿宋_GBK" w:eastAsia="方正仿宋_GBK" w:cs="方正仿宋_GBK"/>
          <w:kern w:val="0"/>
          <w:sz w:val="32"/>
          <w:szCs w:val="32"/>
          <w:lang w:val="en-US" w:eastAsia="zh-CN" w:bidi="ar"/>
        </w:rPr>
        <w:t>2022年伽师县市场监督管理局预算申请批复情况，是否有预算调整？</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outlineLvl w:val="0"/>
        <w:rPr>
          <w:rFonts w:hint="eastAsia" w:ascii="方正仿宋_GBK" w:hAnsi="方正仿宋_GBK" w:eastAsia="方正仿宋_GBK" w:cs="方正仿宋_GBK"/>
          <w:b/>
          <w:bCs/>
          <w:kern w:val="0"/>
          <w:sz w:val="32"/>
          <w:szCs w:val="32"/>
          <w:lang w:val="en-US" w:bidi="ar"/>
        </w:rPr>
      </w:pPr>
      <w:r>
        <w:rPr>
          <w:rFonts w:hint="eastAsia" w:ascii="方正仿宋_GBK" w:hAnsi="方正仿宋_GBK" w:eastAsia="方正仿宋_GBK" w:cs="方正仿宋_GBK"/>
          <w:b/>
          <w:bCs/>
          <w:kern w:val="0"/>
          <w:sz w:val="32"/>
          <w:szCs w:val="32"/>
          <w:lang w:val="en-US" w:eastAsia="zh-CN" w:bidi="ar"/>
        </w:rPr>
        <w:t>答：</w:t>
      </w:r>
      <w:r>
        <w:rPr>
          <w:rFonts w:hint="eastAsia" w:ascii="方正仿宋_GBK" w:hAnsi="方正仿宋_GBK" w:eastAsia="方正仿宋_GBK" w:cs="方正仿宋_GBK"/>
          <w:bCs/>
          <w:color w:val="333333"/>
          <w:spacing w:val="6"/>
          <w:sz w:val="32"/>
          <w:szCs w:val="32"/>
          <w:highlight w:val="none"/>
          <w:lang w:eastAsia="zh-CN" w:bidi="ar"/>
        </w:rPr>
        <w:t>全年预算安排952.43</w:t>
      </w:r>
      <w:r>
        <w:rPr>
          <w:rFonts w:hint="eastAsia" w:ascii="方正仿宋_GBK" w:hAnsi="方正仿宋_GBK" w:eastAsia="方正仿宋_GBK" w:cs="方正仿宋_GBK"/>
          <w:bCs/>
          <w:color w:val="333333"/>
          <w:spacing w:val="6"/>
          <w:sz w:val="32"/>
          <w:szCs w:val="32"/>
          <w:highlight w:val="none"/>
          <w:lang w:val="en-US" w:eastAsia="zh-CN" w:bidi="ar"/>
        </w:rPr>
        <w:t>万元，较年初批复部门预算729.44万元调增222.99万元，预算调整率</w:t>
      </w:r>
      <w:r>
        <w:rPr>
          <w:rFonts w:hint="eastAsia" w:ascii="方正仿宋_GBK" w:hAnsi="方正仿宋_GBK" w:eastAsia="方正仿宋_GBK" w:cs="方正仿宋_GBK"/>
          <w:bCs/>
          <w:color w:val="333333"/>
          <w:spacing w:val="6"/>
          <w:sz w:val="32"/>
          <w:szCs w:val="32"/>
          <w:highlight w:val="none"/>
          <w:lang w:eastAsia="zh-CN" w:bidi="ar"/>
        </w:rPr>
        <w:t>30.57</w:t>
      </w:r>
      <w:r>
        <w:rPr>
          <w:rFonts w:hint="eastAsia" w:ascii="方正仿宋_GBK" w:hAnsi="方正仿宋_GBK" w:eastAsia="方正仿宋_GBK" w:cs="方正仿宋_GBK"/>
          <w:bCs/>
          <w:color w:val="333333"/>
          <w:spacing w:val="6"/>
          <w:sz w:val="32"/>
          <w:szCs w:val="32"/>
          <w:highlight w:val="none"/>
          <w:lang w:val="en-US" w:eastAsia="zh-CN" w:bidi="ar"/>
        </w:rPr>
        <w:t>%，其中，人员经费</w:t>
      </w:r>
      <w:r>
        <w:rPr>
          <w:rFonts w:hint="eastAsia" w:ascii="方正仿宋_GBK" w:hAnsi="方正仿宋_GBK" w:eastAsia="方正仿宋_GBK" w:cs="方正仿宋_GBK"/>
          <w:bCs/>
          <w:color w:val="333333"/>
          <w:spacing w:val="6"/>
          <w:sz w:val="32"/>
          <w:szCs w:val="32"/>
          <w:highlight w:val="none"/>
          <w:lang w:eastAsia="zh-CN" w:bidi="ar"/>
        </w:rPr>
        <w:t>预算</w:t>
      </w:r>
      <w:r>
        <w:rPr>
          <w:rFonts w:hint="eastAsia" w:ascii="方正仿宋_GBK" w:hAnsi="方正仿宋_GBK" w:eastAsia="方正仿宋_GBK" w:cs="方正仿宋_GBK"/>
          <w:bCs/>
          <w:color w:val="333333"/>
          <w:spacing w:val="6"/>
          <w:sz w:val="32"/>
          <w:szCs w:val="32"/>
          <w:highlight w:val="none"/>
          <w:lang w:val="en-US" w:eastAsia="zh-CN" w:bidi="ar"/>
        </w:rPr>
        <w:t>804.4万元，公用经费</w:t>
      </w:r>
      <w:r>
        <w:rPr>
          <w:rFonts w:hint="eastAsia" w:ascii="方正仿宋_GBK" w:hAnsi="方正仿宋_GBK" w:eastAsia="方正仿宋_GBK" w:cs="方正仿宋_GBK"/>
          <w:bCs/>
          <w:color w:val="333333"/>
          <w:spacing w:val="6"/>
          <w:sz w:val="32"/>
          <w:szCs w:val="32"/>
          <w:highlight w:val="none"/>
          <w:lang w:eastAsia="zh-CN" w:bidi="ar"/>
        </w:rPr>
        <w:t>预算</w:t>
      </w:r>
      <w:r>
        <w:rPr>
          <w:rFonts w:hint="eastAsia" w:ascii="方正仿宋_GBK" w:hAnsi="方正仿宋_GBK" w:eastAsia="方正仿宋_GBK" w:cs="方正仿宋_GBK"/>
          <w:bCs/>
          <w:color w:val="333333"/>
          <w:spacing w:val="6"/>
          <w:sz w:val="32"/>
          <w:szCs w:val="32"/>
          <w:highlight w:val="none"/>
          <w:lang w:val="en-US" w:eastAsia="zh-CN" w:bidi="ar"/>
        </w:rPr>
        <w:t>28.93万元，项目</w:t>
      </w:r>
      <w:r>
        <w:rPr>
          <w:rFonts w:hint="eastAsia" w:ascii="方正仿宋_GBK" w:hAnsi="方正仿宋_GBK" w:eastAsia="方正仿宋_GBK" w:cs="方正仿宋_GBK"/>
          <w:bCs/>
          <w:color w:val="333333"/>
          <w:spacing w:val="6"/>
          <w:sz w:val="32"/>
          <w:szCs w:val="32"/>
          <w:highlight w:val="none"/>
          <w:lang w:eastAsia="zh-CN" w:bidi="ar"/>
        </w:rPr>
        <w:t>预算</w:t>
      </w:r>
      <w:r>
        <w:rPr>
          <w:rFonts w:hint="eastAsia" w:ascii="方正仿宋_GBK" w:hAnsi="方正仿宋_GBK" w:eastAsia="方正仿宋_GBK" w:cs="方正仿宋_GBK"/>
          <w:bCs/>
          <w:color w:val="333333"/>
          <w:spacing w:val="6"/>
          <w:sz w:val="32"/>
          <w:szCs w:val="32"/>
          <w:highlight w:val="none"/>
          <w:lang w:val="en-US" w:eastAsia="zh-CN" w:bidi="ar"/>
        </w:rPr>
        <w:t>119.1万元</w:t>
      </w:r>
      <w:r>
        <w:rPr>
          <w:rFonts w:hint="eastAsia" w:ascii="方正仿宋_GBK" w:hAnsi="方正仿宋_GBK" w:eastAsia="方正仿宋_GBK" w:cs="方正仿宋_GBK"/>
          <w:bCs/>
          <w:color w:val="333333"/>
          <w:spacing w:val="6"/>
          <w:sz w:val="32"/>
          <w:szCs w:val="32"/>
          <w:highlight w:val="none"/>
          <w:lang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200"/>
        <w:textAlignment w:val="auto"/>
        <w:rPr>
          <w:rFonts w:hint="eastAsia" w:ascii="方正仿宋_GBK" w:hAnsi="方正仿宋_GBK" w:eastAsia="方正仿宋_GBK" w:cs="方正仿宋_GBK"/>
          <w:kern w:val="0"/>
          <w:sz w:val="32"/>
          <w:szCs w:val="32"/>
          <w:lang w:bidi="ar"/>
        </w:rPr>
      </w:pPr>
      <w:r>
        <w:rPr>
          <w:rFonts w:hint="eastAsia" w:ascii="方正仿宋_GBK" w:hAnsi="方正仿宋_GBK" w:eastAsia="方正仿宋_GBK" w:cs="方正仿宋_GBK"/>
          <w:kern w:val="0"/>
          <w:sz w:val="32"/>
          <w:szCs w:val="32"/>
          <w:lang w:val="en-US" w:eastAsia="zh-CN" w:bidi="ar"/>
        </w:rPr>
        <w:t>3.</w:t>
      </w:r>
      <w:r>
        <w:rPr>
          <w:rFonts w:hint="eastAsia" w:ascii="方正仿宋_GBK" w:hAnsi="方正仿宋_GBK" w:eastAsia="方正仿宋_GBK" w:cs="方正仿宋_GBK"/>
          <w:kern w:val="0"/>
          <w:sz w:val="32"/>
          <w:szCs w:val="32"/>
          <w:lang w:bidi="ar"/>
        </w:rPr>
        <w:t>请您</w:t>
      </w:r>
      <w:r>
        <w:rPr>
          <w:rFonts w:hint="eastAsia" w:ascii="方正仿宋_GBK" w:hAnsi="方正仿宋_GBK" w:eastAsia="方正仿宋_GBK" w:cs="方正仿宋_GBK"/>
          <w:kern w:val="0"/>
          <w:sz w:val="32"/>
          <w:szCs w:val="32"/>
          <w:lang w:eastAsia="zh-CN" w:bidi="ar"/>
        </w:rPr>
        <w:t>简要介绍伽师县市场监督管理局各项财务管理制度是否健全，资金拨付流程及实际使用情况？</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outlineLvl w:val="0"/>
        <w:rPr>
          <w:rFonts w:ascii="Times New Roman" w:hAnsi="Times New Roman" w:eastAsia="仿宋_GB2312" w:cs="Times New Roman"/>
          <w:b/>
          <w:bCs/>
          <w:kern w:val="0"/>
          <w:sz w:val="28"/>
          <w:szCs w:val="28"/>
          <w:lang w:bidi="ar"/>
        </w:rPr>
      </w:pPr>
      <w:r>
        <w:rPr>
          <w:rFonts w:hint="eastAsia" w:ascii="方正仿宋_GBK" w:hAnsi="方正仿宋_GBK" w:eastAsia="方正仿宋_GBK" w:cs="方正仿宋_GBK"/>
          <w:b/>
          <w:bCs/>
          <w:kern w:val="0"/>
          <w:sz w:val="32"/>
          <w:szCs w:val="32"/>
          <w:lang w:val="en-US" w:eastAsia="zh-CN" w:bidi="ar"/>
        </w:rPr>
        <w:t>答：</w:t>
      </w:r>
      <w:r>
        <w:rPr>
          <w:rStyle w:val="13"/>
          <w:rFonts w:hint="eastAsia" w:ascii="方正仿宋_GBK" w:hAnsi="方正仿宋_GBK" w:eastAsia="方正仿宋_GBK" w:cs="方正仿宋_GBK"/>
          <w:b w:val="0"/>
          <w:color w:val="auto"/>
          <w:spacing w:val="6"/>
          <w:sz w:val="32"/>
          <w:szCs w:val="32"/>
          <w:highlight w:val="none"/>
          <w:lang w:val="en-US" w:eastAsia="zh-CN"/>
        </w:rPr>
        <w:t>市监局为加强预算管理，规范财务行为，</w:t>
      </w:r>
      <w:r>
        <w:rPr>
          <w:rStyle w:val="13"/>
          <w:rFonts w:hint="eastAsia" w:ascii="方正仿宋_GBK" w:hAnsi="方正仿宋_GBK" w:eastAsia="方正仿宋_GBK" w:cs="方正仿宋_GBK"/>
          <w:b w:val="0"/>
          <w:color w:val="auto"/>
          <w:spacing w:val="6"/>
          <w:sz w:val="32"/>
          <w:szCs w:val="32"/>
          <w:lang w:val="en-US" w:eastAsia="zh-CN"/>
        </w:rPr>
        <w:t>制定了《伽师县市场监督管理局单位财务管理制度》，</w:t>
      </w:r>
      <w:r>
        <w:rPr>
          <w:rStyle w:val="13"/>
          <w:rFonts w:hint="eastAsia" w:ascii="方正仿宋_GBK" w:hAnsi="方正仿宋_GBK" w:eastAsia="方正仿宋_GBK" w:cs="方正仿宋_GBK"/>
          <w:b w:val="0"/>
          <w:color w:val="auto"/>
          <w:spacing w:val="6"/>
          <w:sz w:val="32"/>
          <w:szCs w:val="32"/>
          <w:highlight w:val="none"/>
          <w:lang w:val="en-US" w:eastAsia="zh-CN"/>
        </w:rPr>
        <w:t>严格按《政府会计准则－基本准则》《中华人民共和国会计法》〈中华人民共和国预算法〉等法律、行政法规，执行党和国家的财经政策，遵守财经纪律。有效防范预算管理活动风险，规范预算业务内部控制，保障单位高效的履行工作职能，确保资金安全、合理、有效地使用。</w:t>
      </w:r>
      <w:r>
        <w:rPr>
          <w:rFonts w:hint="eastAsia" w:ascii="Times New Roman" w:hAnsi="Times New Roman" w:eastAsia="仿宋_GB2312" w:cs="Times New Roman"/>
          <w:b w:val="0"/>
          <w:bCs w:val="0"/>
          <w:kern w:val="0"/>
          <w:sz w:val="28"/>
          <w:szCs w:val="28"/>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200"/>
        <w:textAlignment w:val="auto"/>
        <w:rPr>
          <w:rFonts w:hint="eastAsia" w:ascii="方正仿宋_GBK" w:hAnsi="方正仿宋_GBK" w:eastAsia="方正仿宋_GBK" w:cs="方正仿宋_GBK"/>
          <w:kern w:val="0"/>
          <w:sz w:val="32"/>
          <w:szCs w:val="32"/>
          <w:lang w:val="en-US" w:eastAsia="zh-CN" w:bidi="ar"/>
        </w:rPr>
      </w:pPr>
      <w:r>
        <w:rPr>
          <w:rFonts w:hint="eastAsia" w:ascii="方正仿宋_GBK" w:hAnsi="方正仿宋_GBK" w:eastAsia="方正仿宋_GBK" w:cs="方正仿宋_GBK"/>
          <w:kern w:val="0"/>
          <w:sz w:val="32"/>
          <w:szCs w:val="32"/>
          <w:lang w:val="en-US" w:eastAsia="zh-CN" w:bidi="ar"/>
        </w:rPr>
        <w:t>4.</w:t>
      </w:r>
      <w:r>
        <w:rPr>
          <w:rFonts w:hint="eastAsia" w:ascii="方正仿宋_GBK" w:hAnsi="方正仿宋_GBK" w:eastAsia="方正仿宋_GBK" w:cs="方正仿宋_GBK"/>
          <w:kern w:val="0"/>
          <w:sz w:val="32"/>
          <w:szCs w:val="32"/>
          <w:lang w:eastAsia="zh-CN" w:bidi="ar"/>
        </w:rPr>
        <w:t>请您简要介绍</w:t>
      </w:r>
      <w:r>
        <w:rPr>
          <w:rFonts w:hint="eastAsia" w:ascii="方正仿宋_GBK" w:hAnsi="方正仿宋_GBK" w:eastAsia="方正仿宋_GBK" w:cs="方正仿宋_GBK"/>
          <w:kern w:val="0"/>
          <w:sz w:val="32"/>
          <w:szCs w:val="32"/>
          <w:lang w:val="en-US" w:eastAsia="zh-CN" w:bidi="ar"/>
        </w:rPr>
        <w:t>2022年伽师县市场监督管理局预算资金主要支出方向？</w:t>
      </w:r>
    </w:p>
    <w:p>
      <w:pPr>
        <w:pStyle w:val="17"/>
        <w:keepNext w:val="0"/>
        <w:keepLines w:val="0"/>
        <w:pageBreakBefore w:val="0"/>
        <w:widowControl w:val="0"/>
        <w:kinsoku/>
        <w:wordWrap/>
        <w:overflowPunct/>
        <w:topLinePunct w:val="0"/>
        <w:autoSpaceDE/>
        <w:autoSpaceDN/>
        <w:bidi w:val="0"/>
        <w:adjustRightInd/>
        <w:snapToGrid w:val="0"/>
        <w:spacing w:line="570" w:lineRule="atLeast"/>
        <w:ind w:left="0" w:leftChars="0" w:firstLine="667" w:firstLineChars="200"/>
        <w:jc w:val="both"/>
        <w:textAlignment w:val="auto"/>
        <w:rPr>
          <w:rFonts w:hint="default" w:ascii="Times New Roman" w:hAnsi="Times New Roman" w:eastAsia="仿宋_GB2312" w:cs="Times New Roman"/>
          <w:b w:val="0"/>
          <w:bCs w:val="0"/>
          <w:kern w:val="0"/>
          <w:sz w:val="28"/>
          <w:szCs w:val="28"/>
          <w:lang w:val="en-US" w:eastAsia="zh-CN" w:bidi="ar"/>
        </w:rPr>
      </w:pPr>
      <w:r>
        <w:rPr>
          <w:rFonts w:hint="eastAsia" w:ascii="方正仿宋_GBK" w:hAnsi="方正仿宋_GBK" w:eastAsia="方正仿宋_GBK" w:cs="方正仿宋_GBK"/>
          <w:b/>
          <w:bCs w:val="0"/>
          <w:color w:val="auto"/>
          <w:spacing w:val="6"/>
          <w:sz w:val="32"/>
          <w:szCs w:val="32"/>
          <w:highlight w:val="none"/>
          <w:lang w:val="en-US" w:eastAsia="zh-CN"/>
        </w:rPr>
        <w:t>答：</w:t>
      </w:r>
      <w:r>
        <w:rPr>
          <w:rFonts w:hint="eastAsia" w:ascii="方正仿宋_GBK" w:hAnsi="方正仿宋_GBK" w:eastAsia="方正仿宋_GBK" w:cs="方正仿宋_GBK"/>
          <w:bCs/>
          <w:color w:val="auto"/>
          <w:spacing w:val="6"/>
          <w:sz w:val="32"/>
          <w:szCs w:val="32"/>
          <w:highlight w:val="none"/>
          <w:lang w:val="en-US" w:eastAsia="zh-CN"/>
        </w:rPr>
        <w:t>2022年</w:t>
      </w:r>
      <w:r>
        <w:rPr>
          <w:rStyle w:val="13"/>
          <w:rFonts w:hint="eastAsia" w:ascii="方正仿宋_GBK" w:hAnsi="方正仿宋_GBK" w:eastAsia="方正仿宋_GBK" w:cs="方正仿宋_GBK"/>
          <w:b w:val="0"/>
          <w:color w:val="auto"/>
          <w:kern w:val="2"/>
          <w:sz w:val="32"/>
          <w:szCs w:val="32"/>
          <w:lang w:val="en-US" w:eastAsia="zh-CN"/>
        </w:rPr>
        <w:t>基本支出全年预算总额为833.33</w:t>
      </w:r>
      <w:r>
        <w:rPr>
          <w:rStyle w:val="13"/>
          <w:rFonts w:hint="eastAsia" w:ascii="方正仿宋_GBK" w:hAnsi="方正仿宋_GBK" w:eastAsia="方正仿宋_GBK" w:cs="方正仿宋_GBK"/>
          <w:b w:val="0"/>
          <w:color w:val="auto"/>
          <w:spacing w:val="6"/>
          <w:kern w:val="2"/>
          <w:sz w:val="32"/>
          <w:szCs w:val="32"/>
          <w:lang w:val="en-US" w:eastAsia="zh-CN"/>
        </w:rPr>
        <w:t>万</w:t>
      </w:r>
      <w:r>
        <w:rPr>
          <w:rStyle w:val="13"/>
          <w:rFonts w:hint="eastAsia" w:ascii="方正仿宋_GBK" w:hAnsi="方正仿宋_GBK" w:eastAsia="方正仿宋_GBK" w:cs="方正仿宋_GBK"/>
          <w:b w:val="0"/>
          <w:color w:val="auto"/>
          <w:kern w:val="2"/>
          <w:sz w:val="32"/>
          <w:szCs w:val="32"/>
          <w:lang w:val="en-US" w:eastAsia="zh-CN"/>
        </w:rPr>
        <w:t>元，其中：人员经费</w:t>
      </w:r>
      <w:r>
        <w:rPr>
          <w:rStyle w:val="13"/>
          <w:rFonts w:hint="eastAsia" w:ascii="方正仿宋_GBK" w:hAnsi="方正仿宋_GBK" w:eastAsia="方正仿宋_GBK" w:cs="方正仿宋_GBK"/>
          <w:b w:val="0"/>
          <w:color w:val="auto"/>
          <w:spacing w:val="6"/>
          <w:kern w:val="2"/>
          <w:sz w:val="32"/>
          <w:szCs w:val="32"/>
          <w:lang w:val="en-US" w:eastAsia="zh-CN"/>
        </w:rPr>
        <w:t>804.41</w:t>
      </w:r>
      <w:r>
        <w:rPr>
          <w:rStyle w:val="13"/>
          <w:rFonts w:hint="eastAsia" w:ascii="方正仿宋_GBK" w:hAnsi="方正仿宋_GBK" w:eastAsia="方正仿宋_GBK" w:cs="方正仿宋_GBK"/>
          <w:b w:val="0"/>
          <w:color w:val="auto"/>
          <w:kern w:val="2"/>
          <w:sz w:val="32"/>
          <w:szCs w:val="32"/>
          <w:lang w:val="en-US" w:eastAsia="zh-CN"/>
        </w:rPr>
        <w:t>万元（其中包括抚恤金51.59万元），公用经费28.93万元，实际支出总额为833.33万元，预算总执行率为100%，</w:t>
      </w:r>
      <w:r>
        <w:rPr>
          <w:rFonts w:hint="eastAsia" w:ascii="方正仿宋_GBK" w:hAnsi="方正仿宋_GBK" w:eastAsia="方正仿宋_GBK" w:cs="方正仿宋_GBK"/>
          <w:bCs/>
          <w:color w:val="auto"/>
          <w:spacing w:val="6"/>
          <w:sz w:val="32"/>
          <w:szCs w:val="32"/>
          <w:highlight w:val="none"/>
          <w:lang w:eastAsia="zh-CN"/>
        </w:rPr>
        <w:t>本年度基本支出增加原因：</w:t>
      </w:r>
      <w:r>
        <w:rPr>
          <w:rFonts w:hint="eastAsia" w:ascii="方正仿宋_GBK" w:hAnsi="方正仿宋_GBK" w:eastAsia="方正仿宋_GBK" w:cs="方正仿宋_GBK"/>
          <w:bCs/>
          <w:color w:val="auto"/>
          <w:spacing w:val="6"/>
          <w:sz w:val="32"/>
          <w:szCs w:val="32"/>
          <w:highlight w:val="none"/>
          <w:lang w:val="en-US" w:eastAsia="zh-CN"/>
        </w:rPr>
        <w:t>职工增加基础绩效奖以及基本工资调标并补发，导致工资福利支出增加。</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200"/>
        <w:textAlignment w:val="auto"/>
        <w:outlineLvl w:val="1"/>
        <w:rPr>
          <w:rFonts w:hint="eastAsia" w:ascii="方正仿宋_GBK" w:hAnsi="方正仿宋_GBK" w:eastAsia="方正仿宋_GBK" w:cs="方正仿宋_GBK"/>
          <w:kern w:val="0"/>
          <w:sz w:val="32"/>
          <w:szCs w:val="32"/>
          <w:lang w:bidi="ar"/>
        </w:rPr>
      </w:pPr>
      <w:bookmarkStart w:id="122" w:name="_Toc13314"/>
      <w:bookmarkStart w:id="123" w:name="_Toc23503"/>
      <w:r>
        <w:rPr>
          <w:rFonts w:hint="eastAsia" w:ascii="方正仿宋_GBK" w:hAnsi="方正仿宋_GBK" w:eastAsia="方正仿宋_GBK" w:cs="方正仿宋_GBK"/>
          <w:kern w:val="0"/>
          <w:sz w:val="32"/>
          <w:szCs w:val="32"/>
          <w:lang w:val="en-US" w:eastAsia="zh-CN" w:bidi="ar"/>
        </w:rPr>
        <w:t>5.请简要</w:t>
      </w:r>
      <w:r>
        <w:rPr>
          <w:rFonts w:hint="eastAsia" w:ascii="方正仿宋_GBK" w:hAnsi="方正仿宋_GBK" w:eastAsia="方正仿宋_GBK" w:cs="方正仿宋_GBK"/>
          <w:sz w:val="32"/>
          <w:szCs w:val="32"/>
        </w:rPr>
        <w:t>概述本单位整体支出绩效目标实现情况</w:t>
      </w:r>
      <w:r>
        <w:rPr>
          <w:rFonts w:hint="eastAsia" w:ascii="方正仿宋_GBK" w:hAnsi="方正仿宋_GBK" w:eastAsia="方正仿宋_GBK" w:cs="方正仿宋_GBK"/>
          <w:kern w:val="0"/>
          <w:sz w:val="32"/>
          <w:szCs w:val="32"/>
          <w:lang w:bidi="ar"/>
        </w:rPr>
        <w:t>？</w:t>
      </w:r>
      <w:bookmarkEnd w:id="122"/>
      <w:bookmarkEnd w:id="123"/>
    </w:p>
    <w:p>
      <w:pPr>
        <w:ind w:firstLine="640" w:firstLineChars="20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2022年我单位在县委、政府的坚强领导下，紧紧围绕县委县政府中心工作，有效保障职工工资按时足额发放到位，医保、社保、公积金等各项缴费按时足额缴纳，防止吃空饷等事项发生，保障县市场监督管理局机关正常运转。使全体干部围绕总目标，凝心聚力，开拓创新，真抓实干，各项工作目标任务推进落实有序，基本实现了推进深化改革与市场监管职能落实的两手抓、两不误。2023年，我局将继续紧紧围绕县委县政府中心工作，聚焦社会稳定长治久安总目标，突出抓好食品安全、药品安全、产品质量安全和特种设备安全这四个关系人民群众身体健康、生命安全的大事。做好登记注册、信用、双反双打、价格、知识产权、网络交易、计量、标准化监管等重点业务工作。努力做好服务监管工作。</w:t>
      </w: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88DA6C4-6832-45DE-905E-1149413513B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6968A7E9-A747-496C-AE83-134411D4AEE9}"/>
  </w:font>
  <w:font w:name="仿宋">
    <w:panose1 w:val="02010609060101010101"/>
    <w:charset w:val="86"/>
    <w:family w:val="modern"/>
    <w:pitch w:val="default"/>
    <w:sig w:usb0="800002BF" w:usb1="38CF7CFA" w:usb2="00000016" w:usb3="00000000" w:csb0="00040001" w:csb1="00000000"/>
    <w:embedRegular r:id="rId3" w:fontKey="{2A241422-661D-415B-927C-80474A113F47}"/>
  </w:font>
  <w:font w:name="方正小标宋_GBK">
    <w:panose1 w:val="03000509000000000000"/>
    <w:charset w:val="86"/>
    <w:family w:val="auto"/>
    <w:pitch w:val="default"/>
    <w:sig w:usb0="00000001" w:usb1="080E0000" w:usb2="00000000" w:usb3="00000000" w:csb0="00040000" w:csb1="00000000"/>
    <w:embedRegular r:id="rId4" w:fontKey="{FCE8F05C-2847-481B-92DC-E185434E9C23}"/>
  </w:font>
  <w:font w:name="方正黑体_GBK">
    <w:panose1 w:val="03000509000000000000"/>
    <w:charset w:val="86"/>
    <w:family w:val="auto"/>
    <w:pitch w:val="default"/>
    <w:sig w:usb0="00000001" w:usb1="080E0000" w:usb2="00000000" w:usb3="00000000" w:csb0="00040000" w:csb1="00000000"/>
    <w:embedRegular r:id="rId5" w:fontKey="{BBB9C452-2CBA-436B-A75A-0588A12AC414}"/>
  </w:font>
  <w:font w:name="方正仿宋_GBK">
    <w:panose1 w:val="03000509000000000000"/>
    <w:charset w:val="86"/>
    <w:family w:val="auto"/>
    <w:pitch w:val="default"/>
    <w:sig w:usb0="00000001" w:usb1="080E0000" w:usb2="00000000" w:usb3="00000000" w:csb0="00040000" w:csb1="00000000"/>
    <w:embedRegular r:id="rId6" w:fontKey="{B28E82EF-727A-4AEB-8B0D-75A457AD47B8}"/>
  </w:font>
  <w:font w:name="方正楷体_GBK">
    <w:panose1 w:val="03000509000000000000"/>
    <w:charset w:val="86"/>
    <w:family w:val="auto"/>
    <w:pitch w:val="default"/>
    <w:sig w:usb0="00000001" w:usb1="080E0000" w:usb2="00000000" w:usb3="00000000" w:csb0="00040000" w:csb1="00000000"/>
    <w:embedRegular r:id="rId7" w:fontKey="{482CE954-98C4-4997-918E-FDB1AF3D5225}"/>
  </w:font>
  <w:font w:name="楷体">
    <w:panose1 w:val="02010609060101010101"/>
    <w:charset w:val="86"/>
    <w:family w:val="modern"/>
    <w:pitch w:val="default"/>
    <w:sig w:usb0="800002BF" w:usb1="38CF7CFA" w:usb2="00000016" w:usb3="00000000" w:csb0="00040001" w:csb1="00000000"/>
    <w:embedRegular r:id="rId8" w:fontKey="{A13152A5-ED94-4933-A63D-BCA88FEF2C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6"/>
                          </w:pPr>
                          <w:r>
                            <w:fldChar w:fldCharType="begin"/>
                          </w:r>
                          <w:r>
                            <w:instrText xml:space="preserve"> PAGE  \* MERGEFORMAT </w:instrText>
                          </w:r>
                          <w:r>
                            <w:fldChar w:fldCharType="separate"/>
                          </w:r>
                          <w:r>
                            <w:t>- 1 -</w:t>
                          </w:r>
                          <w:r>
                            <w:fldChar w:fldCharType="end"/>
                          </w:r>
                        </w:p>
                      </w:txbxContent>
                    </wps:txbx>
                    <wps:bodyPr vert="horz" wrap="none" lIns="0" tIns="0" rIns="0" bIns="0" anchor="t" upright="0">
                      <a:spAutoFit/>
                    </wps:bodyPr>
                  </wps:wsp>
                </a:graphicData>
              </a:graphic>
            </wp:anchor>
          </w:drawing>
        </mc:Choice>
        <mc:Fallback>
          <w:pict>
            <v:rect id="文本框 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XW5&#10;UtAAAAAFAQAADwAAAAAAAAABACAAAAAiAAAAZHJzL2Rvd25yZXYueG1sUEsBAhQAFAAAAAgAh07i&#10;QDACqBe4AQAAUAMAAA4AAAAAAAAAAQAgAAAAHwEAAGRycy9lMm9Eb2MueG1sUEsFBgAAAAAGAAYA&#10;WQEAAEkFA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- 1 -</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6"/>
                          </w:pPr>
                          <w:r>
                            <w:fldChar w:fldCharType="begin"/>
                          </w:r>
                          <w:r>
                            <w:instrText xml:space="preserve"> PAGE  \* MERGEFORMAT </w:instrText>
                          </w:r>
                          <w:r>
                            <w:fldChar w:fldCharType="separate"/>
                          </w:r>
                          <w:r>
                            <w:t>1</w:t>
                          </w:r>
                          <w:r>
                            <w:fldChar w:fldCharType="end"/>
                          </w:r>
                        </w:p>
                      </w:txbxContent>
                    </wps:txbx>
                    <wps:bodyPr vert="horz" wrap="none" lIns="0" tIns="0" rIns="0" bIns="0" anchor="t" upright="0">
                      <a:spAutoFit/>
                    </wps:bodyPr>
                  </wps:wsp>
                </a:graphicData>
              </a:graphic>
            </wp:anchor>
          </w:drawing>
        </mc:Choice>
        <mc:Fallback>
          <w:pict>
            <v:rect id="文本框 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XW5&#10;UtAAAAAFAQAADwAAAAAAAAABACAAAAAiAAAAZHJzL2Rvd25yZXYueG1sUEsBAhQAFAAAAAgAh07i&#10;QD5L94+4AQAAUAMAAA4AAAAAAAAAAQAgAAAAHwEAAGRycy9lMm9Eb2MueG1sUEsFBgAAAAAGAAYA&#10;WQEAAEkFA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spacing w:after="120" w:line="276" w:lineRule="auto"/>
      <w:rPr>
        <w:rFonts w:eastAsia="仿宋_GB2312"/>
        <w:kern w:val="0"/>
        <w:sz w:val="22"/>
        <w:szCs w:val="22"/>
      </w:rPr>
    </w:pPr>
    <w:r>
      <w:rPr>
        <w:sz w:val="22"/>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6"/>
                          </w:pPr>
                          <w:r>
                            <w:fldChar w:fldCharType="begin"/>
                          </w:r>
                          <w:r>
                            <w:instrText xml:space="preserve"> PAGE  \* MERGEFORMAT </w:instrText>
                          </w:r>
                          <w:r>
                            <w:fldChar w:fldCharType="separate"/>
                          </w:r>
                          <w:r>
                            <w:t>XLV</w:t>
                          </w:r>
                          <w:r>
                            <w:fldChar w:fldCharType="end"/>
                          </w:r>
                        </w:p>
                      </w:txbxContent>
                    </wps:txbx>
                    <wps:bodyPr wrap="none" lIns="0" tIns="0" rIns="0" bIns="0" upright="1">
                      <a:spAutoFit/>
                    </wps:bodyPr>
                  </wps:wsp>
                </a:graphicData>
              </a:graphic>
            </wp:anchor>
          </w:drawing>
        </mc:Choice>
        <mc:Fallback>
          <w:pict>
            <v:rect id="文本框 8"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5dblS0AAAAAUBAAAPAAAAAAAA&#10;AAEAIAAAACIAAABkcnMvZG93bnJldi54bWxQSwECFAAUAAAACACHTuJAIASHaagBAAA5AwAADgAA&#10;AAAAAAABACAAAAAfAQAAZHJzL2Uyb0RvYy54bWxQSwUGAAAAAAYABgBZAQAAOQU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XLV</w:t>
                    </w:r>
                    <w: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tentative="0">
      <w:start w:val="1"/>
      <w:numFmt w:val="japaneseCounting"/>
      <w:suff w:val="nothing"/>
      <w:lvlText w:val="%1、"/>
      <w:lvlJc w:val="left"/>
      <w:pPr>
        <w:ind w:left="425" w:hanging="425"/>
      </w:pPr>
      <w:rPr>
        <w:rFonts w:ascii="Times New Roman" w:hAnsi="Times New Roman" w:eastAsia="黑体" w:cs="Times New Roman"/>
      </w:rPr>
    </w:lvl>
    <w:lvl w:ilvl="1" w:tentative="0">
      <w:start w:val="1"/>
      <w:numFmt w:val="chineseCountingThousand"/>
      <w:pStyle w:val="4"/>
      <w:suff w:val="nothing"/>
      <w:lvlText w:val="（%2）"/>
      <w:lvlJc w:val="left"/>
      <w:pPr>
        <w:ind w:left="992" w:hanging="567"/>
      </w:pPr>
      <w:rPr>
        <w:rFonts w:hint="eastAsia"/>
      </w:rPr>
    </w:lvl>
    <w:lvl w:ilvl="2" w:tentative="0">
      <w:start w:val="1"/>
      <w:numFmt w:val="decimal"/>
      <w:pStyle w:val="5"/>
      <w:suff w:val="nothing"/>
      <w:lvlText w:val="%3. "/>
      <w:lvlJc w:val="left"/>
      <w:pPr>
        <w:ind w:left="992" w:hanging="567"/>
      </w:pPr>
      <w:rPr>
        <w:rFonts w:hint="eastAsia"/>
      </w:rPr>
    </w:lvl>
    <w:lvl w:ilvl="3" w:tentative="0">
      <w:start w:val="1"/>
      <w:numFmt w:val="decimal"/>
      <w:suff w:val="nothing"/>
      <w:lvlText w:val="（%4）"/>
      <w:lvlJc w:val="left"/>
      <w:pPr>
        <w:ind w:left="992" w:hanging="425"/>
      </w:pPr>
      <w:rPr>
        <w:rFonts w:hint="eastAsia"/>
      </w:rPr>
    </w:lvl>
    <w:lvl w:ilvl="4" w:tentative="0">
      <w:start w:val="1"/>
      <w:numFmt w:val="decimal"/>
      <w:suff w:val="nothing"/>
      <w:lvlText w:val="%5）"/>
      <w:lvlJc w:val="left"/>
      <w:pPr>
        <w:ind w:left="992" w:hanging="113"/>
      </w:pPr>
      <w:rPr>
        <w:rFonts w:hint="eastAsia"/>
      </w:rPr>
    </w:lvl>
    <w:lvl w:ilvl="5" w:tentative="0">
      <w:start w:val="1"/>
      <w:numFmt w:val="decimal"/>
      <w:suff w:val="nothing"/>
      <w:lvlText w:val="附件%6 "/>
      <w:lvlJc w:val="left"/>
      <w:pPr>
        <w:ind w:left="0" w:firstLine="0"/>
      </w:pPr>
      <w:rPr>
        <w:rFonts w:hint="eastAsia"/>
      </w:rPr>
    </w:lvl>
    <w:lvl w:ilvl="6" w:tentative="0">
      <w:start w:val="1"/>
      <w:numFmt w:val="chineseCountingThousand"/>
      <w:suff w:val="nothing"/>
      <w:lvlText w:val="%7、"/>
      <w:lvlJc w:val="left"/>
      <w:pPr>
        <w:ind w:left="992" w:hanging="567"/>
      </w:pPr>
      <w:rPr>
        <w:rFonts w:hint="eastAsia"/>
      </w:rPr>
    </w:lvl>
    <w:lvl w:ilvl="7" w:tentative="0">
      <w:start w:val="1"/>
      <w:numFmt w:val="chineseCountingThousand"/>
      <w:suff w:val="nothing"/>
      <w:lvlText w:val="（%8）"/>
      <w:lvlJc w:val="left"/>
      <w:pPr>
        <w:ind w:left="992" w:hanging="567"/>
      </w:pPr>
      <w:rPr>
        <w:rFonts w:hint="eastAsia"/>
      </w:rPr>
    </w:lvl>
    <w:lvl w:ilvl="8" w:tentative="0">
      <w:start w:val="1"/>
      <w:numFmt w:val="decimal"/>
      <w:suff w:val="nothing"/>
      <w:lvlText w:val="%9. "/>
      <w:lvlJc w:val="left"/>
      <w:pPr>
        <w:ind w:left="992" w:hanging="567"/>
      </w:pPr>
      <w:rPr>
        <w:rFonts w:hint="eastAsia"/>
      </w:rPr>
    </w:lvl>
  </w:abstractNum>
  <w:abstractNum w:abstractNumId="1">
    <w:nsid w:val="40269B57"/>
    <w:multiLevelType w:val="singleLevel"/>
    <w:tmpl w:val="40269B57"/>
    <w:lvl w:ilvl="0" w:tentative="0">
      <w:start w:val="1"/>
      <w:numFmt w:val="chineseCounting"/>
      <w:suff w:val="nothing"/>
      <w:lvlText w:val="（%1）"/>
      <w:lvlJc w:val="left"/>
      <w:rPr>
        <w:rFonts w:hint="eastAsia"/>
      </w:rPr>
    </w:lvl>
  </w:abstractNum>
  <w:abstractNum w:abstractNumId="2">
    <w:nsid w:val="63C2F2B1"/>
    <w:multiLevelType w:val="singleLevel"/>
    <w:tmpl w:val="63C2F2B1"/>
    <w:lvl w:ilvl="0" w:tentative="0">
      <w:start w:val="2"/>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3ZWE1ZWEwMGYzYjg5MzkxZDdjM2JkZjk3ODEyNjgifQ=="/>
  </w:docVars>
  <w:rsids>
    <w:rsidRoot w:val="00000000"/>
    <w:rsid w:val="058A03E9"/>
    <w:rsid w:val="07E9070A"/>
    <w:rsid w:val="094225E8"/>
    <w:rsid w:val="0C3807AA"/>
    <w:rsid w:val="11E64807"/>
    <w:rsid w:val="12664262"/>
    <w:rsid w:val="15F011FC"/>
    <w:rsid w:val="16F41AF7"/>
    <w:rsid w:val="1773266A"/>
    <w:rsid w:val="179F7F50"/>
    <w:rsid w:val="19893289"/>
    <w:rsid w:val="1CB142C4"/>
    <w:rsid w:val="1CEB03A5"/>
    <w:rsid w:val="21C64992"/>
    <w:rsid w:val="259B115A"/>
    <w:rsid w:val="268B7BDC"/>
    <w:rsid w:val="26DE7537"/>
    <w:rsid w:val="277311AF"/>
    <w:rsid w:val="2B514C27"/>
    <w:rsid w:val="2B752147"/>
    <w:rsid w:val="2CA2372C"/>
    <w:rsid w:val="32700FC8"/>
    <w:rsid w:val="345F16E2"/>
    <w:rsid w:val="35A7747E"/>
    <w:rsid w:val="36690336"/>
    <w:rsid w:val="3721400B"/>
    <w:rsid w:val="3D043A8B"/>
    <w:rsid w:val="43D1076B"/>
    <w:rsid w:val="45B97EA9"/>
    <w:rsid w:val="4755115C"/>
    <w:rsid w:val="4F970A1B"/>
    <w:rsid w:val="502866AB"/>
    <w:rsid w:val="50EA736D"/>
    <w:rsid w:val="50F52232"/>
    <w:rsid w:val="544E02D7"/>
    <w:rsid w:val="574F6A78"/>
    <w:rsid w:val="578D4D11"/>
    <w:rsid w:val="579E00C1"/>
    <w:rsid w:val="59E634A2"/>
    <w:rsid w:val="5F280B6B"/>
    <w:rsid w:val="5FF82ACA"/>
    <w:rsid w:val="61AC29AD"/>
    <w:rsid w:val="654C70E2"/>
    <w:rsid w:val="68BB36A6"/>
    <w:rsid w:val="68D76E3B"/>
    <w:rsid w:val="76E3065D"/>
    <w:rsid w:val="772E23E1"/>
    <w:rsid w:val="781D60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1"/>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qFormat/>
    <w:uiPriority w:val="1"/>
    <w:pPr>
      <w:keepNext/>
      <w:keepLines/>
      <w:numPr>
        <w:ilvl w:val="1"/>
        <w:numId w:val="1"/>
      </w:numPr>
      <w:spacing w:before="120" w:after="60"/>
      <w:outlineLvl w:val="1"/>
    </w:pPr>
    <w:rPr>
      <w:rFonts w:cs="宋体"/>
      <w:b/>
      <w:bCs/>
      <w:szCs w:val="32"/>
    </w:rPr>
  </w:style>
  <w:style w:type="paragraph" w:styleId="5">
    <w:name w:val="heading 3"/>
    <w:basedOn w:val="1"/>
    <w:next w:val="1"/>
    <w:qFormat/>
    <w:uiPriority w:val="9"/>
    <w:pPr>
      <w:keepNext/>
      <w:keepLines/>
      <w:numPr>
        <w:ilvl w:val="2"/>
        <w:numId w:val="1"/>
      </w:numPr>
      <w:spacing w:before="120" w:after="60"/>
      <w:ind w:firstLine="0" w:firstLineChars="0"/>
      <w:outlineLvl w:val="2"/>
    </w:pPr>
    <w:rPr>
      <w:b/>
      <w:bCs/>
      <w:szCs w:val="32"/>
    </w:rPr>
  </w:style>
  <w:style w:type="character" w:default="1" w:styleId="12">
    <w:name w:val="Default Paragraph Font"/>
    <w:qFormat/>
    <w:uiPriority w:val="0"/>
  </w:style>
  <w:style w:type="table" w:default="1" w:styleId="11">
    <w:name w:val="Normal Table"/>
    <w:qFormat/>
    <w:uiPriority w:val="0"/>
    <w:tblPr>
      <w:tblCellMar>
        <w:top w:w="0" w:type="dxa"/>
        <w:left w:w="108" w:type="dxa"/>
        <w:bottom w:w="0" w:type="dxa"/>
        <w:right w:w="108" w:type="dxa"/>
      </w:tblCellMar>
    </w:tblPr>
  </w:style>
  <w:style w:type="paragraph" w:styleId="2">
    <w:name w:val="index 6"/>
    <w:basedOn w:val="1"/>
    <w:next w:val="1"/>
    <w:qFormat/>
    <w:uiPriority w:val="0"/>
    <w:pPr>
      <w:ind w:left="1000" w:leftChars="1000"/>
    </w:pPr>
    <w:rPr>
      <w:rFonts w:hint="eastAsia"/>
    </w:rPr>
  </w:style>
  <w:style w:type="paragraph" w:styleId="6">
    <w:name w:val="footer"/>
    <w:basedOn w:val="1"/>
    <w:qFormat/>
    <w:uiPriority w:val="99"/>
    <w:pPr>
      <w:tabs>
        <w:tab w:val="center" w:pos="4153"/>
        <w:tab w:val="right" w:pos="8306"/>
      </w:tabs>
      <w:snapToGrid w:val="0"/>
      <w:jc w:val="left"/>
    </w:pPr>
    <w:rPr>
      <w:rFonts w:ascii="Calibri" w:hAnsi="Calibri" w:eastAsia="宋体" w:cs="Times New Roman"/>
      <w:sz w:val="18"/>
      <w:szCs w:val="18"/>
    </w:rPr>
  </w:style>
  <w:style w:type="paragraph" w:styleId="7">
    <w:name w:val="header"/>
    <w:basedOn w:val="1"/>
    <w:qFormat/>
    <w:uiPriority w:val="0"/>
    <w:pPr>
      <w:tabs>
        <w:tab w:val="center" w:pos="4153"/>
        <w:tab w:val="right" w:pos="8306"/>
      </w:tabs>
      <w:snapToGrid w:val="0"/>
      <w:jc w:val="center"/>
    </w:pPr>
    <w:rPr>
      <w:sz w:val="18"/>
      <w:szCs w:val="18"/>
    </w:rPr>
  </w:style>
  <w:style w:type="paragraph" w:styleId="8">
    <w:name w:val="toc 1"/>
    <w:basedOn w:val="1"/>
    <w:next w:val="1"/>
    <w:qFormat/>
    <w:uiPriority w:val="39"/>
  </w:style>
  <w:style w:type="paragraph" w:styleId="9">
    <w:name w:val="toc 2"/>
    <w:basedOn w:val="1"/>
    <w:next w:val="1"/>
    <w:qFormat/>
    <w:uiPriority w:val="0"/>
    <w:pPr>
      <w:ind w:left="420" w:leftChars="200"/>
    </w:pPr>
  </w:style>
  <w:style w:type="paragraph" w:styleId="10">
    <w:name w:val="Normal (Web)"/>
    <w:basedOn w:val="1"/>
    <w:qFormat/>
    <w:uiPriority w:val="99"/>
    <w:pPr>
      <w:widowControl/>
      <w:spacing w:beforeAutospacing="1" w:afterAutospacing="1"/>
      <w:jc w:val="left"/>
    </w:pPr>
    <w:rPr>
      <w:rFonts w:ascii="宋体" w:hAnsi="宋体" w:cs="宋体"/>
      <w:kern w:val="0"/>
      <w:sz w:val="24"/>
    </w:rPr>
  </w:style>
  <w:style w:type="character" w:styleId="13">
    <w:name w:val="Strong"/>
    <w:basedOn w:val="12"/>
    <w:qFormat/>
    <w:uiPriority w:val="22"/>
    <w:rPr>
      <w:b/>
      <w:bCs/>
    </w:rPr>
  </w:style>
  <w:style w:type="paragraph" w:customStyle="1" w:styleId="14">
    <w:name w:val="Char"/>
    <w:basedOn w:val="1"/>
    <w:qFormat/>
    <w:uiPriority w:val="0"/>
    <w:pPr>
      <w:widowControl/>
      <w:spacing w:after="160" w:line="240" w:lineRule="exact"/>
      <w:jc w:val="left"/>
    </w:pPr>
    <w:rPr>
      <w:rFonts w:ascii="Times New Roman" w:hAnsi="Times New Roman" w:eastAsia="宋体" w:cs="Times New Roman"/>
      <w:szCs w:val="22"/>
    </w:rPr>
  </w:style>
  <w:style w:type="paragraph" w:customStyle="1" w:styleId="15">
    <w:name w:val="闻政标题3"/>
    <w:basedOn w:val="5"/>
    <w:qFormat/>
    <w:uiPriority w:val="0"/>
    <w:pPr>
      <w:numPr>
        <w:ilvl w:val="0"/>
        <w:numId w:val="0"/>
      </w:numPr>
      <w:ind w:firstLine="200" w:firstLineChars="200"/>
      <w:jc w:val="left"/>
      <w:outlineLvl w:val="0"/>
    </w:pPr>
    <w:rPr>
      <w:rFonts w:ascii="黑体" w:hAnsi="黑体" w:eastAsia="黑体" w:cs="宋体"/>
      <w:b w:val="0"/>
      <w:sz w:val="32"/>
    </w:rPr>
  </w:style>
  <w:style w:type="paragraph" w:customStyle="1" w:styleId="16">
    <w:name w:val="闻政正文"/>
    <w:basedOn w:val="1"/>
    <w:qFormat/>
    <w:uiPriority w:val="0"/>
    <w:pPr>
      <w:spacing w:line="500" w:lineRule="exact"/>
      <w:ind w:firstLine="200" w:firstLineChars="200"/>
    </w:pPr>
    <w:rPr>
      <w:rFonts w:ascii="Times New Roman" w:hAnsi="Times New Roman" w:eastAsia="仿宋_GB2312" w:cs="Times New Roman"/>
      <w:kern w:val="0"/>
      <w:sz w:val="28"/>
      <w:szCs w:val="28"/>
    </w:rPr>
  </w:style>
  <w:style w:type="paragraph" w:styleId="17">
    <w:name w:val="List Paragraph"/>
    <w:basedOn w:val="1"/>
    <w:qFormat/>
    <w:uiPriority w:val="99"/>
    <w:pPr>
      <w:ind w:firstLine="420" w:firstLineChars="200"/>
    </w:pPr>
  </w:style>
  <w:style w:type="paragraph" w:customStyle="1" w:styleId="18">
    <w:name w:val="南京正文"/>
    <w:basedOn w:val="1"/>
    <w:qFormat/>
    <w:uiPriority w:val="0"/>
    <w:pPr>
      <w:spacing w:line="560" w:lineRule="exact"/>
      <w:ind w:firstLine="200" w:firstLineChars="200"/>
    </w:pPr>
    <w:rPr>
      <w:rFonts w:ascii="Times New Roman" w:hAnsi="Times New Roman" w:eastAsia="仿宋" w:cs="Times New Roman"/>
      <w:kern w:val="0"/>
      <w:sz w:val="32"/>
      <w:szCs w:val="28"/>
      <w:lang w:val="zh-CN"/>
    </w:rPr>
  </w:style>
  <w:style w:type="paragraph" w:customStyle="1" w:styleId="19">
    <w:name w:val="南京图表名"/>
    <w:basedOn w:val="1"/>
    <w:qFormat/>
    <w:uiPriority w:val="4"/>
    <w:pPr>
      <w:spacing w:before="60" w:after="60"/>
      <w:jc w:val="center"/>
    </w:pPr>
    <w:rPr>
      <w:rFonts w:ascii="Times New Roman" w:hAnsi="Times New Roman" w:eastAsia="仿宋_GB2312" w:cs="Times New Roman"/>
      <w:b/>
      <w:kern w:val="0"/>
      <w:sz w:val="24"/>
      <w:szCs w:val="28"/>
    </w:rPr>
  </w:style>
  <w:style w:type="paragraph" w:customStyle="1" w:styleId="20">
    <w:name w:val="闻政标题5"/>
    <w:basedOn w:val="1"/>
    <w:qFormat/>
    <w:uiPriority w:val="0"/>
    <w:pPr>
      <w:spacing w:before="120" w:after="60" w:line="500" w:lineRule="exact"/>
      <w:ind w:firstLine="200" w:firstLineChars="200"/>
    </w:pPr>
    <w:rPr>
      <w:rFonts w:ascii="Times New Roman" w:hAnsi="Times New Roman" w:eastAsia="仿宋_GB2312" w:cs="Times New Roman"/>
      <w:b/>
      <w:kern w:val="0"/>
      <w:sz w:val="28"/>
      <w:szCs w:val="28"/>
    </w:rPr>
  </w:style>
  <w:style w:type="character" w:customStyle="1" w:styleId="21">
    <w:name w:val="NormalCharacter"/>
    <w:qFormat/>
    <w:uiPriority w:val="0"/>
  </w:style>
  <w:style w:type="paragraph" w:customStyle="1" w:styleId="22">
    <w:name w:val="UserStyle_4"/>
    <w:basedOn w:val="1"/>
    <w:qFormat/>
    <w:uiPriority w:val="0"/>
    <w:pPr>
      <w:spacing w:line="500" w:lineRule="exact"/>
      <w:ind w:firstLine="883" w:firstLineChars="200"/>
      <w:jc w:val="both"/>
      <w:textAlignment w:val="baseline"/>
    </w:pPr>
    <w:rPr>
      <w:rFonts w:ascii="Times New Roman" w:hAnsi="Times New Roman" w:eastAsia="仿宋_GB2312"/>
      <w:kern w:val="0"/>
      <w:sz w:val="28"/>
      <w:szCs w:val="28"/>
      <w:lang w:val="en-US" w:eastAsia="zh-CN" w:bidi="ar-SA"/>
    </w:rPr>
  </w:style>
  <w:style w:type="paragraph" w:customStyle="1" w:styleId="23">
    <w:name w:val="列出段落1"/>
    <w:basedOn w:val="1"/>
    <w:qFormat/>
    <w:uiPriority w:val="0"/>
    <w:pPr>
      <w:ind w:firstLine="420" w:firstLineChars="200"/>
    </w:pPr>
  </w:style>
  <w:style w:type="character" w:customStyle="1" w:styleId="24">
    <w:name w:val="font41"/>
    <w:basedOn w:val="12"/>
    <w:qFormat/>
    <w:uiPriority w:val="0"/>
    <w:rPr>
      <w:rFonts w:hint="default" w:ascii="Times New Roman" w:hAnsi="Times New Roman" w:cs="Times New Roman"/>
      <w:color w:val="000000"/>
      <w:sz w:val="22"/>
      <w:szCs w:val="22"/>
      <w:u w:val="none"/>
    </w:rPr>
  </w:style>
  <w:style w:type="character" w:customStyle="1" w:styleId="25">
    <w:name w:val="font31"/>
    <w:basedOn w:val="12"/>
    <w:qFormat/>
    <w:uiPriority w:val="0"/>
    <w:rPr>
      <w:rFonts w:hint="eastAsia" w:ascii="仿宋" w:hAnsi="仿宋" w:eastAsia="仿宋" w:cs="仿宋"/>
      <w:color w:val="000000"/>
      <w:sz w:val="22"/>
      <w:szCs w:val="22"/>
      <w:u w:val="none"/>
    </w:rPr>
  </w:style>
  <w:style w:type="paragraph" w:customStyle="1" w:styleId="26">
    <w:name w:val="闻政表"/>
    <w:basedOn w:val="1"/>
    <w:qFormat/>
    <w:uiPriority w:val="0"/>
    <w:pPr>
      <w:spacing w:before="60" w:after="60"/>
      <w:jc w:val="center"/>
    </w:pPr>
    <w:rPr>
      <w:rFonts w:eastAsia="仿宋_GB2312"/>
      <w:b/>
      <w:kern w:val="0"/>
      <w:sz w:val="24"/>
      <w:szCs w:val="28"/>
    </w:rPr>
  </w:style>
  <w:style w:type="paragraph" w:customStyle="1" w:styleId="27">
    <w:name w:val="WPSOffice手动目录 1"/>
    <w:qFormat/>
    <w:uiPriority w:val="0"/>
    <w:pPr>
      <w:ind w:leftChars="0"/>
    </w:pPr>
    <w:rPr>
      <w:rFonts w:ascii="Calibri" w:hAnsi="Calibri" w:eastAsia="宋体" w:cs="宋体"/>
      <w:sz w:val="20"/>
      <w:szCs w:val="20"/>
    </w:rPr>
  </w:style>
  <w:style w:type="paragraph" w:customStyle="1" w:styleId="28">
    <w:name w:val="WPSOffice手动目录 2"/>
    <w:qFormat/>
    <w:uiPriority w:val="0"/>
    <w:pPr>
      <w:ind w:leftChars="200"/>
    </w:pPr>
    <w:rPr>
      <w:rFonts w:ascii="Calibri" w:hAnsi="Calibri" w:eastAsia="宋体" w:cs="宋体"/>
      <w:sz w:val="20"/>
      <w:szCs w:val="20"/>
    </w:rPr>
  </w:style>
  <w:style w:type="paragraph" w:customStyle="1" w:styleId="29">
    <w:name w:val="闻政-正文段落文字"/>
    <w:basedOn w:val="1"/>
    <w:qFormat/>
    <w:uiPriority w:val="3"/>
    <w:pPr>
      <w:spacing w:line="500" w:lineRule="exact"/>
      <w:ind w:firstLine="200"/>
    </w:pPr>
    <w:rPr>
      <w:rFonts w:cs="Times New Roman"/>
      <w:kern w:val="0"/>
      <w:szCs w:val="28"/>
    </w:rPr>
  </w:style>
  <w:style w:type="paragraph" w:customStyle="1" w:styleId="30">
    <w:name w:val="_Style 1"/>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68</Pages>
  <Words>28611</Words>
  <Characters>31408</Characters>
  <Paragraphs>1615</Paragraphs>
  <TotalTime>1</TotalTime>
  <ScaleCrop>false</ScaleCrop>
  <LinksUpToDate>false</LinksUpToDate>
  <CharactersWithSpaces>31938</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2023-07-20T08:24:00Z</dcterms:created>
  <dc:creator>Madinur</dc:creator>
  <cp:lastModifiedBy>Administrator</cp:lastModifiedBy>
  <dcterms:modified xsi:type="dcterms:W3CDTF">2023-08-01T10:41:47Z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408F5730A811417595D71CF2A6C89A86_13</vt:lpwstr>
  </property>
</Properties>
</file>