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default" w:ascii="Times New Roman" w:hAnsi="Times New Roman" w:eastAsia="黑体" w:cs="Times New Roman"/>
          <w:b/>
          <w:bCs/>
          <w:color w:val="auto"/>
          <w:sz w:val="52"/>
          <w:szCs w:val="52"/>
          <w:highlight w:val="none"/>
          <w:lang w:val="en-US" w:eastAsia="zh-CN"/>
        </w:rPr>
      </w:pPr>
    </w:p>
    <w:p>
      <w:pPr>
        <w:jc w:val="center"/>
        <w:outlineLvl w:val="0"/>
        <w:rPr>
          <w:rFonts w:hint="default" w:ascii="Times New Roman" w:hAnsi="Times New Roman" w:eastAsia="黑体" w:cs="Times New Roman"/>
          <w:b/>
          <w:bCs/>
          <w:color w:val="auto"/>
          <w:sz w:val="52"/>
          <w:szCs w:val="52"/>
          <w:highlight w:val="none"/>
          <w:lang w:val="en-US" w:eastAsia="zh-CN"/>
        </w:rPr>
      </w:pPr>
    </w:p>
    <w:p>
      <w:pPr>
        <w:jc w:val="center"/>
        <w:outlineLvl w:val="0"/>
        <w:rPr>
          <w:rFonts w:hint="eastAsia" w:ascii="方正小标宋_GBK" w:hAnsi="方正小标宋_GBK" w:eastAsia="方正小标宋_GBK" w:cs="方正小标宋_GBK"/>
          <w:b/>
          <w:bCs/>
          <w:color w:val="auto"/>
          <w:sz w:val="40"/>
          <w:szCs w:val="40"/>
          <w:highlight w:val="none"/>
          <w:lang w:val="en-US" w:eastAsia="zh-CN"/>
        </w:rPr>
      </w:pPr>
      <w:bookmarkStart w:id="0" w:name="_Toc21564"/>
      <w:r>
        <w:rPr>
          <w:rFonts w:hint="eastAsia" w:ascii="方正小标宋_GBK" w:hAnsi="方正小标宋_GBK" w:eastAsia="方正小标宋_GBK" w:cs="方正小标宋_GBK"/>
          <w:b/>
          <w:bCs/>
          <w:color w:val="auto"/>
          <w:sz w:val="40"/>
          <w:szCs w:val="40"/>
          <w:highlight w:val="none"/>
          <w:lang w:val="en-US" w:eastAsia="zh-CN"/>
        </w:rPr>
        <w:t>喀什地区伽师县2022年度</w:t>
      </w:r>
      <w:bookmarkEnd w:id="0"/>
    </w:p>
    <w:p>
      <w:pPr>
        <w:jc w:val="center"/>
        <w:outlineLvl w:val="0"/>
        <w:rPr>
          <w:rFonts w:hint="eastAsia" w:ascii="方正小标宋_GBK" w:hAnsi="方正小标宋_GBK" w:eastAsia="方正小标宋_GBK" w:cs="方正小标宋_GBK"/>
          <w:b/>
          <w:bCs/>
          <w:color w:val="auto"/>
          <w:sz w:val="40"/>
          <w:szCs w:val="40"/>
          <w:highlight w:val="none"/>
          <w:lang w:val="en-US" w:eastAsia="zh-CN"/>
        </w:rPr>
      </w:pPr>
      <w:bookmarkStart w:id="1" w:name="_Toc3248"/>
      <w:r>
        <w:rPr>
          <w:rFonts w:hint="eastAsia" w:ascii="方正小标宋_GBK" w:hAnsi="方正小标宋_GBK" w:eastAsia="方正小标宋_GBK" w:cs="方正小标宋_GBK"/>
          <w:b/>
          <w:bCs/>
          <w:color w:val="auto"/>
          <w:sz w:val="40"/>
          <w:szCs w:val="40"/>
          <w:highlight w:val="none"/>
          <w:lang w:val="en-US" w:eastAsia="zh-CN"/>
        </w:rPr>
        <w:t>预算绩效评价报告</w:t>
      </w:r>
      <w:bookmarkEnd w:id="1"/>
    </w:p>
    <w:p>
      <w:pPr>
        <w:jc w:val="center"/>
        <w:rPr>
          <w:rFonts w:hint="default" w:ascii="Times New Roman" w:hAnsi="Times New Roman" w:eastAsia="方正小标宋_GBK" w:cs="Times New Roman"/>
          <w:b/>
          <w:bCs/>
          <w:color w:val="auto"/>
          <w:sz w:val="48"/>
          <w:szCs w:val="48"/>
          <w:highlight w:val="none"/>
          <w:lang w:val="en-US" w:eastAsia="zh-CN"/>
        </w:rPr>
      </w:pPr>
    </w:p>
    <w:p>
      <w:pPr>
        <w:jc w:val="center"/>
        <w:rPr>
          <w:rFonts w:hint="default" w:ascii="Times New Roman" w:hAnsi="Times New Roman" w:eastAsia="方正小标宋_GBK" w:cs="Times New Roman"/>
          <w:b/>
          <w:bCs/>
          <w:color w:val="auto"/>
          <w:sz w:val="48"/>
          <w:szCs w:val="48"/>
          <w:highlight w:val="none"/>
          <w:lang w:val="en-US" w:eastAsia="zh-CN"/>
        </w:rPr>
      </w:pPr>
    </w:p>
    <w:p>
      <w:pPr>
        <w:jc w:val="center"/>
        <w:rPr>
          <w:rFonts w:hint="default" w:ascii="Times New Roman" w:hAnsi="Times New Roman" w:eastAsia="方正小标宋_GBK" w:cs="Times New Roman"/>
          <w:b/>
          <w:bCs/>
          <w:color w:val="auto"/>
          <w:sz w:val="48"/>
          <w:szCs w:val="48"/>
          <w:highlight w:val="none"/>
          <w:lang w:val="en-US" w:eastAsia="zh-CN"/>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项目名称：伽师县克孜勒博依生态综合整治工程（现代农业产业园）项目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项目单位：</w:t>
      </w:r>
      <w:r>
        <w:rPr>
          <w:rFonts w:hint="eastAsia" w:ascii="黑体" w:hAnsi="黑体" w:eastAsia="黑体" w:cs="黑体"/>
          <w:b w:val="0"/>
          <w:bCs w:val="0"/>
          <w:color w:val="auto"/>
          <w:sz w:val="32"/>
          <w:szCs w:val="32"/>
          <w:lang w:val="en-US" w:eastAsia="zh-CN"/>
        </w:rPr>
        <w:t>伽师县自然资源局</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baseline"/>
        <w:rPr>
          <w:rFonts w:hint="eastAsia" w:ascii="黑体" w:hAnsi="黑体" w:eastAsia="黑体" w:cs="黑体"/>
          <w:b w:val="0"/>
          <w:bCs w:val="0"/>
          <w:color w:val="auto"/>
          <w:sz w:val="32"/>
          <w:szCs w:val="32"/>
          <w:highlight w:val="none"/>
          <w:lang w:val="en-US" w:eastAsia="zh-CN"/>
        </w:rPr>
      </w:pPr>
      <w:r>
        <w:rPr>
          <w:rStyle w:val="14"/>
          <w:rFonts w:hint="eastAsia" w:ascii="黑体" w:hAnsi="黑体" w:eastAsia="黑体" w:cs="黑体"/>
          <w:b w:val="0"/>
          <w:bCs w:val="0"/>
          <w:i w:val="0"/>
          <w:caps w:val="0"/>
          <w:color w:val="auto"/>
          <w:spacing w:val="0"/>
          <w:w w:val="100"/>
          <w:kern w:val="0"/>
          <w:sz w:val="32"/>
          <w:szCs w:val="32"/>
          <w:highlight w:val="none"/>
          <w:lang w:val="en-US" w:eastAsia="zh-CN" w:bidi="en-US"/>
        </w:rPr>
        <w:t>主管部门：</w:t>
      </w:r>
      <w:r>
        <w:rPr>
          <w:rFonts w:hint="eastAsia" w:ascii="黑体" w:hAnsi="黑体" w:eastAsia="黑体" w:cs="黑体"/>
          <w:b w:val="0"/>
          <w:bCs w:val="0"/>
          <w:color w:val="auto"/>
          <w:sz w:val="32"/>
          <w:szCs w:val="32"/>
          <w:lang w:val="en-US" w:eastAsia="zh-CN"/>
        </w:rPr>
        <w:t>伽师县自然资源局</w:t>
      </w:r>
    </w:p>
    <w:p>
      <w:pPr>
        <w:snapToGrid/>
        <w:spacing w:before="120" w:beforeAutospacing="0" w:after="120" w:afterAutospacing="0" w:line="360" w:lineRule="auto"/>
        <w:ind w:firstLine="640" w:firstLineChars="200"/>
        <w:jc w:val="left"/>
        <w:textAlignment w:val="baseline"/>
        <w:rPr>
          <w:rStyle w:val="14"/>
          <w:rFonts w:hint="eastAsia" w:ascii="黑体" w:hAnsi="黑体" w:eastAsia="黑体" w:cs="黑体"/>
          <w:b w:val="0"/>
          <w:bCs w:val="0"/>
          <w:i w:val="0"/>
          <w:caps w:val="0"/>
          <w:color w:val="auto"/>
          <w:spacing w:val="0"/>
          <w:w w:val="100"/>
          <w:kern w:val="0"/>
          <w:sz w:val="32"/>
          <w:szCs w:val="32"/>
          <w:highlight w:val="none"/>
          <w:lang w:val="en-US" w:eastAsia="zh-CN" w:bidi="en-US"/>
        </w:rPr>
      </w:pPr>
      <w:r>
        <w:rPr>
          <w:rStyle w:val="14"/>
          <w:rFonts w:hint="eastAsia" w:ascii="黑体" w:hAnsi="黑体" w:eastAsia="黑体" w:cs="黑体"/>
          <w:b w:val="0"/>
          <w:bCs w:val="0"/>
          <w:i w:val="0"/>
          <w:caps w:val="0"/>
          <w:color w:val="auto"/>
          <w:spacing w:val="0"/>
          <w:w w:val="100"/>
          <w:kern w:val="0"/>
          <w:sz w:val="32"/>
          <w:szCs w:val="32"/>
          <w:highlight w:val="none"/>
          <w:lang w:val="en-US" w:eastAsia="zh-CN" w:bidi="en-US"/>
        </w:rPr>
        <w:t>委托单位：伽师县财政局</w:t>
      </w:r>
    </w:p>
    <w:p>
      <w:pPr>
        <w:ind w:firstLine="640" w:firstLineChars="200"/>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评价机构：新疆永信中正项目管理咨询有限公司</w:t>
      </w:r>
    </w:p>
    <w:p>
      <w:pPr>
        <w:pStyle w:val="6"/>
        <w:ind w:left="0" w:leftChars="0"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sz w:val="32"/>
          <w:szCs w:val="32"/>
          <w:highlight w:val="none"/>
          <w:lang w:val="en-US" w:eastAsia="zh-CN"/>
        </w:rPr>
        <w:t>主评人：邹燕</w:t>
      </w:r>
    </w:p>
    <w:p>
      <w:pPr>
        <w:pStyle w:val="2"/>
        <w:jc w:val="center"/>
        <w:rPr>
          <w:rFonts w:hint="eastAsia"/>
          <w:lang w:val="en-US" w:eastAsia="zh-CN"/>
        </w:rPr>
      </w:pPr>
      <w:r>
        <w:rPr>
          <w:color w:val="FF0000"/>
        </w:rPr>
        <w:drawing>
          <wp:inline distT="0" distB="0" distL="114300" distR="114300">
            <wp:extent cx="1678305" cy="1394460"/>
            <wp:effectExtent l="0" t="0" r="17145" b="152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1678305" cy="1394460"/>
                    </a:xfrm>
                    <a:prstGeom prst="rect">
                      <a:avLst/>
                    </a:prstGeom>
                    <a:noFill/>
                    <a:ln>
                      <a:noFill/>
                    </a:ln>
                  </pic:spPr>
                </pic:pic>
              </a:graphicData>
            </a:graphic>
          </wp:inline>
        </w:drawing>
      </w:r>
    </w:p>
    <w:p>
      <w:pPr>
        <w:jc w:val="center"/>
        <w:rPr>
          <w:rFonts w:hint="eastAsia" w:ascii="方正黑体_GBK" w:hAnsi="方正黑体_GBK" w:eastAsia="方正黑体_GBK" w:cs="方正黑体_GBK"/>
          <w:b w:val="0"/>
          <w:bCs w:val="0"/>
          <w:color w:val="auto"/>
          <w:sz w:val="32"/>
          <w:szCs w:val="32"/>
          <w:highlight w:val="none"/>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方正黑体_GBK" w:hAnsi="方正黑体_GBK" w:eastAsia="方正黑体_GBK" w:cs="方正黑体_GBK"/>
          <w:b w:val="0"/>
          <w:bCs w:val="0"/>
          <w:color w:val="auto"/>
          <w:sz w:val="32"/>
          <w:szCs w:val="32"/>
          <w:highlight w:val="none"/>
          <w:lang w:val="en-US" w:eastAsia="zh-CN"/>
        </w:rPr>
        <w:t>2023年7月</w:t>
      </w:r>
    </w:p>
    <w:p>
      <w:pPr>
        <w:keepNext w:val="0"/>
        <w:keepLines w:val="0"/>
        <w:pageBreakBefore w:val="0"/>
        <w:kinsoku/>
        <w:wordWrap/>
        <w:topLinePunct w:val="0"/>
        <w:bidi w:val="0"/>
        <w:snapToGrid/>
        <w:spacing w:line="560" w:lineRule="exact"/>
        <w:ind w:firstLine="800" w:firstLineChars="200"/>
        <w:jc w:val="center"/>
        <w:outlineLvl w:val="0"/>
        <w:rPr>
          <w:rFonts w:hint="eastAsia" w:ascii="方正小标宋_GBK" w:hAnsi="方正小标宋_GBK" w:eastAsia="方正小标宋_GBK" w:cs="方正小标宋_GBK"/>
          <w:b/>
          <w:bCs/>
          <w:color w:val="auto"/>
          <w:sz w:val="40"/>
          <w:szCs w:val="40"/>
          <w:highlight w:val="none"/>
          <w:lang w:val="en-US" w:eastAsia="zh-CN"/>
        </w:rPr>
      </w:pPr>
      <w:bookmarkStart w:id="2" w:name="_Toc5178"/>
      <w:bookmarkStart w:id="3" w:name="_Toc11681"/>
      <w:r>
        <w:rPr>
          <w:rFonts w:hint="eastAsia" w:ascii="方正小标宋_GBK" w:hAnsi="方正小标宋_GBK" w:eastAsia="方正小标宋_GBK" w:cs="方正小标宋_GBK"/>
          <w:b w:val="0"/>
          <w:bCs w:val="0"/>
          <w:color w:val="auto"/>
          <w:sz w:val="40"/>
          <w:szCs w:val="40"/>
          <w:highlight w:val="none"/>
          <w:lang w:val="en-US" w:eastAsia="zh-CN"/>
        </w:rPr>
        <w:t>摘要</w:t>
      </w:r>
      <w:bookmarkEnd w:id="2"/>
      <w:bookmarkEnd w:id="3"/>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70" w:lineRule="exact"/>
        <w:ind w:firstLine="640" w:firstLineChars="200"/>
        <w:textAlignment w:val="auto"/>
        <w:outlineLvl w:val="0"/>
        <w:rPr>
          <w:rFonts w:hint="eastAsia" w:ascii="方正黑体_GBK" w:hAnsi="方正黑体_GBK" w:eastAsia="方正黑体_GBK" w:cs="方正黑体_GBK"/>
          <w:b w:val="0"/>
          <w:bCs w:val="0"/>
          <w:color w:val="auto"/>
          <w:kern w:val="0"/>
          <w:sz w:val="32"/>
          <w:szCs w:val="32"/>
          <w:highlight w:val="none"/>
          <w:lang w:eastAsia="zh-CN" w:bidi="en-US"/>
        </w:rPr>
      </w:pPr>
      <w:r>
        <w:rPr>
          <w:rFonts w:hint="eastAsia" w:ascii="方正黑体_GBK" w:hAnsi="方正黑体_GBK" w:eastAsia="方正黑体_GBK" w:cs="方正黑体_GBK"/>
          <w:b w:val="0"/>
          <w:bCs w:val="0"/>
          <w:color w:val="auto"/>
          <w:kern w:val="0"/>
          <w:sz w:val="32"/>
          <w:szCs w:val="32"/>
          <w:highlight w:val="none"/>
          <w:lang w:eastAsia="zh-CN" w:bidi="en-US"/>
        </w:rPr>
        <w:t>基本情况</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70" w:lineRule="exact"/>
        <w:ind w:firstLine="643" w:firstLineChars="200"/>
        <w:textAlignment w:val="auto"/>
        <w:outlineLvl w:val="0"/>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项目名称：伽师县克孜勒博依生态综合整治工程（现代农业产业园）项目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pPr>
      <w:r>
        <w:rPr>
          <w:rFonts w:hint="eastAsia" w:ascii="方正仿宋_GBK" w:hAnsi="方正仿宋_GBK" w:eastAsia="方正仿宋_GBK" w:cs="方正仿宋_GBK"/>
          <w:color w:val="auto"/>
          <w:sz w:val="32"/>
          <w:szCs w:val="32"/>
          <w:lang w:eastAsia="zh-CN"/>
        </w:rPr>
        <w:t>项目背景：</w:t>
      </w:r>
      <w:r>
        <w:rPr>
          <w:rFonts w:hint="eastAsia" w:ascii="方正仿宋_GBK" w:hAnsi="方正仿宋_GBK" w:eastAsia="方正仿宋_GBK" w:cs="方正仿宋_GBK"/>
          <w:color w:val="auto"/>
          <w:sz w:val="32"/>
          <w:szCs w:val="32"/>
        </w:rPr>
        <w:t>通过实施伽师县克孜勒博依镇生态综合整治项目，采取工程措施解决项目区渠不配套，渠系渗漏严重，渠系水利用系数低现状。达到改善灌区灌溉条件，提升灌区人民生活水平，促进美丽乡村建设。</w:t>
      </w:r>
      <w:r>
        <w:rPr>
          <w:rStyle w:val="14"/>
          <w:rFonts w:hint="eastAsia" w:ascii="方正仿宋_GBK" w:hAnsi="方正仿宋_GBK" w:eastAsia="方正仿宋_GBK" w:cs="方正仿宋_GBK"/>
          <w:b w:val="0"/>
          <w:i w:val="0"/>
          <w:caps w:val="0"/>
          <w:color w:val="000000"/>
          <w:spacing w:val="0"/>
          <w:w w:val="100"/>
          <w:kern w:val="0"/>
          <w:sz w:val="32"/>
          <w:szCs w:val="32"/>
          <w:highlight w:val="none"/>
          <w:lang w:val="en-US" w:eastAsia="zh-CN" w:bidi="ar-SA"/>
        </w:rPr>
        <w:t>该项目建设总投资为</w:t>
      </w: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8821.67万元，其中：巩固拓展脱贫攻坚成果同乡村振兴有效衔接资金821.67万元、新增专项债券资金8000万元。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本项目的实施将极大地改善农牧业生产基础条件、带动乡镇企业的发展、扩大生产规模、增加农民收入，为灌区各族人民的脱贫致富、提高经济文化生活水平奠定坚实的基础，对社会的稳定和发展，边疆巩固都将起到积极的推动作用，也将为全县和地区“两个文明”建设做出贡献。</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项目内容：主要用于伽师县克孜勒博依镇坎迪尔勒克（19）村实施24113.43亩定植新梅、杏李，实施内容包括土地平整及高效节水、排碱渠、电路等配套附属工程。主要在工程建设区因地制宜地采取拦渣、土地整治工程及绿化（主体设计）等防治措施，达到有效治理工程建设防治责任范围内的水土流失，改善生态环境的目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left="883" w:leftChars="0"/>
        <w:textAlignment w:val="auto"/>
        <w:rPr>
          <w:rFonts w:hint="eastAsia" w:ascii="方正楷体_GBK" w:hAnsi="方正楷体_GBK" w:eastAsia="方正楷体_GBK" w:cs="方正楷体_GBK"/>
          <w:b/>
          <w:bCs/>
          <w:color w:val="auto"/>
          <w:sz w:val="32"/>
          <w:szCs w:val="32"/>
          <w:highlight w:val="none"/>
          <w:lang w:val="en-US" w:eastAsia="zh-CN"/>
        </w:rPr>
      </w:pPr>
      <w:r>
        <w:rPr>
          <w:rFonts w:hint="eastAsia" w:ascii="方正楷体_GBK" w:hAnsi="方正楷体_GBK" w:eastAsia="方正楷体_GBK" w:cs="方正楷体_GBK"/>
          <w:b/>
          <w:bCs/>
          <w:color w:val="auto"/>
          <w:sz w:val="32"/>
          <w:szCs w:val="32"/>
          <w:highlight w:val="none"/>
          <w:lang w:val="en-US" w:eastAsia="zh-CN"/>
        </w:rPr>
        <w:t>（二）评价工作概况</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Times New Roman" w:hAnsi="Times New Roman" w:eastAsia="黑体" w:cs="Times New Roman"/>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本次评价目的是为全面了解该项目预算编制合理性、资金使用合规性、项目管理的规范性、项目目标的实现情况、服务对象的满意度等，对</w:t>
      </w:r>
      <w:r>
        <w:rPr>
          <w:rFonts w:hint="eastAsia" w:ascii="方正仿宋_GBK" w:hAnsi="方正仿宋_GBK" w:eastAsia="方正仿宋_GBK" w:cs="方正仿宋_GBK"/>
          <w:color w:val="auto"/>
          <w:kern w:val="0"/>
          <w:sz w:val="32"/>
          <w:szCs w:val="32"/>
          <w:highlight w:val="none"/>
          <w:shd w:val="clear" w:color="auto" w:fill="FFFFFF"/>
          <w:lang w:eastAsia="zh-CN" w:bidi="ar"/>
        </w:rPr>
        <w:t>：</w:t>
      </w:r>
      <w:r>
        <w:rPr>
          <w:rFonts w:hint="eastAsia" w:ascii="方正仿宋_GBK" w:hAnsi="方正仿宋_GBK" w:eastAsia="方正仿宋_GBK" w:cs="方正仿宋_GBK"/>
          <w:color w:val="auto"/>
          <w:sz w:val="32"/>
          <w:szCs w:val="32"/>
          <w:lang w:eastAsia="zh-CN"/>
        </w:rPr>
        <w:t>伽师县克孜勒博依生态综合整治工程（现代农业产业园）项目</w:t>
      </w:r>
      <w:r>
        <w:rPr>
          <w:rFonts w:hint="eastAsia" w:ascii="方正仿宋_GBK" w:hAnsi="方正仿宋_GBK" w:eastAsia="方正仿宋_GBK" w:cs="方正仿宋_GBK"/>
          <w:b w:val="0"/>
          <w:bCs w:val="0"/>
          <w:color w:val="auto"/>
          <w:sz w:val="32"/>
          <w:szCs w:val="32"/>
          <w:highlight w:val="none"/>
          <w:lang w:val="en-US" w:eastAsia="zh-CN"/>
        </w:rPr>
        <w:t>支出的经济性、效率性、效益性和公平性进行客观、公正地测量、分析和评判，通过本次绩效评价来总结经验和教训，促进项目成果转化和应用，为今后类似项目的长效管理，提供可行性参考建议。项目组结合评价内容，从三方面对</w:t>
      </w:r>
      <w:r>
        <w:rPr>
          <w:rFonts w:hint="eastAsia" w:ascii="方正仿宋_GBK" w:hAnsi="方正仿宋_GBK" w:eastAsia="方正仿宋_GBK" w:cs="方正仿宋_GBK"/>
          <w:color w:val="auto"/>
          <w:kern w:val="0"/>
          <w:sz w:val="32"/>
          <w:szCs w:val="32"/>
          <w:highlight w:val="none"/>
          <w:shd w:val="clear" w:color="auto" w:fill="FFFFFF"/>
          <w:lang w:eastAsia="zh-CN" w:bidi="ar"/>
        </w:rPr>
        <w:t>：</w:t>
      </w:r>
      <w:r>
        <w:rPr>
          <w:rFonts w:hint="eastAsia" w:ascii="方正仿宋_GBK" w:hAnsi="方正仿宋_GBK" w:eastAsia="方正仿宋_GBK" w:cs="方正仿宋_GBK"/>
          <w:color w:val="auto"/>
          <w:sz w:val="32"/>
          <w:szCs w:val="32"/>
          <w:lang w:eastAsia="zh-CN"/>
        </w:rPr>
        <w:t>伽师县克孜勒博依生态综合整治工程（现代农业产业园）项目</w:t>
      </w:r>
      <w:r>
        <w:rPr>
          <w:rFonts w:hint="eastAsia" w:ascii="方正仿宋_GBK" w:hAnsi="方正仿宋_GBK" w:eastAsia="方正仿宋_GBK" w:cs="方正仿宋_GBK"/>
          <w:b w:val="0"/>
          <w:bCs w:val="0"/>
          <w:color w:val="auto"/>
          <w:sz w:val="32"/>
          <w:szCs w:val="32"/>
          <w:highlight w:val="none"/>
          <w:lang w:val="en-US" w:eastAsia="zh-CN"/>
        </w:rPr>
        <w:t>绩效实施绩效评价：一是通过资料查阅了解项目政策、立项背景和决策过程等；二是通过走访项目实施单位进行实地调研，了解项目实施完成真实情况；三是通过收集项目资料，梳理资料信息等基础数据采集、发放问卷、书面访谈等方式多渠道获取评价信息。</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二、绩效评价结论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left="0" w:right="0" w:firstLine="640" w:firstLineChars="200"/>
        <w:jc w:val="both"/>
        <w:textAlignment w:val="auto"/>
        <w:rPr>
          <w:rFonts w:hint="default"/>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en-US"/>
        </w:rPr>
        <w:t>通过调研、数据分析、访谈等方式，根据工作方案确定的指标体系及评分标准，对“</w:t>
      </w:r>
      <w:r>
        <w:rPr>
          <w:rFonts w:hint="eastAsia" w:ascii="方正仿宋_GBK" w:hAnsi="方正仿宋_GBK" w:eastAsia="方正仿宋_GBK" w:cs="方正仿宋_GBK"/>
          <w:color w:val="auto"/>
          <w:sz w:val="32"/>
          <w:szCs w:val="32"/>
          <w:highlight w:val="none"/>
          <w:lang w:eastAsia="zh-CN"/>
        </w:rPr>
        <w:t>伽师县克孜勒博依生态综合整治工程（现代农业产业园）项目</w:t>
      </w:r>
      <w:r>
        <w:rPr>
          <w:rFonts w:hint="eastAsia" w:ascii="方正仿宋_GBK" w:hAnsi="方正仿宋_GBK" w:eastAsia="方正仿宋_GBK" w:cs="方正仿宋_GBK"/>
          <w:b w:val="0"/>
          <w:bCs w:val="0"/>
          <w:color w:val="auto"/>
          <w:kern w:val="0"/>
          <w:sz w:val="32"/>
          <w:szCs w:val="32"/>
          <w:highlight w:val="none"/>
          <w:lang w:val="en-US" w:eastAsia="zh-CN" w:bidi="en-US"/>
        </w:rPr>
        <w:t>”绩效进行客观评价，该项目组织比较规范，目标完成情况良好，部分指标实现了预期目标，项目最终得分为98.8分，评价级别属于“优”。</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both"/>
        <w:textAlignment w:val="auto"/>
        <w:rPr>
          <w:rFonts w:hint="eastAsia" w:ascii="方正黑体_GBK" w:hAnsi="方正黑体_GBK" w:eastAsia="方正黑体_GBK" w:cs="方正黑体_GBK"/>
          <w:b w:val="0"/>
          <w:bCs w:val="0"/>
          <w:color w:val="auto"/>
          <w:kern w:val="0"/>
          <w:sz w:val="32"/>
          <w:szCs w:val="32"/>
          <w:highlight w:val="none"/>
          <w:lang w:val="en-US" w:eastAsia="zh-CN" w:bidi="en-US"/>
        </w:rPr>
      </w:pPr>
      <w:r>
        <w:rPr>
          <w:rFonts w:hint="eastAsia" w:ascii="方正黑体_GBK" w:hAnsi="方正黑体_GBK" w:eastAsia="方正黑体_GBK" w:cs="方正黑体_GBK"/>
          <w:b w:val="0"/>
          <w:bCs w:val="0"/>
          <w:color w:val="auto"/>
          <w:kern w:val="0"/>
          <w:sz w:val="32"/>
          <w:szCs w:val="32"/>
          <w:highlight w:val="none"/>
          <w:lang w:val="en-US" w:eastAsia="zh-CN" w:bidi="en-US"/>
        </w:rPr>
        <w:t>三、经验、问题和建议</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（一）主要经验及做法</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1.总结经验、实行精细化管理，确保工程建设安全</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针对重点、难点、政府督办工作，通过深入分析，总结经验，为后续可能存在的类似工作提供良好的指导性经验。现场管理方面严格要求各参建单位严格按合同履约、按图施工，各司其职，并做好项目绩效跟踪，与行政管理部门及承建方积极沟通，确保施工现场质量、安全、进度、投诉、文明施工等可控。</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2.项目实行勘察、设计、施工承包模式</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认真落实专项债券项目的使用范围、资金监管流程等内容；在项目施工管理中，切实加强施工过程的管控能力，积极与施工、监理等各单位对接、协调施工进度情况，确保施工计划顺利推进。</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3.合理使用专项债券，充分发挥专项债券功能</w:t>
      </w:r>
    </w:p>
    <w:p>
      <w:pPr>
        <w:pStyle w:val="22"/>
        <w:keepNext w:val="0"/>
        <w:keepLines w:val="0"/>
        <w:pageBreakBefore w:val="0"/>
        <w:kinsoku/>
        <w:wordWrap/>
        <w:overflowPunct/>
        <w:topLinePunct w:val="0"/>
        <w:bidi w:val="0"/>
        <w:snapToGrid/>
        <w:spacing w:line="560" w:lineRule="exact"/>
        <w:ind w:firstLine="640" w:firstLineChars="200"/>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专项债券是地方政府债券的一种，使用专项债是伽师县积极进行财政政策加力提效的有效措施，用好政府债券扩大有效投资，促就业稳增长。</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（二）存在问题与不足</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1.缺少项目相应的资金开支计划</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根据对项目实施计划合理性进行指标评价时，发现该项目缺少项目相应的资金开支计划，无法与项目建设进度进行匹配。</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firstLine="643" w:firstLineChars="200"/>
        <w:jc w:val="both"/>
        <w:textAlignment w:val="auto"/>
        <w:rPr>
          <w:rFonts w:hint="eastAsia" w:ascii="方正楷体_GBK" w:hAnsi="方正楷体_GBK" w:eastAsia="方正楷体_GBK" w:cs="方正楷体_GBK"/>
          <w:b/>
          <w:bCs/>
          <w:color w:val="auto"/>
          <w:kern w:val="0"/>
          <w:sz w:val="32"/>
          <w:szCs w:val="32"/>
          <w:highlight w:val="none"/>
          <w:lang w:val="en-US" w:eastAsia="zh-CN" w:bidi="en-US"/>
        </w:rPr>
      </w:pPr>
      <w:r>
        <w:rPr>
          <w:rFonts w:hint="eastAsia" w:ascii="方正楷体_GBK" w:hAnsi="方正楷体_GBK" w:eastAsia="方正楷体_GBK" w:cs="方正楷体_GBK"/>
          <w:b/>
          <w:bCs/>
          <w:color w:val="auto"/>
          <w:kern w:val="0"/>
          <w:sz w:val="32"/>
          <w:szCs w:val="32"/>
          <w:highlight w:val="none"/>
          <w:lang w:val="en-US" w:eastAsia="zh-CN" w:bidi="en-US"/>
        </w:rPr>
        <w:t>（三）建议和改进措施</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1.建议对大型基建项目编制资金开支计划，把握工程费用与施工进度的关联性</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工程费用与工程进度是相互影响、相互制约的结论，一旦费用管理或进度管理中任何一个环节出现问题都将会对工程项目的进程和质量带来不利影响，建议项目单位根据工程施工进度，编制对应的项目资金开支计划，把握好资金支出与施工进度之间的关系，做好两者之间的协调，从而有效控制工程费用和工程进度，提高工程项目管理中涉及的数据的精确性和即时性。</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center"/>
        <w:textAlignment w:val="auto"/>
        <w:rPr>
          <w:rFonts w:hint="default" w:ascii="Times New Roman" w:hAnsi="Times New Roman" w:eastAsia="黑体" w:cs="Times New Roman"/>
          <w:b w:val="0"/>
          <w:bCs w:val="0"/>
          <w:color w:val="auto"/>
          <w:sz w:val="44"/>
          <w:szCs w:val="44"/>
          <w:highlight w:val="none"/>
        </w:rPr>
      </w:pP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60" w:lineRule="exact"/>
        <w:ind w:right="0" w:rightChars="0"/>
        <w:jc w:val="both"/>
        <w:textAlignment w:val="auto"/>
        <w:rPr>
          <w:rFonts w:hint="default" w:ascii="Times New Roman" w:hAnsi="Times New Roman" w:eastAsia="黑体" w:cs="Times New Roman"/>
          <w:b w:val="0"/>
          <w:bCs w:val="0"/>
          <w:color w:val="auto"/>
          <w:sz w:val="44"/>
          <w:szCs w:val="44"/>
          <w:highlight w:val="none"/>
        </w:rPr>
      </w:pPr>
    </w:p>
    <w:p>
      <w:pPr>
        <w:spacing w:before="0" w:beforeLines="0" w:after="0" w:afterLines="0" w:line="240" w:lineRule="auto"/>
        <w:ind w:left="0" w:leftChars="0" w:right="0" w:rightChars="0" w:firstLine="0" w:firstLineChars="0"/>
        <w:jc w:val="center"/>
        <w:rPr>
          <w:rFonts w:ascii="宋体" w:hAnsi="宋体" w:eastAsia="宋体" w:cs="Times New Roman"/>
          <w:kern w:val="0"/>
          <w:sz w:val="21"/>
          <w:szCs w:val="24"/>
          <w:lang w:val="en-US" w:eastAsia="zh-CN" w:bidi="ar"/>
        </w:rPr>
        <w:sectPr>
          <w:footerReference r:id="rId3" w:type="default"/>
          <w:pgSz w:w="11906" w:h="16838"/>
          <w:pgMar w:top="1984" w:right="1531" w:bottom="1701" w:left="1531" w:header="851" w:footer="992" w:gutter="0"/>
          <w:cols w:space="425" w:num="1"/>
          <w:docGrid w:type="lines" w:linePitch="312" w:charSpace="0"/>
        </w:sectPr>
      </w:pPr>
    </w:p>
    <w:sdt>
      <w:sdtPr>
        <w:rPr>
          <w:rFonts w:ascii="宋体" w:hAnsi="宋体" w:eastAsia="宋体" w:cs="Times New Roman"/>
          <w:kern w:val="0"/>
          <w:sz w:val="21"/>
          <w:szCs w:val="24"/>
          <w:lang w:val="en-US" w:eastAsia="zh-CN" w:bidi="ar"/>
        </w:rPr>
        <w:id w:val="147471933"/>
        <w:docPartObj>
          <w:docPartGallery w:val="Table of Contents"/>
          <w:docPartUnique/>
        </w:docPartObj>
      </w:sdtPr>
      <w:sdtEndPr>
        <w:rPr>
          <w:rFonts w:ascii="Times New Roman" w:hAnsi="Times New Roman" w:eastAsia="宋体" w:cs="Times New Roman"/>
          <w:kern w:val="0"/>
          <w:sz w:val="20"/>
          <w:szCs w:val="20"/>
          <w:lang w:val="en-US" w:eastAsia="zh-CN" w:bidi="ar"/>
        </w:rPr>
      </w:sdtEndPr>
      <w:sdtContent>
        <w:p>
          <w:pPr>
            <w:spacing w:before="0" w:beforeLines="0" w:after="0" w:afterLines="0" w:line="240" w:lineRule="auto"/>
            <w:ind w:left="0" w:leftChars="0" w:right="0" w:rightChars="0" w:firstLine="0" w:firstLineChars="0"/>
            <w:jc w:val="center"/>
            <w:rPr>
              <w:rFonts w:hint="eastAsia" w:ascii="方正仿宋_GBK" w:hAnsi="方正仿宋_GBK" w:eastAsia="方正仿宋_GBK" w:cs="方正仿宋_GBK"/>
              <w:sz w:val="32"/>
              <w:szCs w:val="32"/>
            </w:rPr>
          </w:pPr>
          <w:bookmarkStart w:id="4" w:name="_Toc7191_WPSOffice_Type3"/>
          <w:r>
            <w:rPr>
              <w:rFonts w:hint="eastAsia" w:ascii="方正小标宋_GBK" w:hAnsi="方正小标宋_GBK" w:eastAsia="方正小标宋_GBK" w:cs="方正小标宋_GBK"/>
              <w:sz w:val="40"/>
              <w:szCs w:val="40"/>
            </w:rPr>
            <w:t>目录</w:t>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_Toc19662_WPSOffice_Level1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36daccde-c198-4c78-b4d5-8e867cae177f}"/>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一、基本情况</w:t>
              </w:r>
            </w:sdtContent>
          </w:sdt>
          <w:r>
            <w:rPr>
              <w:rFonts w:hint="eastAsia" w:ascii="方正仿宋_GBK" w:hAnsi="方正仿宋_GBK" w:eastAsia="方正仿宋_GBK" w:cs="方正仿宋_GBK"/>
              <w:b/>
              <w:bCs/>
              <w:sz w:val="32"/>
              <w:szCs w:val="32"/>
            </w:rPr>
            <w:tab/>
          </w:r>
          <w:bookmarkStart w:id="5" w:name="_Toc19662_WPSOffice_Level1Page"/>
          <w:r>
            <w:rPr>
              <w:rFonts w:hint="eastAsia" w:ascii="方正仿宋_GBK" w:hAnsi="方正仿宋_GBK" w:eastAsia="方正仿宋_GBK" w:cs="方正仿宋_GBK"/>
              <w:b/>
              <w:bCs/>
              <w:sz w:val="32"/>
              <w:szCs w:val="32"/>
            </w:rPr>
            <w:t>1</w:t>
          </w:r>
          <w:bookmarkEnd w:id="5"/>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_Toc7191_WPSOffice_Level2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0ec0944d-8e63-47ee-8dcf-690f0af300bb}"/>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（一）项目概况</w:t>
              </w:r>
            </w:sdtContent>
          </w:sdt>
          <w:r>
            <w:rPr>
              <w:rFonts w:hint="eastAsia" w:ascii="方正仿宋_GBK" w:hAnsi="方正仿宋_GBK" w:eastAsia="方正仿宋_GBK" w:cs="方正仿宋_GBK"/>
              <w:sz w:val="32"/>
              <w:szCs w:val="32"/>
            </w:rPr>
            <w:tab/>
          </w:r>
          <w:bookmarkStart w:id="6" w:name="_Toc7191_WPSOffice_Level2Page"/>
          <w:r>
            <w:rPr>
              <w:rFonts w:hint="eastAsia" w:ascii="方正仿宋_GBK" w:hAnsi="方正仿宋_GBK" w:eastAsia="方正仿宋_GBK" w:cs="方正仿宋_GBK"/>
              <w:sz w:val="32"/>
              <w:szCs w:val="32"/>
            </w:rPr>
            <w:t>1</w:t>
          </w:r>
          <w:bookmarkEnd w:id="6"/>
          <w:r>
            <w:rPr>
              <w:rFonts w:hint="eastAsia" w:ascii="方正仿宋_GBK" w:hAnsi="方正仿宋_GBK" w:eastAsia="方正仿宋_GBK" w:cs="方正仿宋_GBK"/>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_Toc13705_WPSOffice_Level2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792257da-d4a1-43fd-9917-78d13534a225}"/>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（二）项目绩效目标</w:t>
              </w:r>
            </w:sdtContent>
          </w:sdt>
          <w:r>
            <w:rPr>
              <w:rFonts w:hint="eastAsia" w:ascii="方正仿宋_GBK" w:hAnsi="方正仿宋_GBK" w:eastAsia="方正仿宋_GBK" w:cs="方正仿宋_GBK"/>
              <w:sz w:val="32"/>
              <w:szCs w:val="32"/>
            </w:rPr>
            <w:tab/>
          </w:r>
          <w:bookmarkStart w:id="7" w:name="_Toc13705_WPSOffice_Level2Page"/>
          <w:r>
            <w:rPr>
              <w:rFonts w:hint="eastAsia" w:ascii="方正仿宋_GBK" w:hAnsi="方正仿宋_GBK" w:eastAsia="方正仿宋_GBK" w:cs="方正仿宋_GBK"/>
              <w:sz w:val="32"/>
              <w:szCs w:val="32"/>
            </w:rPr>
            <w:t>6</w:t>
          </w:r>
          <w:bookmarkEnd w:id="7"/>
          <w:r>
            <w:rPr>
              <w:rFonts w:hint="eastAsia" w:ascii="方正仿宋_GBK" w:hAnsi="方正仿宋_GBK" w:eastAsia="方正仿宋_GBK" w:cs="方正仿宋_GBK"/>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_Toc7191_WPSOffice_Level1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2fe77112-c70e-454c-8f0a-e244d89f0a62}"/>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二、 绩效评价工作开展情况</w:t>
              </w:r>
            </w:sdtContent>
          </w:sdt>
          <w:r>
            <w:rPr>
              <w:rFonts w:hint="eastAsia" w:ascii="方正仿宋_GBK" w:hAnsi="方正仿宋_GBK" w:eastAsia="方正仿宋_GBK" w:cs="方正仿宋_GBK"/>
              <w:b/>
              <w:bCs/>
              <w:sz w:val="32"/>
              <w:szCs w:val="32"/>
            </w:rPr>
            <w:tab/>
          </w:r>
          <w:bookmarkStart w:id="8" w:name="_Toc7191_WPSOffice_Level1Page"/>
          <w:r>
            <w:rPr>
              <w:rFonts w:hint="eastAsia" w:ascii="方正仿宋_GBK" w:hAnsi="方正仿宋_GBK" w:eastAsia="方正仿宋_GBK" w:cs="方正仿宋_GBK"/>
              <w:b/>
              <w:bCs/>
              <w:sz w:val="32"/>
              <w:szCs w:val="32"/>
            </w:rPr>
            <w:t>7</w:t>
          </w:r>
          <w:bookmarkEnd w:id="8"/>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_Toc14995_WPSOffice_Level2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7e20a1a9-d54f-4a66-8590-beb3b7c8a511}"/>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（一）绩效评价目的、对象和范围</w:t>
              </w:r>
            </w:sdtContent>
          </w:sdt>
          <w:r>
            <w:rPr>
              <w:rFonts w:hint="eastAsia" w:ascii="方正仿宋_GBK" w:hAnsi="方正仿宋_GBK" w:eastAsia="方正仿宋_GBK" w:cs="方正仿宋_GBK"/>
              <w:sz w:val="32"/>
              <w:szCs w:val="32"/>
            </w:rPr>
            <w:tab/>
          </w:r>
          <w:bookmarkStart w:id="9" w:name="_Toc14995_WPSOffice_Level2Page"/>
          <w:r>
            <w:rPr>
              <w:rFonts w:hint="eastAsia" w:ascii="方正仿宋_GBK" w:hAnsi="方正仿宋_GBK" w:eastAsia="方正仿宋_GBK" w:cs="方正仿宋_GBK"/>
              <w:sz w:val="32"/>
              <w:szCs w:val="32"/>
            </w:rPr>
            <w:t>7</w:t>
          </w:r>
          <w:bookmarkEnd w:id="9"/>
          <w:r>
            <w:rPr>
              <w:rFonts w:hint="eastAsia" w:ascii="方正仿宋_GBK" w:hAnsi="方正仿宋_GBK" w:eastAsia="方正仿宋_GBK" w:cs="方正仿宋_GBK"/>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_Toc31556_WPSOffice_Level2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3167eaed-3ffb-4300-9912-81207225e0f5}"/>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（二）绩效评价原则、评价指标体系、评价方法评价标准</w:t>
              </w:r>
            </w:sdtContent>
          </w:sdt>
          <w:r>
            <w:rPr>
              <w:rFonts w:hint="eastAsia" w:ascii="方正仿宋_GBK" w:hAnsi="方正仿宋_GBK" w:eastAsia="方正仿宋_GBK" w:cs="方正仿宋_GBK"/>
              <w:sz w:val="32"/>
              <w:szCs w:val="32"/>
            </w:rPr>
            <w:tab/>
          </w:r>
          <w:bookmarkStart w:id="10" w:name="_Toc31556_WPSOffice_Level2Page"/>
          <w:r>
            <w:rPr>
              <w:rFonts w:hint="eastAsia" w:ascii="方正仿宋_GBK" w:hAnsi="方正仿宋_GBK" w:eastAsia="方正仿宋_GBK" w:cs="方正仿宋_GBK"/>
              <w:sz w:val="32"/>
              <w:szCs w:val="32"/>
            </w:rPr>
            <w:t>8</w:t>
          </w:r>
          <w:bookmarkEnd w:id="10"/>
          <w:r>
            <w:rPr>
              <w:rFonts w:hint="eastAsia" w:ascii="方正仿宋_GBK" w:hAnsi="方正仿宋_GBK" w:eastAsia="方正仿宋_GBK" w:cs="方正仿宋_GBK"/>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_Toc15860_WPSOffice_Level2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3f4f55fd-d005-4b07-b557-5ddd13a25e80}"/>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(三)绩效评价工作过程</w:t>
              </w:r>
            </w:sdtContent>
          </w:sdt>
          <w:r>
            <w:rPr>
              <w:rFonts w:hint="eastAsia" w:ascii="方正仿宋_GBK" w:hAnsi="方正仿宋_GBK" w:eastAsia="方正仿宋_GBK" w:cs="方正仿宋_GBK"/>
              <w:sz w:val="32"/>
              <w:szCs w:val="32"/>
            </w:rPr>
            <w:tab/>
          </w:r>
          <w:bookmarkStart w:id="11" w:name="_Toc15860_WPSOffice_Level2Page"/>
          <w:r>
            <w:rPr>
              <w:rFonts w:hint="eastAsia" w:ascii="方正仿宋_GBK" w:hAnsi="方正仿宋_GBK" w:eastAsia="方正仿宋_GBK" w:cs="方正仿宋_GBK"/>
              <w:sz w:val="32"/>
              <w:szCs w:val="32"/>
            </w:rPr>
            <w:t>13</w:t>
          </w:r>
          <w:bookmarkEnd w:id="11"/>
          <w:r>
            <w:rPr>
              <w:rFonts w:hint="eastAsia" w:ascii="方正仿宋_GBK" w:hAnsi="方正仿宋_GBK" w:eastAsia="方正仿宋_GBK" w:cs="方正仿宋_GBK"/>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_Toc13705_WPSOffice_Level1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474b9dce-4189-4094-b763-0af5edbaaee3}"/>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三、综合评价情况及评价结论</w:t>
              </w:r>
            </w:sdtContent>
          </w:sdt>
          <w:r>
            <w:rPr>
              <w:rFonts w:hint="eastAsia" w:ascii="方正仿宋_GBK" w:hAnsi="方正仿宋_GBK" w:eastAsia="方正仿宋_GBK" w:cs="方正仿宋_GBK"/>
              <w:b/>
              <w:bCs/>
              <w:sz w:val="32"/>
              <w:szCs w:val="32"/>
            </w:rPr>
            <w:tab/>
          </w:r>
          <w:bookmarkStart w:id="12" w:name="_Toc13705_WPSOffice_Level1Page"/>
          <w:r>
            <w:rPr>
              <w:rFonts w:hint="eastAsia" w:ascii="方正仿宋_GBK" w:hAnsi="方正仿宋_GBK" w:eastAsia="方正仿宋_GBK" w:cs="方正仿宋_GBK"/>
              <w:b/>
              <w:bCs/>
              <w:sz w:val="32"/>
              <w:szCs w:val="32"/>
            </w:rPr>
            <w:t>16</w:t>
          </w:r>
          <w:bookmarkEnd w:id="12"/>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_Toc19213_WPSOffice_Level2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1b9e874b-3379-40b0-a3cf-cd4e70976b67}"/>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（一）综合评价情况</w:t>
              </w:r>
            </w:sdtContent>
          </w:sdt>
          <w:r>
            <w:rPr>
              <w:rFonts w:hint="eastAsia" w:ascii="方正仿宋_GBK" w:hAnsi="方正仿宋_GBK" w:eastAsia="方正仿宋_GBK" w:cs="方正仿宋_GBK"/>
              <w:sz w:val="32"/>
              <w:szCs w:val="32"/>
            </w:rPr>
            <w:tab/>
          </w:r>
          <w:bookmarkStart w:id="13" w:name="_Toc19213_WPSOffice_Level2Page"/>
          <w:r>
            <w:rPr>
              <w:rFonts w:hint="eastAsia" w:ascii="方正仿宋_GBK" w:hAnsi="方正仿宋_GBK" w:eastAsia="方正仿宋_GBK" w:cs="方正仿宋_GBK"/>
              <w:sz w:val="32"/>
              <w:szCs w:val="32"/>
            </w:rPr>
            <w:t>16</w:t>
          </w:r>
          <w:bookmarkEnd w:id="13"/>
          <w:r>
            <w:rPr>
              <w:rFonts w:hint="eastAsia" w:ascii="方正仿宋_GBK" w:hAnsi="方正仿宋_GBK" w:eastAsia="方正仿宋_GBK" w:cs="方正仿宋_GBK"/>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_Toc14836_WPSOffice_Level2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d37bb6af-146a-49a8-8a1b-f090498a226a}"/>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（二）综合评价结论</w:t>
              </w:r>
            </w:sdtContent>
          </w:sdt>
          <w:r>
            <w:rPr>
              <w:rFonts w:hint="eastAsia" w:ascii="方正仿宋_GBK" w:hAnsi="方正仿宋_GBK" w:eastAsia="方正仿宋_GBK" w:cs="方正仿宋_GBK"/>
              <w:sz w:val="32"/>
              <w:szCs w:val="32"/>
            </w:rPr>
            <w:tab/>
          </w:r>
          <w:bookmarkStart w:id="14" w:name="_Toc14836_WPSOffice_Level2Page"/>
          <w:r>
            <w:rPr>
              <w:rFonts w:hint="eastAsia" w:ascii="方正仿宋_GBK" w:hAnsi="方正仿宋_GBK" w:eastAsia="方正仿宋_GBK" w:cs="方正仿宋_GBK"/>
              <w:sz w:val="32"/>
              <w:szCs w:val="32"/>
            </w:rPr>
            <w:t>16</w:t>
          </w:r>
          <w:bookmarkEnd w:id="14"/>
          <w:r>
            <w:rPr>
              <w:rFonts w:hint="eastAsia" w:ascii="方正仿宋_GBK" w:hAnsi="方正仿宋_GBK" w:eastAsia="方正仿宋_GBK" w:cs="方正仿宋_GBK"/>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_Toc14995_WPSOffice_Level1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52c243f1-f18f-4f95-ba88-bcbfa9546732}"/>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四、绩效评价指标分析</w:t>
              </w:r>
            </w:sdtContent>
          </w:sdt>
          <w:r>
            <w:rPr>
              <w:rFonts w:hint="eastAsia" w:ascii="方正仿宋_GBK" w:hAnsi="方正仿宋_GBK" w:eastAsia="方正仿宋_GBK" w:cs="方正仿宋_GBK"/>
              <w:b/>
              <w:bCs/>
              <w:sz w:val="32"/>
              <w:szCs w:val="32"/>
            </w:rPr>
            <w:tab/>
          </w:r>
          <w:bookmarkStart w:id="15" w:name="_Toc14995_WPSOffice_Level1Page"/>
          <w:r>
            <w:rPr>
              <w:rFonts w:hint="eastAsia" w:ascii="方正仿宋_GBK" w:hAnsi="方正仿宋_GBK" w:eastAsia="方正仿宋_GBK" w:cs="方正仿宋_GBK"/>
              <w:b/>
              <w:bCs/>
              <w:sz w:val="32"/>
              <w:szCs w:val="32"/>
            </w:rPr>
            <w:t>17</w:t>
          </w:r>
          <w:bookmarkEnd w:id="15"/>
          <w:r>
            <w:rPr>
              <w:rFonts w:hint="eastAsia" w:ascii="方正仿宋_GBK" w:hAnsi="方正仿宋_GBK" w:eastAsia="方正仿宋_GBK" w:cs="方正仿宋_GBK"/>
              <w:b/>
              <w:bCs/>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_Toc26838_WPSOffice_Level2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25d11d75-4533-403c-8c6e-fe2389f3cd1f}"/>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（一）项目决策情况</w:t>
              </w:r>
            </w:sdtContent>
          </w:sdt>
          <w:r>
            <w:rPr>
              <w:rFonts w:hint="eastAsia" w:ascii="方正仿宋_GBK" w:hAnsi="方正仿宋_GBK" w:eastAsia="方正仿宋_GBK" w:cs="方正仿宋_GBK"/>
              <w:sz w:val="32"/>
              <w:szCs w:val="32"/>
            </w:rPr>
            <w:tab/>
          </w:r>
          <w:bookmarkStart w:id="16" w:name="_Toc26838_WPSOffice_Level2Page"/>
          <w:r>
            <w:rPr>
              <w:rFonts w:hint="eastAsia" w:ascii="方正仿宋_GBK" w:hAnsi="方正仿宋_GBK" w:eastAsia="方正仿宋_GBK" w:cs="方正仿宋_GBK"/>
              <w:sz w:val="32"/>
              <w:szCs w:val="32"/>
            </w:rPr>
            <w:t>17</w:t>
          </w:r>
          <w:bookmarkEnd w:id="16"/>
          <w:r>
            <w:rPr>
              <w:rFonts w:hint="eastAsia" w:ascii="方正仿宋_GBK" w:hAnsi="方正仿宋_GBK" w:eastAsia="方正仿宋_GBK" w:cs="方正仿宋_GBK"/>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_Toc30477_WPSOffice_Level2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42d9845c-84ea-4f2e-bc4f-814afa86d712}"/>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（二）项目过程情况</w:t>
              </w:r>
            </w:sdtContent>
          </w:sdt>
          <w:r>
            <w:rPr>
              <w:rFonts w:hint="eastAsia" w:ascii="方正仿宋_GBK" w:hAnsi="方正仿宋_GBK" w:eastAsia="方正仿宋_GBK" w:cs="方正仿宋_GBK"/>
              <w:sz w:val="32"/>
              <w:szCs w:val="32"/>
            </w:rPr>
            <w:tab/>
          </w:r>
          <w:bookmarkStart w:id="17" w:name="_Toc30477_WPSOffice_Level2Page"/>
          <w:r>
            <w:rPr>
              <w:rFonts w:hint="eastAsia" w:ascii="方正仿宋_GBK" w:hAnsi="方正仿宋_GBK" w:eastAsia="方正仿宋_GBK" w:cs="方正仿宋_GBK"/>
              <w:sz w:val="32"/>
              <w:szCs w:val="32"/>
            </w:rPr>
            <w:t>21</w:t>
          </w:r>
          <w:bookmarkEnd w:id="17"/>
          <w:r>
            <w:rPr>
              <w:rFonts w:hint="eastAsia" w:ascii="方正仿宋_GBK" w:hAnsi="方正仿宋_GBK" w:eastAsia="方正仿宋_GBK" w:cs="方正仿宋_GBK"/>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_Toc17737_WPSOffice_Level2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541c18da-b5a8-4a0e-a4e5-e3a92939fc4d}"/>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（三）项目产出情况</w:t>
              </w:r>
            </w:sdtContent>
          </w:sdt>
          <w:r>
            <w:rPr>
              <w:rFonts w:hint="eastAsia" w:ascii="方正仿宋_GBK" w:hAnsi="方正仿宋_GBK" w:eastAsia="方正仿宋_GBK" w:cs="方正仿宋_GBK"/>
              <w:sz w:val="32"/>
              <w:szCs w:val="32"/>
            </w:rPr>
            <w:tab/>
          </w:r>
          <w:bookmarkStart w:id="18" w:name="_Toc17737_WPSOffice_Level2Page"/>
          <w:r>
            <w:rPr>
              <w:rFonts w:hint="eastAsia" w:ascii="方正仿宋_GBK" w:hAnsi="方正仿宋_GBK" w:eastAsia="方正仿宋_GBK" w:cs="方正仿宋_GBK"/>
              <w:sz w:val="32"/>
              <w:szCs w:val="32"/>
            </w:rPr>
            <w:t>23</w:t>
          </w:r>
          <w:bookmarkEnd w:id="18"/>
          <w:r>
            <w:rPr>
              <w:rFonts w:hint="eastAsia" w:ascii="方正仿宋_GBK" w:hAnsi="方正仿宋_GBK" w:eastAsia="方正仿宋_GBK" w:cs="方正仿宋_GBK"/>
              <w:sz w:val="32"/>
              <w:szCs w:val="32"/>
            </w:rPr>
            <w:fldChar w:fldCharType="end"/>
          </w:r>
        </w:p>
        <w:p>
          <w:pPr>
            <w:pStyle w:val="26"/>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\l _Toc6622_WPSOffice_Level2 </w:instrText>
          </w:r>
          <w:r>
            <w:rPr>
              <w:rFonts w:hint="eastAsia" w:ascii="方正仿宋_GBK" w:hAnsi="方正仿宋_GBK" w:eastAsia="方正仿宋_GBK" w:cs="方正仿宋_GBK"/>
              <w:sz w:val="32"/>
              <w:szCs w:val="32"/>
            </w:rPr>
            <w:fldChar w:fldCharType="separate"/>
          </w:r>
          <w:sdt>
            <w:sdtPr>
              <w:rPr>
                <w:rFonts w:hint="eastAsia" w:ascii="方正仿宋_GBK" w:hAnsi="方正仿宋_GBK" w:eastAsia="方正仿宋_GBK" w:cs="方正仿宋_GBK"/>
                <w:kern w:val="0"/>
                <w:sz w:val="32"/>
                <w:szCs w:val="32"/>
                <w:lang w:val="en-US" w:eastAsia="zh-CN" w:bidi="ar"/>
              </w:rPr>
              <w:id w:val="147471933"/>
              <w:placeholder>
                <w:docPart w:val="{cf4361d2-e655-4e99-8e20-5b6815e834f7}"/>
              </w:placeholder>
            </w:sdtPr>
            <w:sdtEndPr>
              <w:rPr>
                <w:rFonts w:hint="eastAsia" w:ascii="方正仿宋_GBK" w:hAnsi="方正仿宋_GBK" w:eastAsia="方正仿宋_GBK" w:cs="方正仿宋_GBK"/>
                <w:kern w:val="0"/>
                <w:sz w:val="32"/>
                <w:szCs w:val="32"/>
                <w:lang w:val="en-US" w:eastAsia="zh-CN" w:bidi="ar"/>
              </w:rPr>
            </w:sdtEndPr>
            <w:sdtContent>
              <w:r>
                <w:rPr>
                  <w:rFonts w:hint="eastAsia" w:ascii="方正仿宋_GBK" w:hAnsi="方正仿宋_GBK" w:eastAsia="方正仿宋_GBK" w:cs="方正仿宋_GBK"/>
                  <w:sz w:val="32"/>
                  <w:szCs w:val="32"/>
                </w:rPr>
                <w:t>（四）项目效益情况</w:t>
              </w:r>
            </w:sdtContent>
          </w:sdt>
          <w:r>
            <w:rPr>
              <w:rFonts w:hint="eastAsia" w:ascii="方正仿宋_GBK" w:hAnsi="方正仿宋_GBK" w:eastAsia="方正仿宋_GBK" w:cs="方正仿宋_GBK"/>
              <w:sz w:val="32"/>
              <w:szCs w:val="32"/>
            </w:rPr>
            <w:tab/>
          </w:r>
          <w:bookmarkStart w:id="19" w:name="_Toc6622_WPSOffice_Level2Page"/>
          <w:r>
            <w:rPr>
              <w:rFonts w:hint="eastAsia" w:ascii="方正仿宋_GBK" w:hAnsi="方正仿宋_GBK" w:eastAsia="方正仿宋_GBK" w:cs="方正仿宋_GBK"/>
              <w:sz w:val="32"/>
              <w:szCs w:val="32"/>
            </w:rPr>
            <w:t>25</w:t>
          </w:r>
          <w:bookmarkEnd w:id="19"/>
          <w:r>
            <w:rPr>
              <w:rFonts w:hint="eastAsia" w:ascii="方正仿宋_GBK" w:hAnsi="方正仿宋_GBK" w:eastAsia="方正仿宋_GBK" w:cs="方正仿宋_GBK"/>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_Toc31556_WPSOffice_Level1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fbf87536-a8c7-4dfc-bb5e-efcc8c6c9998}"/>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五、 存在问题</w:t>
              </w:r>
            </w:sdtContent>
          </w:sdt>
          <w:r>
            <w:rPr>
              <w:rFonts w:hint="eastAsia" w:ascii="方正仿宋_GBK" w:hAnsi="方正仿宋_GBK" w:eastAsia="方正仿宋_GBK" w:cs="方正仿宋_GBK"/>
              <w:b/>
              <w:bCs/>
              <w:sz w:val="32"/>
              <w:szCs w:val="32"/>
            </w:rPr>
            <w:tab/>
          </w:r>
          <w:bookmarkStart w:id="20" w:name="_Toc31556_WPSOffice_Level1Page"/>
          <w:r>
            <w:rPr>
              <w:rFonts w:hint="eastAsia" w:ascii="方正仿宋_GBK" w:hAnsi="方正仿宋_GBK" w:eastAsia="方正仿宋_GBK" w:cs="方正仿宋_GBK"/>
              <w:b/>
              <w:bCs/>
              <w:sz w:val="32"/>
              <w:szCs w:val="32"/>
            </w:rPr>
            <w:t>29</w:t>
          </w:r>
          <w:bookmarkEnd w:id="20"/>
          <w:r>
            <w:rPr>
              <w:rFonts w:hint="eastAsia" w:ascii="方正仿宋_GBK" w:hAnsi="方正仿宋_GBK" w:eastAsia="方正仿宋_GBK" w:cs="方正仿宋_GBK"/>
              <w:b/>
              <w:bCs/>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_Toc15860_WPSOffice_Level1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ed867455-8877-48a2-8e55-21a616119155}"/>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六、相关建议</w:t>
              </w:r>
            </w:sdtContent>
          </w:sdt>
          <w:r>
            <w:rPr>
              <w:rFonts w:hint="eastAsia" w:ascii="方正仿宋_GBK" w:hAnsi="方正仿宋_GBK" w:eastAsia="方正仿宋_GBK" w:cs="方正仿宋_GBK"/>
              <w:b/>
              <w:bCs/>
              <w:sz w:val="32"/>
              <w:szCs w:val="32"/>
            </w:rPr>
            <w:tab/>
          </w:r>
          <w:bookmarkStart w:id="21" w:name="_Toc15860_WPSOffice_Level1Page"/>
          <w:r>
            <w:rPr>
              <w:rFonts w:hint="eastAsia" w:ascii="方正仿宋_GBK" w:hAnsi="方正仿宋_GBK" w:eastAsia="方正仿宋_GBK" w:cs="方正仿宋_GBK"/>
              <w:b/>
              <w:bCs/>
              <w:sz w:val="32"/>
              <w:szCs w:val="32"/>
            </w:rPr>
            <w:t>29</w:t>
          </w:r>
          <w:bookmarkEnd w:id="21"/>
          <w:r>
            <w:rPr>
              <w:rFonts w:hint="eastAsia" w:ascii="方正仿宋_GBK" w:hAnsi="方正仿宋_GBK" w:eastAsia="方正仿宋_GBK" w:cs="方正仿宋_GBK"/>
              <w:b/>
              <w:bCs/>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_Toc19213_WPSOffice_Level1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22a04ccd-3d5d-44e3-bd6a-9efb13504747}"/>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七、其他需要说明的问题</w:t>
              </w:r>
            </w:sdtContent>
          </w:sdt>
          <w:r>
            <w:rPr>
              <w:rFonts w:hint="eastAsia" w:ascii="方正仿宋_GBK" w:hAnsi="方正仿宋_GBK" w:eastAsia="方正仿宋_GBK" w:cs="方正仿宋_GBK"/>
              <w:b/>
              <w:bCs/>
              <w:sz w:val="32"/>
              <w:szCs w:val="32"/>
            </w:rPr>
            <w:tab/>
          </w:r>
          <w:bookmarkStart w:id="22" w:name="_Toc19213_WPSOffice_Level1Page"/>
          <w:r>
            <w:rPr>
              <w:rFonts w:hint="eastAsia" w:ascii="方正仿宋_GBK" w:hAnsi="方正仿宋_GBK" w:eastAsia="方正仿宋_GBK" w:cs="方正仿宋_GBK"/>
              <w:b/>
              <w:bCs/>
              <w:sz w:val="32"/>
              <w:szCs w:val="32"/>
            </w:rPr>
            <w:t>29</w:t>
          </w:r>
          <w:bookmarkEnd w:id="22"/>
          <w:r>
            <w:rPr>
              <w:rFonts w:hint="eastAsia" w:ascii="方正仿宋_GBK" w:hAnsi="方正仿宋_GBK" w:eastAsia="方正仿宋_GBK" w:cs="方正仿宋_GBK"/>
              <w:b/>
              <w:bCs/>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_Toc14836_WPSOffice_Level1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cacc2180-1326-4efd-bc5c-bc1ed886a9c4}"/>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附件1项目支出绩效自评表</w:t>
              </w:r>
            </w:sdtContent>
          </w:sdt>
          <w:r>
            <w:rPr>
              <w:rFonts w:hint="eastAsia" w:ascii="方正仿宋_GBK" w:hAnsi="方正仿宋_GBK" w:eastAsia="方正仿宋_GBK" w:cs="方正仿宋_GBK"/>
              <w:b/>
              <w:bCs/>
              <w:sz w:val="32"/>
              <w:szCs w:val="32"/>
            </w:rPr>
            <w:tab/>
          </w:r>
          <w:bookmarkStart w:id="23" w:name="_Toc14836_WPSOffice_Level1Page"/>
          <w:r>
            <w:rPr>
              <w:rFonts w:hint="eastAsia" w:ascii="方正仿宋_GBK" w:hAnsi="方正仿宋_GBK" w:eastAsia="方正仿宋_GBK" w:cs="方正仿宋_GBK"/>
              <w:b/>
              <w:bCs/>
              <w:sz w:val="32"/>
              <w:szCs w:val="32"/>
            </w:rPr>
            <w:t>30</w:t>
          </w:r>
          <w:bookmarkEnd w:id="23"/>
          <w:r>
            <w:rPr>
              <w:rFonts w:hint="eastAsia" w:ascii="方正仿宋_GBK" w:hAnsi="方正仿宋_GBK" w:eastAsia="方正仿宋_GBK" w:cs="方正仿宋_GBK"/>
              <w:b/>
              <w:bCs/>
              <w:sz w:val="32"/>
              <w:szCs w:val="32"/>
            </w:rPr>
            <w:fldChar w:fldCharType="end"/>
          </w:r>
        </w:p>
        <w:p>
          <w:pPr>
            <w:pStyle w:val="25"/>
            <w:tabs>
              <w:tab w:val="right" w:leader="dot" w:pos="8306"/>
            </w:tabs>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_Toc10648_WPSOffice_Level1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974d9a5a-8d38-4a92-8fde-e5ed004b85b7}"/>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附件2 项目支出绩效评价指标体系</w:t>
              </w:r>
            </w:sdtContent>
          </w:sdt>
          <w:r>
            <w:rPr>
              <w:rFonts w:hint="eastAsia" w:ascii="方正仿宋_GBK" w:hAnsi="方正仿宋_GBK" w:eastAsia="方正仿宋_GBK" w:cs="方正仿宋_GBK"/>
              <w:b/>
              <w:bCs/>
              <w:sz w:val="32"/>
              <w:szCs w:val="32"/>
            </w:rPr>
            <w:tab/>
          </w:r>
          <w:bookmarkStart w:id="24" w:name="_Toc10648_WPSOffice_Level1Page"/>
          <w:r>
            <w:rPr>
              <w:rFonts w:hint="eastAsia" w:ascii="方正仿宋_GBK" w:hAnsi="方正仿宋_GBK" w:eastAsia="方正仿宋_GBK" w:cs="方正仿宋_GBK"/>
              <w:b/>
              <w:bCs/>
              <w:sz w:val="32"/>
              <w:szCs w:val="32"/>
            </w:rPr>
            <w:t>32</w:t>
          </w:r>
          <w:bookmarkEnd w:id="24"/>
          <w:r>
            <w:rPr>
              <w:rFonts w:hint="eastAsia" w:ascii="方正仿宋_GBK" w:hAnsi="方正仿宋_GBK" w:eastAsia="方正仿宋_GBK" w:cs="方正仿宋_GBK"/>
              <w:b/>
              <w:bCs/>
              <w:sz w:val="32"/>
              <w:szCs w:val="32"/>
            </w:rPr>
            <w:fldChar w:fldCharType="end"/>
          </w:r>
        </w:p>
        <w:p>
          <w:pPr>
            <w:pStyle w:val="25"/>
            <w:tabs>
              <w:tab w:val="right" w:leader="dot" w:pos="8306"/>
            </w:tabs>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_Toc26838_WPSOffice_Level1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7f37ac78-8a9d-48ee-b8e0-d00836ad1c35}"/>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附件3访谈报告</w:t>
              </w:r>
            </w:sdtContent>
          </w:sdt>
          <w:r>
            <w:rPr>
              <w:rFonts w:hint="eastAsia" w:ascii="方正仿宋_GBK" w:hAnsi="方正仿宋_GBK" w:eastAsia="方正仿宋_GBK" w:cs="方正仿宋_GBK"/>
              <w:b/>
              <w:bCs/>
              <w:sz w:val="32"/>
              <w:szCs w:val="32"/>
            </w:rPr>
            <w:tab/>
          </w:r>
          <w:bookmarkStart w:id="25" w:name="_Toc26838_WPSOffice_Level1Page"/>
          <w:r>
            <w:rPr>
              <w:rFonts w:hint="eastAsia" w:ascii="方正仿宋_GBK" w:hAnsi="方正仿宋_GBK" w:eastAsia="方正仿宋_GBK" w:cs="方正仿宋_GBK"/>
              <w:b/>
              <w:bCs/>
              <w:sz w:val="32"/>
              <w:szCs w:val="32"/>
            </w:rPr>
            <w:t>40</w:t>
          </w:r>
          <w:bookmarkEnd w:id="25"/>
          <w:r>
            <w:rPr>
              <w:rFonts w:hint="eastAsia" w:ascii="方正仿宋_GBK" w:hAnsi="方正仿宋_GBK" w:eastAsia="方正仿宋_GBK" w:cs="方正仿宋_GBK"/>
              <w:b/>
              <w:bCs/>
              <w:sz w:val="32"/>
              <w:szCs w:val="32"/>
            </w:rPr>
            <w:fldChar w:fldCharType="end"/>
          </w:r>
        </w:p>
        <w:p>
          <w:pPr>
            <w:pStyle w:val="25"/>
            <w:tabs>
              <w:tab w:val="right" w:leader="dot" w:pos="8306"/>
            </w:tabs>
          </w:pPr>
          <w:r>
            <w:rPr>
              <w:rFonts w:hint="eastAsia" w:ascii="方正仿宋_GBK" w:hAnsi="方正仿宋_GBK" w:eastAsia="方正仿宋_GBK" w:cs="方正仿宋_GBK"/>
              <w:b/>
              <w:bCs/>
              <w:sz w:val="32"/>
              <w:szCs w:val="32"/>
            </w:rPr>
            <w:fldChar w:fldCharType="begin"/>
          </w:r>
          <w:r>
            <w:rPr>
              <w:rFonts w:hint="eastAsia" w:ascii="方正仿宋_GBK" w:hAnsi="方正仿宋_GBK" w:eastAsia="方正仿宋_GBK" w:cs="方正仿宋_GBK"/>
              <w:b/>
              <w:bCs/>
              <w:sz w:val="32"/>
              <w:szCs w:val="32"/>
            </w:rPr>
            <w:instrText xml:space="preserve"> HYPERLINK \l _Toc30477_WPSOffice_Level1 </w:instrText>
          </w:r>
          <w:r>
            <w:rPr>
              <w:rFonts w:hint="eastAsia" w:ascii="方正仿宋_GBK" w:hAnsi="方正仿宋_GBK" w:eastAsia="方正仿宋_GBK" w:cs="方正仿宋_GBK"/>
              <w:b/>
              <w:bCs/>
              <w:sz w:val="32"/>
              <w:szCs w:val="32"/>
            </w:rPr>
            <w:fldChar w:fldCharType="separate"/>
          </w:r>
          <w:sdt>
            <w:sdtPr>
              <w:rPr>
                <w:rFonts w:hint="eastAsia" w:ascii="方正仿宋_GBK" w:hAnsi="方正仿宋_GBK" w:eastAsia="方正仿宋_GBK" w:cs="方正仿宋_GBK"/>
                <w:b/>
                <w:bCs/>
                <w:kern w:val="0"/>
                <w:sz w:val="32"/>
                <w:szCs w:val="32"/>
                <w:lang w:val="en-US" w:eastAsia="zh-CN" w:bidi="ar"/>
              </w:rPr>
              <w:id w:val="147471933"/>
              <w:placeholder>
                <w:docPart w:val="{19f4311f-0438-4415-999c-7fb088ff2b78}"/>
              </w:placeholder>
            </w:sdtPr>
            <w:sdtEndPr>
              <w:rPr>
                <w:rFonts w:hint="eastAsia" w:ascii="方正仿宋_GBK" w:hAnsi="方正仿宋_GBK" w:eastAsia="方正仿宋_GBK" w:cs="方正仿宋_GBK"/>
                <w:b/>
                <w:bCs/>
                <w:kern w:val="0"/>
                <w:sz w:val="32"/>
                <w:szCs w:val="32"/>
                <w:lang w:val="en-US" w:eastAsia="zh-CN" w:bidi="ar"/>
              </w:rPr>
            </w:sdtEndPr>
            <w:sdtContent>
              <w:r>
                <w:rPr>
                  <w:rFonts w:hint="eastAsia" w:ascii="方正仿宋_GBK" w:hAnsi="方正仿宋_GBK" w:eastAsia="方正仿宋_GBK" w:cs="方正仿宋_GBK"/>
                  <w:b/>
                  <w:bCs/>
                  <w:sz w:val="32"/>
                  <w:szCs w:val="32"/>
                </w:rPr>
                <w:t>附件4满意度问卷调查</w:t>
              </w:r>
            </w:sdtContent>
          </w:sdt>
          <w:r>
            <w:rPr>
              <w:rFonts w:hint="eastAsia" w:ascii="方正仿宋_GBK" w:hAnsi="方正仿宋_GBK" w:eastAsia="方正仿宋_GBK" w:cs="方正仿宋_GBK"/>
              <w:b/>
              <w:bCs/>
              <w:sz w:val="32"/>
              <w:szCs w:val="32"/>
            </w:rPr>
            <w:tab/>
          </w:r>
          <w:bookmarkStart w:id="26" w:name="_Toc30477_WPSOffice_Level1Page"/>
          <w:r>
            <w:rPr>
              <w:rFonts w:hint="eastAsia" w:ascii="方正仿宋_GBK" w:hAnsi="方正仿宋_GBK" w:eastAsia="方正仿宋_GBK" w:cs="方正仿宋_GBK"/>
              <w:b/>
              <w:bCs/>
              <w:sz w:val="32"/>
              <w:szCs w:val="32"/>
            </w:rPr>
            <w:t>44</w:t>
          </w:r>
          <w:bookmarkEnd w:id="26"/>
          <w:r>
            <w:rPr>
              <w:rFonts w:hint="eastAsia" w:ascii="方正仿宋_GBK" w:hAnsi="方正仿宋_GBK" w:eastAsia="方正仿宋_GBK" w:cs="方正仿宋_GBK"/>
              <w:b/>
              <w:bCs/>
              <w:sz w:val="32"/>
              <w:szCs w:val="32"/>
            </w:rPr>
            <w:fldChar w:fldCharType="end"/>
          </w:r>
          <w:bookmarkEnd w:id="4"/>
        </w:p>
      </w:sdtContent>
    </w:sdt>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val="0"/>
          <w:bCs w:val="0"/>
          <w:color w:val="auto"/>
          <w:sz w:val="40"/>
          <w:szCs w:val="40"/>
          <w:highlight w:val="none"/>
          <w:lang w:val="en-US" w:eastAsia="zh-CN"/>
        </w:rPr>
      </w:pPr>
    </w:p>
    <w:p>
      <w:pPr>
        <w:keepNext w:val="0"/>
        <w:keepLines w:val="0"/>
        <w:pageBreakBefore w:val="0"/>
        <w:kinsoku/>
        <w:wordWrap/>
        <w:topLinePunct w:val="0"/>
        <w:bidi w:val="0"/>
        <w:snapToGrid/>
        <w:spacing w:before="0" w:after="0" w:line="560" w:lineRule="exact"/>
        <w:ind w:right="0" w:rightChars="0"/>
        <w:jc w:val="center"/>
        <w:rPr>
          <w:rFonts w:hint="eastAsia" w:ascii="方正小标宋_GBK" w:hAnsi="方正小标宋_GBK" w:eastAsia="方正小标宋_GBK" w:cs="方正小标宋_GBK"/>
          <w:b/>
          <w:bCs/>
          <w:color w:val="auto"/>
          <w:sz w:val="40"/>
          <w:szCs w:val="40"/>
          <w:highlight w:val="none"/>
          <w:lang w:val="en-US" w:eastAsia="zh-CN"/>
        </w:rPr>
        <w:sectPr>
          <w:footerReference r:id="rId4" w:type="default"/>
          <w:pgSz w:w="11906" w:h="16838"/>
          <w:pgMar w:top="1440" w:right="1800" w:bottom="1440" w:left="1800" w:header="851" w:footer="992" w:gutter="0"/>
          <w:pgNumType w:start="1"/>
          <w:cols w:space="425" w:num="1"/>
          <w:docGrid w:type="lines" w:linePitch="312" w:charSpace="0"/>
        </w:sectPr>
      </w:pPr>
    </w:p>
    <w:p>
      <w:pPr>
        <w:keepNext w:val="0"/>
        <w:keepLines w:val="0"/>
        <w:pageBreakBefore w:val="0"/>
        <w:kinsoku/>
        <w:wordWrap/>
        <w:topLinePunct w:val="0"/>
        <w:bidi w:val="0"/>
        <w:snapToGrid/>
        <w:spacing w:before="0" w:after="0" w:line="560" w:lineRule="exact"/>
        <w:ind w:right="0" w:rightChars="0"/>
        <w:jc w:val="center"/>
        <w:rPr>
          <w:rFonts w:hint="default" w:ascii="Times New Roman" w:hAnsi="Times New Roman" w:cs="Times New Roman"/>
          <w:b w:val="0"/>
          <w:bCs w:val="0"/>
          <w:color w:val="auto"/>
          <w:sz w:val="40"/>
          <w:szCs w:val="40"/>
        </w:rPr>
      </w:pPr>
      <w:r>
        <w:rPr>
          <w:rFonts w:hint="eastAsia" w:ascii="方正小标宋_GBK" w:hAnsi="方正小标宋_GBK" w:eastAsia="方正小标宋_GBK" w:cs="方正小标宋_GBK"/>
          <w:b w:val="0"/>
          <w:bCs w:val="0"/>
          <w:color w:val="auto"/>
          <w:sz w:val="40"/>
          <w:szCs w:val="40"/>
          <w:highlight w:val="none"/>
          <w:lang w:val="en-US" w:eastAsia="zh-CN"/>
        </w:rPr>
        <w:t>2022年喀什地区伽师县克孜勒博依生态综合整治工程（现代农业产业园）项目预算绩效评价报告</w:t>
      </w:r>
    </w:p>
    <w:p>
      <w:pPr>
        <w:pStyle w:val="16"/>
        <w:keepNext w:val="0"/>
        <w:keepLines w:val="0"/>
        <w:pageBreakBefore w:val="0"/>
        <w:widowControl/>
        <w:kinsoku/>
        <w:wordWrap/>
        <w:overflowPunct/>
        <w:topLinePunct w:val="0"/>
        <w:autoSpaceDE/>
        <w:autoSpaceDN/>
        <w:bidi w:val="0"/>
        <w:adjustRightInd/>
        <w:snapToGrid/>
        <w:spacing w:line="560" w:lineRule="exact"/>
        <w:ind w:firstLine="664" w:firstLineChars="200"/>
        <w:jc w:val="both"/>
        <w:textAlignment w:val="auto"/>
        <w:rPr>
          <w:rFonts w:hint="eastAsia" w:ascii="方正仿宋_GBK" w:hAnsi="方正仿宋_GBK" w:eastAsia="方正仿宋_GBK" w:cs="方正仿宋_GBK"/>
          <w:color w:val="auto"/>
          <w:sz w:val="32"/>
          <w:szCs w:val="32"/>
          <w:highlight w:val="none"/>
          <w:lang w:val="en-US" w:eastAsia="zh-CN"/>
        </w:rPr>
      </w:pPr>
      <w:bookmarkStart w:id="27" w:name="_Toc27083"/>
      <w:bookmarkStart w:id="28" w:name="_Toc15555"/>
      <w:bookmarkStart w:id="29" w:name="_Toc23476"/>
      <w:bookmarkStart w:id="30" w:name="_Toc10416"/>
      <w:r>
        <w:rPr>
          <w:rFonts w:hint="eastAsia" w:ascii="方正仿宋_GBK" w:hAnsi="方正仿宋_GBK" w:eastAsia="方正仿宋_GBK" w:cs="方正仿宋_GBK"/>
          <w:color w:val="auto"/>
          <w:sz w:val="32"/>
          <w:szCs w:val="32"/>
          <w:highlight w:val="none"/>
        </w:rPr>
        <w:t>受</w:t>
      </w:r>
      <w:r>
        <w:rPr>
          <w:rFonts w:hint="eastAsia" w:ascii="方正仿宋_GBK" w:hAnsi="方正仿宋_GBK" w:eastAsia="方正仿宋_GBK" w:cs="方正仿宋_GBK"/>
          <w:color w:val="auto"/>
          <w:sz w:val="32"/>
          <w:szCs w:val="32"/>
          <w:highlight w:val="none"/>
          <w:lang w:eastAsia="zh-CN"/>
        </w:rPr>
        <w:t>喀什地区伽师县财政局</w:t>
      </w:r>
      <w:r>
        <w:rPr>
          <w:rFonts w:hint="eastAsia" w:ascii="方正仿宋_GBK" w:hAnsi="方正仿宋_GBK" w:eastAsia="方正仿宋_GBK" w:cs="方正仿宋_GBK"/>
          <w:color w:val="auto"/>
          <w:sz w:val="32"/>
          <w:szCs w:val="32"/>
          <w:highlight w:val="none"/>
        </w:rPr>
        <w:t>委托，</w:t>
      </w:r>
      <w:r>
        <w:rPr>
          <w:rFonts w:hint="eastAsia" w:ascii="方正仿宋_GBK" w:hAnsi="方正仿宋_GBK" w:eastAsia="方正仿宋_GBK" w:cs="方正仿宋_GBK"/>
          <w:color w:val="auto"/>
          <w:sz w:val="32"/>
          <w:szCs w:val="32"/>
          <w:highlight w:val="none"/>
          <w:lang w:val="en-US" w:eastAsia="zh-CN"/>
        </w:rPr>
        <w:t>新疆永信中正项目管理咨询有限公司于2023年4月6日至2023年6月10日对伽师县自然资源局负责管理</w:t>
      </w:r>
      <w:r>
        <w:rPr>
          <w:rFonts w:hint="eastAsia" w:ascii="方正仿宋_GBK" w:hAnsi="方正仿宋_GBK" w:eastAsia="方正仿宋_GBK" w:cs="方正仿宋_GBK"/>
          <w:color w:val="auto"/>
          <w:sz w:val="32"/>
          <w:szCs w:val="32"/>
          <w:highlight w:val="none"/>
          <w:lang w:val="en-US" w:eastAsia="zh-Hans"/>
        </w:rPr>
        <w:t>实施</w:t>
      </w:r>
      <w:r>
        <w:rPr>
          <w:rFonts w:hint="eastAsia" w:ascii="方正仿宋_GBK" w:hAnsi="方正仿宋_GBK" w:eastAsia="方正仿宋_GBK" w:cs="方正仿宋_GBK"/>
          <w:color w:val="auto"/>
          <w:sz w:val="32"/>
          <w:szCs w:val="32"/>
          <w:highlight w:val="none"/>
          <w:lang w:val="en-US" w:eastAsia="zh-CN"/>
        </w:rPr>
        <w:t>的伽师县克孜勒博依镇2022年环境整治项目开展了绩效评价，评价情况如下：</w:t>
      </w:r>
    </w:p>
    <w:bookmarkEnd w:id="27"/>
    <w:bookmarkEnd w:id="28"/>
    <w:bookmarkEnd w:id="29"/>
    <w:bookmarkEnd w:id="30"/>
    <w:p>
      <w:pPr>
        <w:pStyle w:val="16"/>
        <w:keepNext w:val="0"/>
        <w:keepLines w:val="0"/>
        <w:pageBreakBefore w:val="0"/>
        <w:widowControl/>
        <w:kinsoku/>
        <w:wordWrap/>
        <w:overflowPunct/>
        <w:topLinePunct w:val="0"/>
        <w:autoSpaceDE/>
        <w:autoSpaceDN/>
        <w:bidi w:val="0"/>
        <w:adjustRightInd/>
        <w:snapToGrid/>
        <w:spacing w:line="560" w:lineRule="exact"/>
        <w:ind w:firstLine="664" w:firstLineChars="200"/>
        <w:textAlignment w:val="auto"/>
        <w:outlineLvl w:val="0"/>
        <w:rPr>
          <w:rFonts w:hint="eastAsia" w:ascii="方正黑体_GBK" w:hAnsi="方正黑体_GBK" w:eastAsia="方正黑体_GBK" w:cs="方正黑体_GBK"/>
          <w:b w:val="0"/>
          <w:bCs w:val="0"/>
          <w:color w:val="auto"/>
          <w:highlight w:val="none"/>
          <w:lang w:val="en-US" w:eastAsia="zh-CN"/>
        </w:rPr>
      </w:pPr>
      <w:bookmarkStart w:id="31" w:name="_Toc414_WPSOffice_Level1"/>
      <w:bookmarkStart w:id="32" w:name="_Toc7858_WPSOffice_Level1"/>
      <w:bookmarkStart w:id="33" w:name="_Toc19662_WPSOffice_Level1"/>
      <w:bookmarkStart w:id="34" w:name="_Toc31250"/>
      <w:bookmarkStart w:id="35" w:name="_Toc16578"/>
      <w:bookmarkStart w:id="36" w:name="_Toc31606"/>
      <w:bookmarkStart w:id="37" w:name="_Toc21195_WPSOffice_Level2"/>
      <w:bookmarkStart w:id="38" w:name="_Toc11862"/>
      <w:bookmarkStart w:id="39" w:name="_Toc10466"/>
      <w:r>
        <w:rPr>
          <w:rFonts w:hint="eastAsia" w:ascii="方正黑体_GBK" w:hAnsi="方正黑体_GBK" w:eastAsia="方正黑体_GBK" w:cs="方正黑体_GBK"/>
          <w:b w:val="0"/>
          <w:bCs w:val="0"/>
          <w:color w:val="auto"/>
          <w:lang w:val="en-US" w:eastAsia="zh-CN"/>
        </w:rPr>
        <w:t>一、</w:t>
      </w:r>
      <w:bookmarkEnd w:id="31"/>
      <w:bookmarkEnd w:id="32"/>
      <w:bookmarkStart w:id="40" w:name="_Toc414_WPSOffice_Level2"/>
      <w:bookmarkStart w:id="41" w:name="_Toc7858_WPSOffice_Level2"/>
      <w:r>
        <w:rPr>
          <w:rFonts w:hint="eastAsia" w:ascii="方正黑体_GBK" w:hAnsi="方正黑体_GBK" w:eastAsia="方正黑体_GBK" w:cs="方正黑体_GBK"/>
          <w:b w:val="0"/>
          <w:bCs w:val="0"/>
          <w:color w:val="auto"/>
          <w:highlight w:val="none"/>
          <w:lang w:val="en-US" w:eastAsia="zh-CN"/>
        </w:rPr>
        <w:t>基本情况</w:t>
      </w:r>
      <w:bookmarkEnd w:id="33"/>
    </w:p>
    <w:bookmarkEnd w:id="34"/>
    <w:bookmarkEnd w:id="35"/>
    <w:bookmarkEnd w:id="36"/>
    <w:bookmarkEnd w:id="37"/>
    <w:bookmarkEnd w:id="38"/>
    <w:bookmarkEnd w:id="39"/>
    <w:bookmarkEnd w:id="40"/>
    <w:bookmarkEnd w:id="41"/>
    <w:p>
      <w:pPr>
        <w:pStyle w:val="16"/>
        <w:keepNext w:val="0"/>
        <w:keepLines w:val="0"/>
        <w:pageBreakBefore w:val="0"/>
        <w:widowControl/>
        <w:kinsoku/>
        <w:wordWrap/>
        <w:overflowPunct/>
        <w:topLinePunct w:val="0"/>
        <w:autoSpaceDE/>
        <w:autoSpaceDN/>
        <w:bidi w:val="0"/>
        <w:adjustRightInd/>
        <w:snapToGrid/>
        <w:spacing w:line="560" w:lineRule="exact"/>
        <w:ind w:firstLine="667" w:firstLineChars="200"/>
        <w:textAlignment w:val="auto"/>
        <w:outlineLvl w:val="1"/>
        <w:rPr>
          <w:rFonts w:hint="eastAsia" w:ascii="方正楷体_GBK" w:hAnsi="方正楷体_GBK" w:eastAsia="方正楷体_GBK" w:cs="方正楷体_GBK"/>
          <w:b/>
          <w:bCs/>
          <w:color w:val="auto"/>
          <w:highlight w:val="none"/>
          <w:lang w:val="en-US" w:eastAsia="zh-CN"/>
        </w:rPr>
      </w:pPr>
      <w:bookmarkStart w:id="42" w:name="_Toc23376"/>
      <w:bookmarkStart w:id="43" w:name="_Toc7191_WPSOffice_Level2"/>
      <w:bookmarkStart w:id="44" w:name="_Toc5252"/>
      <w:bookmarkStart w:id="45" w:name="_Toc32613"/>
      <w:bookmarkStart w:id="46" w:name="_Toc27027"/>
      <w:bookmarkStart w:id="47" w:name="_Toc24474"/>
      <w:bookmarkStart w:id="48" w:name="_Toc2447"/>
      <w:r>
        <w:rPr>
          <w:rFonts w:hint="eastAsia" w:ascii="方正楷体_GBK" w:hAnsi="方正楷体_GBK" w:eastAsia="方正楷体_GBK" w:cs="方正楷体_GBK"/>
          <w:b/>
          <w:bCs/>
          <w:color w:val="auto"/>
          <w:highlight w:val="none"/>
          <w:lang w:val="en-US" w:eastAsia="zh-CN"/>
        </w:rPr>
        <w:t>（一）</w:t>
      </w:r>
      <w:bookmarkEnd w:id="42"/>
      <w:r>
        <w:rPr>
          <w:rFonts w:hint="eastAsia" w:ascii="方正楷体_GBK" w:hAnsi="方正楷体_GBK" w:eastAsia="方正楷体_GBK" w:cs="方正楷体_GBK"/>
          <w:b/>
          <w:bCs/>
          <w:color w:val="auto"/>
          <w:highlight w:val="none"/>
          <w:lang w:val="en-US" w:eastAsia="zh-CN"/>
        </w:rPr>
        <w:t>项目概况</w:t>
      </w:r>
      <w:bookmarkEnd w:id="43"/>
    </w:p>
    <w:p>
      <w:pPr>
        <w:pStyle w:val="16"/>
        <w:keepNext w:val="0"/>
        <w:keepLines w:val="0"/>
        <w:pageBreakBefore w:val="0"/>
        <w:widowControl/>
        <w:kinsoku/>
        <w:wordWrap/>
        <w:overflowPunct/>
        <w:topLinePunct w:val="0"/>
        <w:autoSpaceDE/>
        <w:autoSpaceDN/>
        <w:bidi w:val="0"/>
        <w:adjustRightInd/>
        <w:snapToGrid/>
        <w:spacing w:line="560" w:lineRule="exact"/>
        <w:ind w:firstLine="667" w:firstLineChars="200"/>
        <w:textAlignment w:val="auto"/>
        <w:outlineLvl w:val="1"/>
        <w:rPr>
          <w:rFonts w:hint="eastAsia" w:ascii="方正仿宋_GBK" w:hAnsi="方正仿宋_GBK" w:eastAsia="方正仿宋_GBK" w:cs="方正仿宋_GBK"/>
          <w:b/>
          <w:bCs/>
          <w:color w:val="auto"/>
          <w:highlight w:val="none"/>
          <w:lang w:val="en-US" w:eastAsia="zh-CN"/>
        </w:rPr>
      </w:pPr>
      <w:bookmarkStart w:id="49" w:name="_Toc19869_WPSOffice_Level3"/>
      <w:bookmarkStart w:id="50" w:name="_Toc7191_WPSOffice_Level3"/>
      <w:r>
        <w:rPr>
          <w:rFonts w:hint="eastAsia" w:ascii="方正仿宋_GBK" w:hAnsi="方正仿宋_GBK" w:eastAsia="方正仿宋_GBK" w:cs="方正仿宋_GBK"/>
          <w:b/>
          <w:bCs/>
          <w:color w:val="auto"/>
          <w:highlight w:val="none"/>
          <w:lang w:val="en-US" w:eastAsia="zh-CN"/>
        </w:rPr>
        <w:t>1.项目背景</w:t>
      </w:r>
      <w:bookmarkEnd w:id="49"/>
      <w:bookmarkEnd w:id="5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为深入贯彻落实</w:t>
      </w:r>
      <w:r>
        <w:rPr>
          <w:rFonts w:hint="eastAsia" w:ascii="方正仿宋_GBK" w:hAnsi="方正仿宋_GBK" w:eastAsia="方正仿宋_GBK" w:cs="方正仿宋_GBK"/>
          <w:color w:val="auto"/>
          <w:sz w:val="32"/>
          <w:szCs w:val="32"/>
          <w:lang w:val="en-US" w:eastAsia="zh-CN"/>
        </w:rPr>
        <w:t>习近平</w:t>
      </w:r>
      <w:r>
        <w:rPr>
          <w:rFonts w:hint="eastAsia" w:ascii="方正仿宋_GBK" w:hAnsi="方正仿宋_GBK" w:eastAsia="方正仿宋_GBK" w:cs="方正仿宋_GBK"/>
          <w:color w:val="auto"/>
          <w:sz w:val="32"/>
          <w:szCs w:val="32"/>
        </w:rPr>
        <w:t>总书记提出的“节水优先、空间均衡、系统治理、两手发力”的新时期水利工作方针，深入学习贯彻习近平新时代中国特色社会主义思想，紧紧围绕统筹推进“五位一体”总体布局和协调推进“四个全面”战略布局，以“创新、协调、绿色、开放、共享”五大理念为引领，紧紧围绕服务农业现代化产业发展和实施乡村振兴战略目标要求，坚持以人为本、人水和谐的治水理念，适应灌区社会经济发展和农业产业布局整体规划以及现代环境下水资源情势变化，以水资源可持续利用保障农业和经济社会可持续发展，为现代农业发展和乡村振兴提供水利支撑和保障。坚持公共服务与业务应用协同发展，加强立体化监测、精细化管理、智能化决策和便捷化服务能力建设，推动“数字水利”向“智慧水利”转变，为水利改革发展提供全面服务和有力支撑，推进水治理体系和治理能力现代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在农业发展的新阶段、新形势下，要实现农业可持续发展的前提下，</w:t>
      </w:r>
      <w:r>
        <w:rPr>
          <w:rFonts w:hint="eastAsia" w:ascii="方正仿宋_GBK" w:hAnsi="方正仿宋_GBK" w:eastAsia="方正仿宋_GBK" w:cs="方正仿宋_GBK"/>
          <w:color w:val="auto"/>
          <w:sz w:val="32"/>
          <w:szCs w:val="32"/>
          <w:lang w:eastAsia="zh-CN"/>
        </w:rPr>
        <w:t>围绕</w:t>
      </w:r>
      <w:r>
        <w:rPr>
          <w:rFonts w:hint="eastAsia" w:ascii="方正仿宋_GBK" w:hAnsi="方正仿宋_GBK" w:eastAsia="方正仿宋_GBK" w:cs="方正仿宋_GBK"/>
          <w:color w:val="auto"/>
          <w:sz w:val="32"/>
          <w:szCs w:val="32"/>
        </w:rPr>
        <w:t>农业增效、农民增收，</w:t>
      </w:r>
      <w:r>
        <w:rPr>
          <w:rFonts w:hint="eastAsia" w:ascii="方正仿宋_GBK" w:hAnsi="方正仿宋_GBK" w:eastAsia="方正仿宋_GBK" w:cs="方正仿宋_GBK"/>
          <w:color w:val="auto"/>
          <w:sz w:val="32"/>
          <w:szCs w:val="32"/>
          <w:lang w:val="en-US" w:eastAsia="zh-CN"/>
        </w:rPr>
        <w:t>构筑</w:t>
      </w:r>
      <w:r>
        <w:rPr>
          <w:rFonts w:hint="eastAsia" w:ascii="方正仿宋_GBK" w:hAnsi="方正仿宋_GBK" w:eastAsia="方正仿宋_GBK" w:cs="方正仿宋_GBK"/>
          <w:color w:val="auto"/>
          <w:sz w:val="32"/>
          <w:szCs w:val="32"/>
        </w:rPr>
        <w:t>市场平台，增加科技含量，实施区域开发，提高农业综合生产能力，提高农产品市场</w:t>
      </w:r>
      <w:r>
        <w:rPr>
          <w:rFonts w:hint="eastAsia" w:ascii="方正仿宋_GBK" w:hAnsi="方正仿宋_GBK" w:eastAsia="方正仿宋_GBK" w:cs="方正仿宋_GBK"/>
          <w:color w:val="auto"/>
          <w:sz w:val="32"/>
          <w:szCs w:val="32"/>
          <w:lang w:eastAsia="zh-CN"/>
        </w:rPr>
        <w:t>竞争能力</w:t>
      </w:r>
      <w:r>
        <w:rPr>
          <w:rFonts w:hint="eastAsia" w:ascii="方正仿宋_GBK" w:hAnsi="方正仿宋_GBK" w:eastAsia="方正仿宋_GBK" w:cs="方正仿宋_GBK"/>
          <w:color w:val="auto"/>
          <w:sz w:val="32"/>
          <w:szCs w:val="32"/>
        </w:rPr>
        <w:t>。要发展农业就必须保证水资源的可持续性，只有对水资源进行适宜的利用和调整，才能使</w:t>
      </w:r>
      <w:r>
        <w:rPr>
          <w:rFonts w:hint="eastAsia" w:ascii="方正仿宋_GBK" w:hAnsi="方正仿宋_GBK" w:eastAsia="方正仿宋_GBK" w:cs="方正仿宋_GBK"/>
          <w:color w:val="auto"/>
          <w:sz w:val="32"/>
          <w:szCs w:val="32"/>
          <w:lang w:val="en-US" w:eastAsia="zh-CN"/>
        </w:rPr>
        <w:t>其向着</w:t>
      </w:r>
      <w:r>
        <w:rPr>
          <w:rFonts w:hint="eastAsia" w:ascii="方正仿宋_GBK" w:hAnsi="方正仿宋_GBK" w:eastAsia="方正仿宋_GBK" w:cs="方正仿宋_GBK"/>
          <w:color w:val="auto"/>
          <w:sz w:val="32"/>
          <w:szCs w:val="32"/>
        </w:rPr>
        <w:t>有利于农业生态可持续性方向发展。因此保证农业生产持续稳定向前发展，拥有良好的生态环境，就</w:t>
      </w:r>
      <w:r>
        <w:rPr>
          <w:rFonts w:hint="eastAsia" w:ascii="方正仿宋_GBK" w:hAnsi="方正仿宋_GBK" w:eastAsia="方正仿宋_GBK" w:cs="方正仿宋_GBK"/>
          <w:color w:val="auto"/>
          <w:sz w:val="32"/>
          <w:szCs w:val="32"/>
          <w:lang w:val="en-US" w:eastAsia="zh-CN"/>
        </w:rPr>
        <w:t>必</w:t>
      </w:r>
      <w:r>
        <w:rPr>
          <w:rFonts w:hint="eastAsia" w:ascii="方正仿宋_GBK" w:hAnsi="方正仿宋_GBK" w:eastAsia="方正仿宋_GBK" w:cs="方正仿宋_GBK"/>
          <w:color w:val="auto"/>
          <w:sz w:val="32"/>
          <w:szCs w:val="32"/>
        </w:rPr>
        <w:t>须重视水资源的合理开发、利用。节约用水是提高用水效率，增强水的承载能力的主要方法之</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rPr>
        <w:t>也是水资源可持续利用的重要环节。只有采取必要的节水方法和措施，才能不断满足人口、经济、环境与发展的目标需求，使农业发展与水资源可持续发展承受能力相适应。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由于地方财政收入有限，对农业投入不大，项目区耕地农田基本建设状况非常落后，水利设施年久失修，水毁较为严重，处于带病运作状态。加上农业灌溉方式落后，严重制约了当地农村经济的发展，也一定程度地影响了当地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通过实施伽师县克孜勒博依镇生态综合整治项目，采取工程措施解决项目区渠不配套，渠系渗漏严重，渠系水利用系数低现状。达到改善灌区灌溉条件，提升灌区人民生活水平，促进美丽乡村建设。该项目的实施符合</w:t>
      </w:r>
      <w:r>
        <w:rPr>
          <w:rFonts w:hint="eastAsia" w:ascii="方正仿宋_GBK" w:hAnsi="方正仿宋_GBK" w:eastAsia="方正仿宋_GBK" w:cs="方正仿宋_GBK"/>
          <w:color w:val="auto"/>
          <w:sz w:val="32"/>
          <w:szCs w:val="32"/>
          <w:lang w:val="en-US" w:eastAsia="zh-CN"/>
        </w:rPr>
        <w:t>伽师</w:t>
      </w:r>
      <w:r>
        <w:rPr>
          <w:rFonts w:hint="eastAsia" w:ascii="方正仿宋_GBK" w:hAnsi="方正仿宋_GBK" w:eastAsia="方正仿宋_GBK" w:cs="方正仿宋_GBK"/>
          <w:color w:val="auto"/>
          <w:sz w:val="32"/>
          <w:szCs w:val="32"/>
        </w:rPr>
        <w:t>县水利发展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十</w:t>
      </w:r>
      <w:r>
        <w:rPr>
          <w:rFonts w:hint="eastAsia" w:ascii="方正仿宋_GBK" w:hAnsi="方正仿宋_GBK" w:eastAsia="方正仿宋_GBK" w:cs="方正仿宋_GBK"/>
          <w:color w:val="auto"/>
          <w:sz w:val="32"/>
          <w:szCs w:val="32"/>
          <w:lang w:val="en-US" w:eastAsia="zh-CN"/>
        </w:rPr>
        <w:t>四</w:t>
      </w:r>
      <w:r>
        <w:rPr>
          <w:rFonts w:hint="eastAsia" w:ascii="方正仿宋_GBK" w:hAnsi="方正仿宋_GBK" w:eastAsia="方正仿宋_GBK" w:cs="方正仿宋_GBK"/>
          <w:color w:val="auto"/>
          <w:sz w:val="32"/>
          <w:szCs w:val="32"/>
        </w:rPr>
        <w:t>五</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规划，能够改善</w:t>
      </w:r>
      <w:r>
        <w:rPr>
          <w:rFonts w:hint="eastAsia" w:ascii="方正仿宋_GBK" w:hAnsi="方正仿宋_GBK" w:eastAsia="方正仿宋_GBK" w:cs="方正仿宋_GBK"/>
          <w:color w:val="auto"/>
          <w:sz w:val="32"/>
          <w:szCs w:val="32"/>
          <w:lang w:val="en-US" w:eastAsia="zh-CN"/>
        </w:rPr>
        <w:t>伽师</w:t>
      </w:r>
      <w:r>
        <w:rPr>
          <w:rFonts w:hint="eastAsia" w:ascii="方正仿宋_GBK" w:hAnsi="方正仿宋_GBK" w:eastAsia="方正仿宋_GBK" w:cs="方正仿宋_GBK"/>
          <w:color w:val="auto"/>
          <w:sz w:val="32"/>
          <w:szCs w:val="32"/>
        </w:rPr>
        <w:t>县水利基础设施薄弱的现状。</w:t>
      </w:r>
    </w:p>
    <w:bookmarkEnd w:id="44"/>
    <w:bookmarkEnd w:id="45"/>
    <w:bookmarkEnd w:id="46"/>
    <w:bookmarkEnd w:id="47"/>
    <w:bookmarkEnd w:id="48"/>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1"/>
        <w:rPr>
          <w:rFonts w:hint="eastAsia" w:ascii="方正仿宋_GBK" w:hAnsi="方正仿宋_GBK" w:eastAsia="方正仿宋_GBK" w:cs="方正仿宋_GBK"/>
          <w:b/>
          <w:bCs/>
          <w:color w:val="auto"/>
          <w:sz w:val="32"/>
          <w:szCs w:val="32"/>
          <w:highlight w:val="none"/>
          <w:lang w:eastAsia="zh-CN"/>
        </w:rPr>
      </w:pPr>
      <w:bookmarkStart w:id="51" w:name="_Toc16353"/>
      <w:bookmarkStart w:id="52" w:name="_Toc28238_WPSOffice_Level3"/>
      <w:bookmarkStart w:id="53" w:name="_Toc13705_WPSOffice_Level3"/>
      <w:r>
        <w:rPr>
          <w:rFonts w:hint="eastAsia" w:ascii="方正仿宋_GBK" w:hAnsi="方正仿宋_GBK" w:eastAsia="方正仿宋_GBK" w:cs="方正仿宋_GBK"/>
          <w:b/>
          <w:bCs/>
          <w:color w:val="auto"/>
          <w:sz w:val="32"/>
          <w:szCs w:val="32"/>
          <w:highlight w:val="none"/>
          <w:lang w:val="en-US" w:eastAsia="zh-CN"/>
        </w:rPr>
        <w:t>2.</w:t>
      </w:r>
      <w:r>
        <w:rPr>
          <w:rFonts w:hint="eastAsia" w:ascii="方正仿宋_GBK" w:hAnsi="方正仿宋_GBK" w:eastAsia="方正仿宋_GBK" w:cs="方正仿宋_GBK"/>
          <w:b/>
          <w:bCs/>
          <w:color w:val="auto"/>
          <w:sz w:val="32"/>
          <w:szCs w:val="32"/>
          <w:highlight w:val="none"/>
        </w:rPr>
        <w:t>项目内容及</w:t>
      </w:r>
      <w:bookmarkEnd w:id="51"/>
      <w:r>
        <w:rPr>
          <w:rFonts w:hint="eastAsia" w:ascii="方正仿宋_GBK" w:hAnsi="方正仿宋_GBK" w:eastAsia="方正仿宋_GBK" w:cs="方正仿宋_GBK"/>
          <w:b/>
          <w:bCs/>
          <w:color w:val="auto"/>
          <w:sz w:val="32"/>
          <w:szCs w:val="32"/>
          <w:highlight w:val="none"/>
          <w:lang w:eastAsia="zh-CN"/>
        </w:rPr>
        <w:t>实施情况</w:t>
      </w:r>
      <w:bookmarkEnd w:id="52"/>
      <w:bookmarkEnd w:id="53"/>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2"/>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1</w:t>
      </w: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rPr>
        <w:t>项目内容</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本项目主要用于伽师县克孜勒博依镇坎迪尔勒克（19）村实施24113.43亩定植新梅、杏李，实施内容包括土地平整及高效节水、排碱渠、电路等配套附属工程。主要在工程建设区因地制宜地采取拦渣、土地整治工程及绿化（主体设计）等防治措施，达到有效治理工程建设防治责任范围内的水土流失，改善生态环境的目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2"/>
        <w:rPr>
          <w:rFonts w:hint="eastAsia" w:ascii="方正仿宋_GBK" w:hAnsi="方正仿宋_GBK" w:eastAsia="方正仿宋_GBK" w:cs="方正仿宋_GBK"/>
          <w:b/>
          <w:bCs/>
          <w:color w:val="auto"/>
          <w:kern w:val="0"/>
          <w:sz w:val="32"/>
          <w:szCs w:val="32"/>
          <w:highlight w:val="none"/>
          <w:u w:val="none"/>
          <w:shd w:val="clear" w:color="auto" w:fill="auto"/>
          <w:lang w:val="en-US" w:eastAsia="zh-CN" w:bidi="zh-TW"/>
        </w:rPr>
      </w:pPr>
      <w:r>
        <w:rPr>
          <w:rFonts w:hint="eastAsia" w:ascii="方正仿宋_GBK" w:hAnsi="方正仿宋_GBK" w:eastAsia="方正仿宋_GBK" w:cs="方正仿宋_GBK"/>
          <w:b/>
          <w:bCs/>
          <w:color w:val="auto"/>
          <w:kern w:val="0"/>
          <w:sz w:val="32"/>
          <w:szCs w:val="32"/>
          <w:highlight w:val="none"/>
          <w:u w:val="none"/>
          <w:shd w:val="clear" w:color="auto" w:fill="auto"/>
          <w:lang w:val="en-US" w:eastAsia="zh-CN" w:bidi="zh-TW"/>
        </w:rPr>
        <w:t>（2）项目实施情况</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Fonts w:hint="eastAsia" w:ascii="方正仿宋_GBK" w:hAnsi="方正仿宋_GBK" w:eastAsia="方正仿宋_GBK" w:cs="方正仿宋_GBK"/>
          <w:b w:val="0"/>
          <w:bCs/>
          <w:color w:val="auto"/>
          <w:kern w:val="0"/>
          <w:sz w:val="32"/>
          <w:szCs w:val="32"/>
          <w:lang w:val="en-US" w:eastAsia="zh-CN"/>
        </w:rPr>
        <w:t>本项目涉及的单位包括伽师县发展和改革委员会、伽师县环境局、伽师县自然资源局、</w:t>
      </w:r>
      <w:r>
        <w:rPr>
          <w:rStyle w:val="14"/>
          <w:rFonts w:hint="eastAsia" w:ascii="方正仿宋_GBK" w:hAnsi="方正仿宋_GBK" w:eastAsia="方正仿宋_GBK" w:cs="方正仿宋_GBK"/>
          <w:b w:val="0"/>
          <w:bCs w:val="0"/>
          <w:i w:val="0"/>
          <w:caps w:val="0"/>
          <w:color w:val="auto"/>
          <w:spacing w:val="0"/>
          <w:w w:val="100"/>
          <w:kern w:val="0"/>
          <w:sz w:val="32"/>
          <w:szCs w:val="32"/>
          <w:lang w:val="en-US" w:eastAsia="zh-CN" w:bidi="ar-SA"/>
        </w:rPr>
        <w:t>2022年项目主要完成</w:t>
      </w:r>
      <w:r>
        <w:rPr>
          <w:rFonts w:hint="eastAsia" w:ascii="方正仿宋_GBK" w:hAnsi="方正仿宋_GBK" w:eastAsia="方正仿宋_GBK" w:cs="方正仿宋_GBK"/>
          <w:color w:val="auto"/>
          <w:sz w:val="32"/>
          <w:szCs w:val="32"/>
        </w:rPr>
        <w:t>伽师县克孜勒博依镇</w:t>
      </w:r>
      <w:r>
        <w:rPr>
          <w:rFonts w:hint="eastAsia" w:ascii="方正仿宋_GBK" w:hAnsi="方正仿宋_GBK" w:eastAsia="方正仿宋_GBK" w:cs="方正仿宋_GBK"/>
          <w:color w:val="auto"/>
          <w:sz w:val="32"/>
          <w:szCs w:val="32"/>
          <w:lang w:val="en-US" w:eastAsia="zh-CN"/>
        </w:rPr>
        <w:t>坎迪尔勒克（19）村24113.43亩土地平整及高效节水、排碱渠、电路等配套附属工程。</w:t>
      </w:r>
      <w:r>
        <w:rPr>
          <w:rStyle w:val="14"/>
          <w:rFonts w:hint="eastAsia" w:ascii="方正仿宋_GBK" w:hAnsi="方正仿宋_GBK" w:eastAsia="方正仿宋_GBK" w:cs="方正仿宋_GBK"/>
          <w:b w:val="0"/>
          <w:bCs w:val="0"/>
          <w:i w:val="0"/>
          <w:caps w:val="0"/>
          <w:color w:val="auto"/>
          <w:spacing w:val="0"/>
          <w:w w:val="100"/>
          <w:kern w:val="0"/>
          <w:sz w:val="32"/>
          <w:szCs w:val="32"/>
          <w:highlight w:val="none"/>
          <w:lang w:val="en-US" w:eastAsia="zh-CN" w:bidi="ar-SA"/>
        </w:rPr>
        <w:t>截至</w:t>
      </w:r>
      <w:bookmarkStart w:id="317" w:name="_GoBack"/>
      <w:bookmarkEnd w:id="317"/>
      <w:r>
        <w:rPr>
          <w:rStyle w:val="14"/>
          <w:rFonts w:hint="eastAsia" w:ascii="方正仿宋_GBK" w:hAnsi="方正仿宋_GBK" w:eastAsia="方正仿宋_GBK" w:cs="方正仿宋_GBK"/>
          <w:b w:val="0"/>
          <w:bCs w:val="0"/>
          <w:i w:val="0"/>
          <w:caps w:val="0"/>
          <w:color w:val="auto"/>
          <w:spacing w:val="0"/>
          <w:w w:val="100"/>
          <w:kern w:val="0"/>
          <w:sz w:val="32"/>
          <w:szCs w:val="32"/>
          <w:highlight w:val="none"/>
          <w:lang w:val="en-US" w:eastAsia="zh-CN" w:bidi="ar-SA"/>
        </w:rPr>
        <w:t>2022年12月31日该项目资金经投入8821.67万元，项目当年施工内容按计划实施完毕</w:t>
      </w: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w:t>
      </w:r>
    </w:p>
    <w:p>
      <w:pPr>
        <w:keepNext w:val="0"/>
        <w:keepLines w:val="0"/>
        <w:pageBreakBefore w:val="0"/>
        <w:kinsoku/>
        <w:wordWrap/>
        <w:topLinePunct w:val="0"/>
        <w:bidi w:val="0"/>
        <w:snapToGrid/>
        <w:spacing w:line="560" w:lineRule="exact"/>
        <w:ind w:firstLine="643" w:firstLineChars="200"/>
        <w:jc w:val="both"/>
        <w:rPr>
          <w:rFonts w:hint="eastAsia" w:ascii="方正仿宋_GBK" w:hAnsi="方正仿宋_GBK" w:eastAsia="方正仿宋_GBK" w:cs="方正仿宋_GBK"/>
          <w:b/>
          <w:bCs w:val="0"/>
          <w:color w:val="auto"/>
          <w:kern w:val="0"/>
          <w:sz w:val="32"/>
          <w:szCs w:val="32"/>
          <w:highlight w:val="none"/>
        </w:rPr>
      </w:pPr>
      <w:bookmarkStart w:id="54" w:name="_Toc30835_WPSOffice_Level3"/>
      <w:bookmarkStart w:id="55" w:name="_Toc14995_WPSOffice_Level3"/>
      <w:r>
        <w:rPr>
          <w:rFonts w:hint="eastAsia" w:ascii="方正仿宋_GBK" w:hAnsi="方正仿宋_GBK" w:eastAsia="方正仿宋_GBK" w:cs="方正仿宋_GBK"/>
          <w:b/>
          <w:bCs w:val="0"/>
          <w:color w:val="auto"/>
          <w:kern w:val="0"/>
          <w:sz w:val="32"/>
          <w:szCs w:val="32"/>
          <w:highlight w:val="none"/>
        </w:rPr>
        <w:t>3.评价时段</w:t>
      </w:r>
      <w:bookmarkEnd w:id="54"/>
      <w:bookmarkEnd w:id="55"/>
    </w:p>
    <w:p>
      <w:pPr>
        <w:pStyle w:val="16"/>
        <w:keepNext w:val="0"/>
        <w:keepLines w:val="0"/>
        <w:pageBreakBefore w:val="0"/>
        <w:widowControl/>
        <w:kinsoku/>
        <w:wordWrap/>
        <w:overflowPunct/>
        <w:topLinePunct w:val="0"/>
        <w:autoSpaceDE/>
        <w:autoSpaceDN/>
        <w:bidi w:val="0"/>
        <w:adjustRightInd/>
        <w:snapToGrid/>
        <w:spacing w:line="560" w:lineRule="exact"/>
        <w:ind w:firstLine="664" w:firstLineChars="200"/>
        <w:textAlignment w:val="auto"/>
        <w:rPr>
          <w:rFonts w:hint="eastAsia" w:ascii="方正仿宋_GBK" w:hAnsi="方正仿宋_GBK" w:eastAsia="方正仿宋_GBK" w:cs="方正仿宋_GBK"/>
          <w:bCs/>
          <w:color w:val="auto"/>
          <w:kern w:val="0"/>
          <w:sz w:val="32"/>
          <w:szCs w:val="32"/>
          <w:highlight w:val="yellow"/>
        </w:rPr>
      </w:pPr>
      <w:bookmarkStart w:id="56" w:name="_Toc7296"/>
      <w:bookmarkStart w:id="57" w:name="_Toc25161"/>
      <w:bookmarkStart w:id="58" w:name="_Toc4508"/>
      <w:bookmarkStart w:id="59" w:name="_Toc19584"/>
      <w:bookmarkStart w:id="60" w:name="_Toc12750"/>
      <w:bookmarkStart w:id="61" w:name="_Toc26519"/>
      <w:bookmarkStart w:id="62" w:name="_Toc31648"/>
      <w:bookmarkStart w:id="63" w:name="_Toc13099"/>
      <w:r>
        <w:rPr>
          <w:rFonts w:hint="eastAsia" w:ascii="方正仿宋_GBK" w:hAnsi="方正仿宋_GBK" w:eastAsia="方正仿宋_GBK" w:cs="方正仿宋_GBK"/>
          <w:bCs/>
          <w:color w:val="auto"/>
          <w:kern w:val="0"/>
          <w:sz w:val="32"/>
          <w:szCs w:val="32"/>
          <w:highlight w:val="none"/>
        </w:rPr>
        <w:t>本</w:t>
      </w:r>
      <w:r>
        <w:rPr>
          <w:rFonts w:hint="eastAsia" w:ascii="方正仿宋_GBK" w:hAnsi="方正仿宋_GBK" w:eastAsia="方正仿宋_GBK" w:cs="方正仿宋_GBK"/>
          <w:bCs/>
          <w:color w:val="auto"/>
          <w:kern w:val="0"/>
          <w:sz w:val="32"/>
          <w:szCs w:val="32"/>
          <w:highlight w:val="none"/>
          <w:lang w:val="en-US" w:eastAsia="zh-CN"/>
        </w:rPr>
        <w:t>项目</w:t>
      </w:r>
      <w:r>
        <w:rPr>
          <w:rFonts w:hint="eastAsia" w:ascii="方正仿宋_GBK" w:hAnsi="方正仿宋_GBK" w:eastAsia="方正仿宋_GBK" w:cs="方正仿宋_GBK"/>
          <w:bCs/>
          <w:color w:val="auto"/>
          <w:kern w:val="0"/>
          <w:sz w:val="32"/>
          <w:szCs w:val="32"/>
          <w:highlight w:val="none"/>
        </w:rPr>
        <w:t>资金的评价时段为20</w:t>
      </w:r>
      <w:r>
        <w:rPr>
          <w:rFonts w:hint="eastAsia" w:ascii="方正仿宋_GBK" w:hAnsi="方正仿宋_GBK" w:eastAsia="方正仿宋_GBK" w:cs="方正仿宋_GBK"/>
          <w:bCs/>
          <w:color w:val="auto"/>
          <w:kern w:val="0"/>
          <w:sz w:val="32"/>
          <w:szCs w:val="32"/>
          <w:highlight w:val="none"/>
          <w:lang w:val="en-US" w:eastAsia="zh-CN"/>
        </w:rPr>
        <w:t>22</w:t>
      </w:r>
      <w:r>
        <w:rPr>
          <w:rFonts w:hint="eastAsia" w:ascii="方正仿宋_GBK" w:hAnsi="方正仿宋_GBK" w:eastAsia="方正仿宋_GBK" w:cs="方正仿宋_GBK"/>
          <w:bCs/>
          <w:color w:val="auto"/>
          <w:kern w:val="0"/>
          <w:sz w:val="32"/>
          <w:szCs w:val="32"/>
          <w:highlight w:val="none"/>
        </w:rPr>
        <w:t>年</w:t>
      </w:r>
      <w:r>
        <w:rPr>
          <w:rFonts w:hint="eastAsia" w:ascii="方正仿宋_GBK" w:hAnsi="方正仿宋_GBK" w:eastAsia="方正仿宋_GBK" w:cs="方正仿宋_GBK"/>
          <w:bCs/>
          <w:color w:val="auto"/>
          <w:kern w:val="0"/>
          <w:sz w:val="32"/>
          <w:szCs w:val="32"/>
          <w:highlight w:val="none"/>
          <w:lang w:val="en-US" w:eastAsia="zh-CN"/>
        </w:rPr>
        <w:t>1</w:t>
      </w:r>
      <w:r>
        <w:rPr>
          <w:rFonts w:hint="eastAsia" w:ascii="方正仿宋_GBK" w:hAnsi="方正仿宋_GBK" w:eastAsia="方正仿宋_GBK" w:cs="方正仿宋_GBK"/>
          <w:bCs/>
          <w:color w:val="auto"/>
          <w:kern w:val="0"/>
          <w:sz w:val="32"/>
          <w:szCs w:val="32"/>
          <w:highlight w:val="none"/>
        </w:rPr>
        <w:t>月</w:t>
      </w:r>
      <w:r>
        <w:rPr>
          <w:rFonts w:hint="eastAsia" w:ascii="方正仿宋_GBK" w:hAnsi="方正仿宋_GBK" w:eastAsia="方正仿宋_GBK" w:cs="方正仿宋_GBK"/>
          <w:bCs/>
          <w:color w:val="auto"/>
          <w:kern w:val="0"/>
          <w:sz w:val="32"/>
          <w:szCs w:val="32"/>
          <w:highlight w:val="none"/>
          <w:lang w:val="en-US" w:eastAsia="zh-CN"/>
        </w:rPr>
        <w:t>1</w:t>
      </w:r>
      <w:r>
        <w:rPr>
          <w:rFonts w:hint="eastAsia" w:ascii="方正仿宋_GBK" w:hAnsi="方正仿宋_GBK" w:eastAsia="方正仿宋_GBK" w:cs="方正仿宋_GBK"/>
          <w:bCs/>
          <w:color w:val="auto"/>
          <w:kern w:val="0"/>
          <w:sz w:val="32"/>
          <w:szCs w:val="32"/>
          <w:highlight w:val="none"/>
        </w:rPr>
        <w:t>日</w:t>
      </w:r>
      <w:r>
        <w:rPr>
          <w:rFonts w:hint="eastAsia" w:ascii="方正仿宋_GBK" w:hAnsi="方正仿宋_GBK" w:eastAsia="方正仿宋_GBK" w:cs="方正仿宋_GBK"/>
          <w:bCs/>
          <w:color w:val="auto"/>
          <w:kern w:val="0"/>
          <w:sz w:val="32"/>
          <w:szCs w:val="32"/>
          <w:highlight w:val="none"/>
          <w:lang w:eastAsia="zh-CN"/>
        </w:rPr>
        <w:t>－</w:t>
      </w:r>
      <w:r>
        <w:rPr>
          <w:rFonts w:hint="eastAsia" w:ascii="方正仿宋_GBK" w:hAnsi="方正仿宋_GBK" w:eastAsia="方正仿宋_GBK" w:cs="方正仿宋_GBK"/>
          <w:bCs/>
          <w:color w:val="auto"/>
          <w:kern w:val="0"/>
          <w:sz w:val="32"/>
          <w:szCs w:val="32"/>
          <w:highlight w:val="none"/>
        </w:rPr>
        <w:t>20</w:t>
      </w:r>
      <w:r>
        <w:rPr>
          <w:rFonts w:hint="eastAsia" w:ascii="方正仿宋_GBK" w:hAnsi="方正仿宋_GBK" w:eastAsia="方正仿宋_GBK" w:cs="方正仿宋_GBK"/>
          <w:bCs/>
          <w:color w:val="auto"/>
          <w:kern w:val="0"/>
          <w:sz w:val="32"/>
          <w:szCs w:val="32"/>
          <w:highlight w:val="none"/>
          <w:lang w:val="en-US" w:eastAsia="zh-CN"/>
        </w:rPr>
        <w:t>22</w:t>
      </w:r>
      <w:r>
        <w:rPr>
          <w:rFonts w:hint="eastAsia" w:ascii="方正仿宋_GBK" w:hAnsi="方正仿宋_GBK" w:eastAsia="方正仿宋_GBK" w:cs="方正仿宋_GBK"/>
          <w:bCs/>
          <w:color w:val="auto"/>
          <w:kern w:val="0"/>
          <w:sz w:val="32"/>
          <w:szCs w:val="32"/>
          <w:highlight w:val="none"/>
        </w:rPr>
        <w:t>年</w:t>
      </w:r>
      <w:r>
        <w:rPr>
          <w:rFonts w:hint="eastAsia" w:ascii="方正仿宋_GBK" w:hAnsi="方正仿宋_GBK" w:eastAsia="方正仿宋_GBK" w:cs="方正仿宋_GBK"/>
          <w:bCs/>
          <w:color w:val="auto"/>
          <w:kern w:val="0"/>
          <w:sz w:val="32"/>
          <w:szCs w:val="32"/>
          <w:highlight w:val="none"/>
          <w:lang w:val="en-US" w:eastAsia="zh-CN"/>
        </w:rPr>
        <w:t>12</w:t>
      </w:r>
      <w:r>
        <w:rPr>
          <w:rFonts w:hint="eastAsia" w:ascii="方正仿宋_GBK" w:hAnsi="方正仿宋_GBK" w:eastAsia="方正仿宋_GBK" w:cs="方正仿宋_GBK"/>
          <w:bCs/>
          <w:color w:val="auto"/>
          <w:kern w:val="0"/>
          <w:sz w:val="32"/>
          <w:szCs w:val="32"/>
          <w:highlight w:val="none"/>
        </w:rPr>
        <w:t>月</w:t>
      </w:r>
      <w:r>
        <w:rPr>
          <w:rFonts w:hint="eastAsia" w:ascii="方正仿宋_GBK" w:hAnsi="方正仿宋_GBK" w:eastAsia="方正仿宋_GBK" w:cs="方正仿宋_GBK"/>
          <w:bCs/>
          <w:color w:val="auto"/>
          <w:kern w:val="0"/>
          <w:sz w:val="32"/>
          <w:szCs w:val="32"/>
          <w:highlight w:val="none"/>
          <w:lang w:val="en-US" w:eastAsia="zh-CN"/>
        </w:rPr>
        <w:t>31</w:t>
      </w:r>
      <w:r>
        <w:rPr>
          <w:rFonts w:hint="eastAsia" w:ascii="方正仿宋_GBK" w:hAnsi="方正仿宋_GBK" w:eastAsia="方正仿宋_GBK" w:cs="方正仿宋_GBK"/>
          <w:bCs/>
          <w:color w:val="auto"/>
          <w:kern w:val="0"/>
          <w:sz w:val="32"/>
          <w:szCs w:val="32"/>
          <w:highlight w:val="none"/>
        </w:rPr>
        <w:t>日。</w:t>
      </w:r>
      <w:bookmarkEnd w:id="56"/>
      <w:bookmarkEnd w:id="57"/>
      <w:bookmarkEnd w:id="58"/>
      <w:bookmarkEnd w:id="59"/>
      <w:bookmarkEnd w:id="60"/>
      <w:bookmarkEnd w:id="61"/>
      <w:bookmarkEnd w:id="62"/>
      <w:bookmarkEnd w:id="63"/>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1"/>
        <w:rPr>
          <w:rFonts w:hint="eastAsia" w:ascii="方正仿宋_GBK" w:hAnsi="方正仿宋_GBK" w:eastAsia="方正仿宋_GBK" w:cs="方正仿宋_GBK"/>
          <w:b/>
          <w:color w:val="auto"/>
          <w:sz w:val="32"/>
          <w:szCs w:val="32"/>
          <w:highlight w:val="none"/>
        </w:rPr>
      </w:pPr>
      <w:bookmarkStart w:id="64" w:name="_Toc31556_WPSOffice_Level3"/>
      <w:bookmarkStart w:id="65" w:name="_Toc22670_WPSOffice_Level3"/>
      <w:bookmarkStart w:id="66" w:name="_Toc6643"/>
      <w:r>
        <w:rPr>
          <w:rFonts w:hint="eastAsia" w:ascii="方正仿宋_GBK" w:hAnsi="方正仿宋_GBK" w:eastAsia="方正仿宋_GBK" w:cs="方正仿宋_GBK"/>
          <w:b/>
          <w:color w:val="auto"/>
          <w:sz w:val="32"/>
          <w:szCs w:val="32"/>
          <w:highlight w:val="none"/>
          <w:lang w:val="en-US" w:eastAsia="zh-CN"/>
        </w:rPr>
        <w:t>4.</w:t>
      </w:r>
      <w:r>
        <w:rPr>
          <w:rFonts w:hint="eastAsia" w:ascii="方正仿宋_GBK" w:hAnsi="方正仿宋_GBK" w:eastAsia="方正仿宋_GBK" w:cs="方正仿宋_GBK"/>
          <w:b/>
          <w:color w:val="auto"/>
          <w:sz w:val="32"/>
          <w:szCs w:val="32"/>
          <w:highlight w:val="none"/>
        </w:rPr>
        <w:t>资金</w:t>
      </w:r>
      <w:r>
        <w:rPr>
          <w:rFonts w:hint="eastAsia" w:ascii="方正仿宋_GBK" w:hAnsi="方正仿宋_GBK" w:eastAsia="方正仿宋_GBK" w:cs="方正仿宋_GBK"/>
          <w:b/>
          <w:color w:val="auto"/>
          <w:sz w:val="32"/>
          <w:szCs w:val="32"/>
          <w:highlight w:val="none"/>
          <w:lang w:eastAsia="zh-CN"/>
        </w:rPr>
        <w:t>投入</w:t>
      </w:r>
      <w:r>
        <w:rPr>
          <w:rFonts w:hint="eastAsia" w:ascii="方正仿宋_GBK" w:hAnsi="方正仿宋_GBK" w:eastAsia="方正仿宋_GBK" w:cs="方正仿宋_GBK"/>
          <w:b/>
          <w:color w:val="auto"/>
          <w:sz w:val="32"/>
          <w:szCs w:val="32"/>
          <w:highlight w:val="none"/>
        </w:rPr>
        <w:t>及使用情况</w:t>
      </w:r>
      <w:bookmarkEnd w:id="64"/>
      <w:bookmarkEnd w:id="65"/>
      <w:bookmarkEnd w:id="66"/>
    </w:p>
    <w:p>
      <w:pPr>
        <w:pStyle w:val="24"/>
        <w:pageBreakBefore w:val="0"/>
        <w:kinsoku/>
        <w:wordWrap/>
        <w:bidi w:val="0"/>
        <w:spacing w:line="570" w:lineRule="exact"/>
        <w:ind w:firstLine="640"/>
        <w:jc w:val="both"/>
        <w:rPr>
          <w:rFonts w:hint="eastAsia" w:ascii="方正仿宋_GBK" w:hAnsi="方正仿宋_GBK" w:eastAsia="方正仿宋_GBK" w:cs="方正仿宋_GBK"/>
          <w:b/>
          <w:bCs/>
          <w:color w:val="auto"/>
          <w:spacing w:val="6"/>
          <w:kern w:val="0"/>
          <w:sz w:val="32"/>
          <w:szCs w:val="32"/>
          <w:highlight w:val="none"/>
          <w:lang w:val="en-US" w:eastAsia="zh-CN" w:bidi="ar"/>
        </w:rPr>
      </w:pPr>
      <w:bookmarkStart w:id="67" w:name="_Toc6508"/>
      <w:bookmarkStart w:id="68" w:name="_Toc25978"/>
      <w:r>
        <w:rPr>
          <w:rFonts w:hint="eastAsia" w:ascii="方正仿宋_GBK" w:hAnsi="方正仿宋_GBK" w:eastAsia="方正仿宋_GBK" w:cs="方正仿宋_GBK"/>
          <w:b/>
          <w:bCs/>
          <w:color w:val="auto"/>
          <w:spacing w:val="6"/>
          <w:kern w:val="0"/>
          <w:sz w:val="32"/>
          <w:szCs w:val="32"/>
          <w:highlight w:val="none"/>
          <w:lang w:val="en-US" w:eastAsia="zh-CN" w:bidi="ar"/>
        </w:rPr>
        <w:t>（1）预算安排情况</w:t>
      </w:r>
    </w:p>
    <w:p>
      <w:pPr>
        <w:pStyle w:val="24"/>
        <w:pageBreakBefore w:val="0"/>
        <w:kinsoku/>
        <w:wordWrap/>
        <w:bidi w:val="0"/>
        <w:spacing w:line="570" w:lineRule="exact"/>
        <w:ind w:firstLine="64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该项目预算资金总额8821.67万元，为</w:t>
      </w:r>
      <w:r>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t>专项债券资金</w:t>
      </w:r>
      <w:r>
        <w:rPr>
          <w:rFonts w:hint="eastAsia" w:ascii="方正仿宋_GBK" w:hAnsi="方正仿宋_GBK" w:eastAsia="方正仿宋_GBK" w:cs="方正仿宋_GBK"/>
          <w:b w:val="0"/>
          <w:bCs w:val="0"/>
          <w:color w:val="auto"/>
          <w:sz w:val="32"/>
          <w:szCs w:val="32"/>
          <w:highlight w:val="none"/>
          <w:lang w:val="en-US" w:eastAsia="zh-CN"/>
        </w:rPr>
        <w:t>。实际到位资金8821.67万元，资金到位率为100%。</w:t>
      </w:r>
    </w:p>
    <w:p>
      <w:pPr>
        <w:pStyle w:val="24"/>
        <w:pageBreakBefore w:val="0"/>
        <w:numPr>
          <w:ilvl w:val="0"/>
          <w:numId w:val="2"/>
        </w:numPr>
        <w:kinsoku/>
        <w:wordWrap/>
        <w:bidi w:val="0"/>
        <w:spacing w:line="570" w:lineRule="exact"/>
        <w:ind w:firstLine="643" w:firstLineChars="200"/>
        <w:jc w:val="both"/>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预算执行情况</w:t>
      </w:r>
    </w:p>
    <w:p>
      <w:pPr>
        <w:pStyle w:val="24"/>
        <w:pageBreakBefore w:val="0"/>
        <w:numPr>
          <w:ilvl w:val="0"/>
          <w:numId w:val="0"/>
        </w:numPr>
        <w:kinsoku/>
        <w:wordWrap/>
        <w:bidi w:val="0"/>
        <w:spacing w:line="570" w:lineRule="exact"/>
        <w:ind w:firstLine="640" w:firstLineChars="200"/>
        <w:jc w:val="both"/>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该项目实际支出资金总额为8821.67万元，预算资金执行率为100%，详细资金支出明细见“表1-1：伽师县克孜勒博依生态综合整治工程（现代农业产业园）项目支出明细表”。</w:t>
      </w:r>
    </w:p>
    <w:tbl>
      <w:tblPr>
        <w:tblStyle w:val="11"/>
        <w:tblW w:w="87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99"/>
        <w:gridCol w:w="1340"/>
        <w:gridCol w:w="1340"/>
        <w:gridCol w:w="2560"/>
        <w:gridCol w:w="16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46" w:hRule="atLeast"/>
        </w:trPr>
        <w:tc>
          <w:tcPr>
            <w:tcW w:w="32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实施面积</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sz w:val="24"/>
                <w:szCs w:val="24"/>
                <w:u w:val="none"/>
              </w:rPr>
              <w:t>每亩投入成本（元/亩）</w:t>
            </w: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预算金额（万元）</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支出金额（万元）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70" w:hRule="atLeast"/>
        </w:trPr>
        <w:tc>
          <w:tcPr>
            <w:tcW w:w="1899"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b/>
                <w:i w:val="0"/>
                <w:color w:val="000000"/>
                <w:sz w:val="24"/>
                <w:szCs w:val="24"/>
                <w:u w:val="none"/>
              </w:rPr>
              <w:t>实施现代农业产业园面积（亩）</w:t>
            </w:r>
          </w:p>
        </w:tc>
        <w:tc>
          <w:tcPr>
            <w:tcW w:w="134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24113.43</w:t>
            </w:r>
          </w:p>
        </w:tc>
        <w:tc>
          <w:tcPr>
            <w:tcW w:w="134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3658.4</w:t>
            </w:r>
          </w:p>
        </w:tc>
        <w:tc>
          <w:tcPr>
            <w:tcW w:w="256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8821.67</w:t>
            </w:r>
          </w:p>
        </w:tc>
        <w:tc>
          <w:tcPr>
            <w:tcW w:w="16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8821.67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7" w:hRule="atLeast"/>
        </w:trPr>
        <w:tc>
          <w:tcPr>
            <w:tcW w:w="4579"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8821.67</w:t>
            </w:r>
          </w:p>
        </w:tc>
        <w:tc>
          <w:tcPr>
            <w:tcW w:w="16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8821.67</w:t>
            </w:r>
          </w:p>
        </w:tc>
      </w:tr>
    </w:tbl>
    <w:p>
      <w:pPr>
        <w:pStyle w:val="24"/>
        <w:pageBreakBefore w:val="0"/>
        <w:numPr>
          <w:ilvl w:val="0"/>
          <w:numId w:val="0"/>
        </w:numPr>
        <w:kinsoku/>
        <w:wordWrap/>
        <w:bidi w:val="0"/>
        <w:spacing w:line="570" w:lineRule="exact"/>
        <w:jc w:val="both"/>
        <w:rPr>
          <w:rFonts w:hint="eastAsia" w:ascii="方正仿宋_GBK" w:hAnsi="方正仿宋_GBK" w:eastAsia="方正仿宋_GBK" w:cs="方正仿宋_GBK"/>
          <w:b w:val="0"/>
          <w:bCs w:val="0"/>
          <w:color w:val="auto"/>
          <w:sz w:val="32"/>
          <w:szCs w:val="32"/>
          <w:highlight w:val="none"/>
          <w:lang w:val="en-US" w:eastAsia="zh-CN"/>
        </w:rPr>
      </w:pPr>
    </w:p>
    <w:bookmarkEnd w:id="67"/>
    <w:bookmarkEnd w:id="68"/>
    <w:p>
      <w:pPr>
        <w:pStyle w:val="24"/>
        <w:pageBreakBefore w:val="0"/>
        <w:numPr>
          <w:ilvl w:val="0"/>
          <w:numId w:val="0"/>
        </w:numPr>
        <w:kinsoku/>
        <w:wordWrap/>
        <w:bidi w:val="0"/>
        <w:spacing w:line="570" w:lineRule="exact"/>
        <w:ind w:firstLine="643" w:firstLineChars="200"/>
        <w:jc w:val="both"/>
        <w:rPr>
          <w:rFonts w:hint="eastAsia" w:ascii="方正仿宋_GBK" w:hAnsi="方正仿宋_GBK" w:eastAsia="方正仿宋_GBK" w:cs="方正仿宋_GBK"/>
          <w:b/>
          <w:bCs/>
          <w:color w:val="auto"/>
          <w:sz w:val="32"/>
          <w:szCs w:val="32"/>
          <w:highlight w:val="none"/>
          <w:lang w:val="en-US" w:eastAsia="zh-CN"/>
        </w:rPr>
      </w:pPr>
      <w:bookmarkStart w:id="69" w:name="_Toc15860_WPSOffice_Level3"/>
      <w:bookmarkStart w:id="70" w:name="_Toc22059"/>
      <w:bookmarkStart w:id="71" w:name="_Toc6775"/>
      <w:bookmarkStart w:id="72" w:name="_Toc1616"/>
      <w:bookmarkStart w:id="73" w:name="_Toc32526_WPSOffice_Level2"/>
      <w:bookmarkStart w:id="74" w:name="_Toc20376"/>
      <w:bookmarkStart w:id="75" w:name="_Toc28539827"/>
      <w:bookmarkStart w:id="76" w:name="_Toc27421"/>
      <w:bookmarkStart w:id="77" w:name="_Toc21195_WPSOffice_Level1"/>
      <w:bookmarkStart w:id="78" w:name="_Toc29729"/>
      <w:bookmarkStart w:id="79" w:name="_Toc12761_WPSOffice_Level2"/>
      <w:bookmarkStart w:id="80" w:name="_Toc10432"/>
      <w:bookmarkStart w:id="81" w:name="_Toc13863"/>
      <w:bookmarkStart w:id="82" w:name="_Toc29110"/>
      <w:bookmarkStart w:id="83" w:name="_Toc9045"/>
      <w:bookmarkStart w:id="84" w:name="_Toc6118"/>
      <w:bookmarkStart w:id="85" w:name="_Toc31342"/>
      <w:bookmarkStart w:id="86" w:name="_Toc15528"/>
      <w:bookmarkStart w:id="87" w:name="_Toc4081"/>
      <w:bookmarkStart w:id="88" w:name="_Toc29737"/>
      <w:r>
        <w:rPr>
          <w:rFonts w:hint="eastAsia" w:ascii="方正仿宋_GBK" w:hAnsi="方正仿宋_GBK" w:eastAsia="方正仿宋_GBK" w:cs="方正仿宋_GBK"/>
          <w:b/>
          <w:bCs/>
          <w:color w:val="auto"/>
          <w:sz w:val="32"/>
          <w:szCs w:val="32"/>
          <w:highlight w:val="none"/>
          <w:lang w:val="en-US" w:eastAsia="zh-CN"/>
        </w:rPr>
        <w:t>5.项目组织及管理情况</w:t>
      </w:r>
      <w:bookmarkEnd w:id="69"/>
    </w:p>
    <w:p>
      <w:pPr>
        <w:pStyle w:val="24"/>
        <w:pageBreakBefore w:val="0"/>
        <w:numPr>
          <w:ilvl w:val="0"/>
          <w:numId w:val="0"/>
        </w:numPr>
        <w:kinsoku/>
        <w:wordWrap/>
        <w:bidi w:val="0"/>
        <w:spacing w:line="570" w:lineRule="exact"/>
        <w:ind w:firstLine="667" w:firstLineChars="200"/>
        <w:jc w:val="both"/>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仿宋_GBK" w:hAnsi="方正仿宋_GBK" w:eastAsia="方正仿宋_GBK" w:cs="方正仿宋_GBK"/>
          <w:b/>
          <w:bCs/>
          <w:color w:val="auto"/>
          <w:spacing w:val="6"/>
          <w:kern w:val="0"/>
          <w:sz w:val="32"/>
          <w:szCs w:val="32"/>
          <w:highlight w:val="none"/>
          <w:lang w:val="en-US" w:eastAsia="zh-CN" w:bidi="ar"/>
        </w:rPr>
        <w:t>（1）项目组织情况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color w:val="auto"/>
          <w:kern w:val="0"/>
          <w:sz w:val="32"/>
          <w:szCs w:val="32"/>
          <w:lang w:val="en-US" w:eastAsia="zh-CN"/>
        </w:rPr>
      </w:pPr>
      <w:r>
        <w:rPr>
          <w:rFonts w:hint="default" w:ascii="Times New Roman" w:hAnsi="Times New Roman" w:eastAsia="仿宋_GB2312" w:cs="Times New Roman"/>
          <w:b w:val="0"/>
          <w:bCs/>
          <w:color w:val="auto"/>
          <w:kern w:val="0"/>
          <w:sz w:val="32"/>
          <w:szCs w:val="32"/>
          <w:lang w:val="en-US" w:eastAsia="zh-CN"/>
        </w:rPr>
        <w:t>本项目涉及的单位包括伽师县发展和改革委员会、伽师县环境局、伽师县自然资源局、新疆泰达水利水电工程有限责任公司、江西省水利水电建设集团有限公司、新疆瑞仁建设工程有限公司、新疆聚金建业建设工程有限公司、新疆建博建筑安装工程有限责任公司。各单位职责如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default" w:ascii="Times New Roman" w:hAnsi="Times New Roman" w:eastAsia="仿宋_GB2312" w:cs="Times New Roman"/>
          <w:b/>
          <w:bCs w:val="0"/>
          <w:color w:val="auto"/>
          <w:kern w:val="0"/>
          <w:sz w:val="32"/>
          <w:szCs w:val="32"/>
          <w:lang w:val="en-US" w:eastAsia="zh-CN"/>
        </w:rPr>
        <w:t>伽师县发展和改革委员会：</w:t>
      </w:r>
      <w:r>
        <w:rPr>
          <w:rFonts w:hint="eastAsia" w:ascii="方正仿宋_GBK" w:hAnsi="方正仿宋_GBK" w:eastAsia="方正仿宋_GBK" w:cs="方正仿宋_GBK"/>
          <w:b w:val="0"/>
          <w:bCs/>
          <w:color w:val="auto"/>
          <w:kern w:val="0"/>
          <w:sz w:val="32"/>
          <w:szCs w:val="32"/>
          <w:lang w:val="en-US" w:eastAsia="zh-CN"/>
        </w:rPr>
        <w:t>对2022年</w:t>
      </w:r>
      <w:r>
        <w:rPr>
          <w:rFonts w:hint="eastAsia" w:ascii="方正仿宋_GBK" w:hAnsi="方正仿宋_GBK" w:eastAsia="方正仿宋_GBK" w:cs="方正仿宋_GBK"/>
          <w:color w:val="auto"/>
          <w:sz w:val="32"/>
          <w:szCs w:val="32"/>
        </w:rPr>
        <w:t>伽师县克孜勒博依镇生态综合整治项目</w:t>
      </w:r>
      <w:r>
        <w:rPr>
          <w:rFonts w:hint="eastAsia" w:ascii="方正仿宋_GBK" w:hAnsi="方正仿宋_GBK" w:eastAsia="方正仿宋_GBK" w:cs="方正仿宋_GBK"/>
          <w:color w:val="auto"/>
          <w:sz w:val="32"/>
          <w:szCs w:val="32"/>
          <w:lang w:val="en-US" w:eastAsia="zh-CN"/>
        </w:rPr>
        <w:t>进行审核批复。</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伽师县环境局：</w:t>
      </w:r>
      <w:r>
        <w:rPr>
          <w:rFonts w:hint="eastAsia" w:ascii="方正仿宋_GBK" w:hAnsi="方正仿宋_GBK" w:eastAsia="方正仿宋_GBK" w:cs="方正仿宋_GBK"/>
          <w:b w:val="0"/>
          <w:bCs/>
          <w:color w:val="auto"/>
          <w:kern w:val="0"/>
          <w:sz w:val="32"/>
          <w:szCs w:val="32"/>
          <w:lang w:val="en-US" w:eastAsia="zh-CN"/>
        </w:rPr>
        <w:t>对2022年</w:t>
      </w:r>
      <w:r>
        <w:rPr>
          <w:rFonts w:hint="eastAsia" w:ascii="方正仿宋_GBK" w:hAnsi="方正仿宋_GBK" w:eastAsia="方正仿宋_GBK" w:cs="方正仿宋_GBK"/>
          <w:color w:val="auto"/>
          <w:sz w:val="32"/>
          <w:szCs w:val="32"/>
        </w:rPr>
        <w:t>伽师县</w:t>
      </w:r>
      <w:r>
        <w:rPr>
          <w:rFonts w:hint="default" w:ascii="Times New Roman" w:hAnsi="Times New Roman" w:eastAsia="仿宋_GB2312" w:cs="Times New Roman"/>
          <w:color w:val="auto"/>
          <w:sz w:val="32"/>
          <w:szCs w:val="32"/>
        </w:rPr>
        <w:t>克孜勒博依镇生态综合整治项目</w:t>
      </w:r>
      <w:r>
        <w:rPr>
          <w:rFonts w:hint="default" w:ascii="Times New Roman" w:hAnsi="Times New Roman" w:eastAsia="仿宋_GB2312" w:cs="Times New Roman"/>
          <w:color w:val="auto"/>
          <w:sz w:val="32"/>
          <w:szCs w:val="32"/>
          <w:lang w:val="en-US" w:eastAsia="zh-CN"/>
        </w:rPr>
        <w:t>进行环评。</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伽师县自然资源局：</w:t>
      </w:r>
      <w:r>
        <w:rPr>
          <w:rFonts w:hint="default" w:ascii="Times New Roman" w:hAnsi="Times New Roman" w:eastAsia="仿宋_GB2312" w:cs="Times New Roman"/>
          <w:color w:val="auto"/>
          <w:sz w:val="32"/>
          <w:szCs w:val="32"/>
          <w:lang w:val="en-US" w:eastAsia="zh-CN"/>
        </w:rPr>
        <w:t>组织开展项目立项，完成项目的规划、勘察以及项目施工图设计、审查、造价审核（招标控制价编制）等各项前期工作，并对项目实施情况进行监督检查，负责项目资金拨付管理。会同该项目设计单位、施工单位、监理单位等组成项目验收组，对该项目进行交工验收。</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新疆瑞仁建设工程有限公司：</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rPr>
        <w:t>伽师县克孜勒博依镇生态综合整治项目</w:t>
      </w:r>
      <w:r>
        <w:rPr>
          <w:rFonts w:hint="default" w:ascii="Times New Roman" w:hAnsi="Times New Roman" w:eastAsia="仿宋_GB2312" w:cs="Times New Roman"/>
          <w:color w:val="auto"/>
          <w:sz w:val="32"/>
          <w:szCs w:val="32"/>
          <w:lang w:val="en-US" w:eastAsia="zh-CN"/>
        </w:rPr>
        <w:t>第一标段建设内容。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新疆聚金建业建设工程有限公司：</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rPr>
        <w:t>伽师县克孜勒博依镇生态综合整治项目</w:t>
      </w:r>
      <w:r>
        <w:rPr>
          <w:rFonts w:hint="default" w:ascii="Times New Roman" w:hAnsi="Times New Roman" w:eastAsia="仿宋_GB2312" w:cs="Times New Roman"/>
          <w:color w:val="auto"/>
          <w:sz w:val="32"/>
          <w:szCs w:val="32"/>
          <w:lang w:val="en-US" w:eastAsia="zh-CN"/>
        </w:rPr>
        <w:t>第二标段建设内容。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新疆建博建筑安装工程有限责任公司：</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rPr>
        <w:t>伽师县克孜勒博依镇生态综合整治项目</w:t>
      </w:r>
      <w:r>
        <w:rPr>
          <w:rFonts w:hint="default" w:ascii="Times New Roman" w:hAnsi="Times New Roman" w:eastAsia="仿宋_GB2312" w:cs="Times New Roman"/>
          <w:color w:val="auto"/>
          <w:sz w:val="32"/>
          <w:szCs w:val="32"/>
          <w:lang w:val="en-US" w:eastAsia="zh-CN"/>
        </w:rPr>
        <w:t>第三标段建设内容。</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新疆泰达水利水电工程有限责任公司：</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rPr>
        <w:t>伽师县克孜勒博依镇生态综合整治项目</w:t>
      </w:r>
      <w:r>
        <w:rPr>
          <w:rFonts w:hint="default" w:ascii="Times New Roman" w:hAnsi="Times New Roman" w:eastAsia="仿宋_GB2312" w:cs="Times New Roman"/>
          <w:color w:val="auto"/>
          <w:sz w:val="32"/>
          <w:szCs w:val="32"/>
          <w:lang w:val="en-US" w:eastAsia="zh-CN"/>
        </w:rPr>
        <w:t>第四标段建设内容。</w:t>
      </w:r>
    </w:p>
    <w:p>
      <w:pPr>
        <w:pStyle w:val="22"/>
        <w:keepNext w:val="0"/>
        <w:keepLines w:val="0"/>
        <w:pageBreakBefore w:val="0"/>
        <w:kinsoku/>
        <w:wordWrap/>
        <w:overflowPunct/>
        <w:topLinePunct w:val="0"/>
        <w:bidi w:val="0"/>
        <w:snapToGrid/>
        <w:spacing w:line="560" w:lineRule="exact"/>
        <w:ind w:firstLine="643"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江西省水利水电建设集团有限公司：</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rPr>
        <w:t>伽师县克孜勒博依镇生态综合整治项目</w:t>
      </w:r>
      <w:r>
        <w:rPr>
          <w:rFonts w:hint="default" w:ascii="Times New Roman" w:hAnsi="Times New Roman" w:eastAsia="仿宋_GB2312" w:cs="Times New Roman"/>
          <w:color w:val="auto"/>
          <w:sz w:val="32"/>
          <w:szCs w:val="32"/>
          <w:lang w:val="en-US" w:eastAsia="zh-CN"/>
        </w:rPr>
        <w:t>第五标段建设内容。</w:t>
      </w:r>
    </w:p>
    <w:p>
      <w:pPr>
        <w:pStyle w:val="22"/>
        <w:keepNext w:val="0"/>
        <w:keepLines w:val="0"/>
        <w:pageBreakBefore w:val="0"/>
        <w:kinsoku/>
        <w:wordWrap/>
        <w:overflowPunct/>
        <w:topLinePunct w:val="0"/>
        <w:bidi w:val="0"/>
        <w:snapToGrid/>
        <w:spacing w:line="560" w:lineRule="exact"/>
        <w:ind w:firstLine="643" w:firstLineChars="20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山东润鲁工程咨询有限公司：</w:t>
      </w:r>
      <w:r>
        <w:rPr>
          <w:rFonts w:hint="default" w:ascii="Times New Roman" w:hAnsi="Times New Roman" w:eastAsia="仿宋_GB2312" w:cs="Times New Roman"/>
          <w:b w:val="0"/>
          <w:bCs w:val="0"/>
          <w:color w:val="auto"/>
          <w:sz w:val="32"/>
          <w:szCs w:val="32"/>
          <w:lang w:val="en-US" w:eastAsia="zh-CN"/>
        </w:rPr>
        <w:t>负责</w:t>
      </w:r>
      <w:r>
        <w:rPr>
          <w:rFonts w:hint="default" w:ascii="Times New Roman" w:hAnsi="Times New Roman" w:eastAsia="仿宋_GB2312" w:cs="Times New Roman"/>
          <w:color w:val="auto"/>
          <w:sz w:val="32"/>
          <w:szCs w:val="32"/>
        </w:rPr>
        <w:t>伽师县克孜勒博依镇生态综合整治项目</w:t>
      </w:r>
      <w:r>
        <w:rPr>
          <w:rFonts w:hint="default" w:ascii="Times New Roman" w:hAnsi="Times New Roman" w:eastAsia="仿宋_GB2312" w:cs="Times New Roman"/>
          <w:color w:val="auto"/>
          <w:sz w:val="32"/>
          <w:szCs w:val="32"/>
          <w:lang w:val="en-US" w:eastAsia="zh-CN"/>
        </w:rPr>
        <w:t>施工监理服务。</w:t>
      </w:r>
    </w:p>
    <w:p>
      <w:pPr>
        <w:pStyle w:val="24"/>
        <w:pageBreakBefore w:val="0"/>
        <w:numPr>
          <w:ilvl w:val="0"/>
          <w:numId w:val="0"/>
        </w:numPr>
        <w:kinsoku/>
        <w:wordWrap/>
        <w:bidi w:val="0"/>
        <w:spacing w:line="570" w:lineRule="exact"/>
        <w:ind w:leftChars="200"/>
        <w:jc w:val="both"/>
        <w:rPr>
          <w:rFonts w:hint="eastAsia" w:ascii="方正仿宋_GBK" w:hAnsi="方正仿宋_GBK" w:eastAsia="方正仿宋_GBK" w:cs="方正仿宋_GBK"/>
          <w:b/>
          <w:bCs/>
          <w:color w:val="auto"/>
          <w:spacing w:val="6"/>
          <w:kern w:val="0"/>
          <w:sz w:val="32"/>
          <w:szCs w:val="32"/>
          <w:highlight w:val="none"/>
          <w:lang w:val="en-US" w:eastAsia="zh-CN" w:bidi="ar"/>
        </w:rPr>
      </w:pPr>
      <w:r>
        <w:rPr>
          <w:rFonts w:hint="eastAsia" w:ascii="方正仿宋_GBK" w:hAnsi="方正仿宋_GBK" w:eastAsia="方正仿宋_GBK" w:cs="方正仿宋_GBK"/>
          <w:b/>
          <w:bCs/>
          <w:color w:val="auto"/>
          <w:spacing w:val="6"/>
          <w:kern w:val="0"/>
          <w:sz w:val="32"/>
          <w:szCs w:val="32"/>
          <w:highlight w:val="none"/>
          <w:lang w:val="en-US" w:eastAsia="zh-CN" w:bidi="ar"/>
        </w:rPr>
        <w:t>（2）项目管理情况</w:t>
      </w:r>
    </w:p>
    <w:p>
      <w:pPr>
        <w:pStyle w:val="24"/>
        <w:pageBreakBefore w:val="0"/>
        <w:numPr>
          <w:ilvl w:val="0"/>
          <w:numId w:val="0"/>
        </w:numPr>
        <w:kinsoku/>
        <w:wordWrap/>
        <w:bidi w:val="0"/>
        <w:spacing w:line="570" w:lineRule="exact"/>
        <w:ind w:firstLine="664" w:firstLineChars="200"/>
        <w:jc w:val="both"/>
        <w:rPr>
          <w:rFonts w:hint="eastAsia" w:ascii="方正仿宋_GBK" w:hAnsi="方正仿宋_GBK" w:eastAsia="方正仿宋_GBK" w:cs="方正仿宋_GBK"/>
          <w:b w:val="0"/>
          <w:bCs w:val="0"/>
          <w:color w:val="auto"/>
          <w:sz w:val="32"/>
          <w:szCs w:val="32"/>
          <w:highlight w:val="none"/>
          <w:lang w:val="en-US" w:eastAsia="zh-CN"/>
        </w:rPr>
      </w:pPr>
      <w:r>
        <w:rPr>
          <w:rFonts w:hint="default" w:ascii="方正仿宋_GBK" w:hAnsi="方正仿宋_GBK" w:eastAsia="方正仿宋_GBK" w:cs="方正仿宋_GBK"/>
          <w:color w:val="auto"/>
          <w:spacing w:val="6"/>
          <w:kern w:val="0"/>
          <w:sz w:val="32"/>
          <w:szCs w:val="32"/>
          <w:highlight w:val="none"/>
          <w:lang w:val="en-US" w:eastAsia="zh-CN" w:bidi="ar"/>
        </w:rPr>
        <w:t>本项目由</w:t>
      </w:r>
      <w:r>
        <w:rPr>
          <w:rFonts w:hint="eastAsia" w:ascii="方正仿宋_GBK" w:hAnsi="方正仿宋_GBK" w:eastAsia="方正仿宋_GBK" w:cs="方正仿宋_GBK"/>
          <w:color w:val="auto"/>
          <w:spacing w:val="6"/>
          <w:kern w:val="0"/>
          <w:sz w:val="32"/>
          <w:szCs w:val="32"/>
          <w:highlight w:val="none"/>
          <w:lang w:val="en-US" w:eastAsia="zh-CN" w:bidi="ar"/>
        </w:rPr>
        <w:t>分管县领导任组长，由自然资源局部门主要领导为副组长，</w:t>
      </w:r>
      <w:r>
        <w:rPr>
          <w:rFonts w:hint="default" w:ascii="方正仿宋_GBK" w:hAnsi="方正仿宋_GBK" w:eastAsia="方正仿宋_GBK" w:cs="方正仿宋_GBK"/>
          <w:color w:val="auto"/>
          <w:spacing w:val="6"/>
          <w:kern w:val="0"/>
          <w:sz w:val="32"/>
          <w:szCs w:val="32"/>
          <w:highlight w:val="none"/>
          <w:lang w:val="en-US" w:eastAsia="zh-CN" w:bidi="ar"/>
        </w:rPr>
        <w:t>切实加强领导，统一规划、统一指导、统一服务，落实好专人负责，加强工作协调，保证按时完成工作任务。项目管理本着“充分利用现有人力、物力、财力”的原则，具体职责主要包括以下内容：</w:t>
      </w:r>
      <w:r>
        <w:rPr>
          <w:rFonts w:hint="eastAsia" w:ascii="方正仿宋_GBK" w:hAnsi="方正仿宋_GBK" w:eastAsia="方正仿宋_GBK" w:cs="方正仿宋_GBK"/>
          <w:color w:val="auto"/>
          <w:spacing w:val="6"/>
          <w:kern w:val="0"/>
          <w:sz w:val="32"/>
          <w:szCs w:val="32"/>
          <w:highlight w:val="none"/>
          <w:lang w:val="en-US" w:eastAsia="zh-CN" w:bidi="ar"/>
        </w:rPr>
        <w:t>伽师县自然资源局</w:t>
      </w:r>
      <w:r>
        <w:rPr>
          <w:rFonts w:hint="default" w:ascii="方正仿宋_GBK" w:hAnsi="方正仿宋_GBK" w:eastAsia="方正仿宋_GBK" w:cs="方正仿宋_GBK"/>
          <w:color w:val="auto"/>
          <w:spacing w:val="6"/>
          <w:kern w:val="0"/>
          <w:sz w:val="32"/>
          <w:szCs w:val="32"/>
          <w:highlight w:val="none"/>
          <w:lang w:val="en-US" w:eastAsia="zh-CN" w:bidi="ar"/>
        </w:rPr>
        <w:t>具体落实项目建设各项内容，负责项目实施方案编写；项目实施严格遵守项目实施计划要求接受有关部门</w:t>
      </w:r>
      <w:r>
        <w:rPr>
          <w:rFonts w:hint="eastAsia" w:ascii="方正仿宋_GBK" w:hAnsi="方正仿宋_GBK" w:eastAsia="方正仿宋_GBK" w:cs="方正仿宋_GBK"/>
          <w:color w:val="auto"/>
          <w:spacing w:val="6"/>
          <w:kern w:val="0"/>
          <w:sz w:val="32"/>
          <w:szCs w:val="32"/>
          <w:highlight w:val="none"/>
          <w:lang w:val="en-US" w:eastAsia="zh-CN" w:bidi="ar"/>
        </w:rPr>
        <w:t>实时</w:t>
      </w:r>
      <w:r>
        <w:rPr>
          <w:rFonts w:hint="default" w:ascii="方正仿宋_GBK" w:hAnsi="方正仿宋_GBK" w:eastAsia="方正仿宋_GBK" w:cs="方正仿宋_GBK"/>
          <w:color w:val="auto"/>
          <w:spacing w:val="6"/>
          <w:kern w:val="0"/>
          <w:sz w:val="32"/>
          <w:szCs w:val="32"/>
          <w:highlight w:val="none"/>
          <w:lang w:val="en-US" w:eastAsia="zh-CN" w:bidi="ar"/>
        </w:rPr>
        <w:t>监督和</w:t>
      </w:r>
      <w:r>
        <w:rPr>
          <w:rFonts w:hint="eastAsia" w:ascii="方正仿宋_GBK" w:hAnsi="方正仿宋_GBK" w:eastAsia="方正仿宋_GBK" w:cs="方正仿宋_GBK"/>
          <w:color w:val="auto"/>
          <w:spacing w:val="6"/>
          <w:kern w:val="0"/>
          <w:sz w:val="32"/>
          <w:szCs w:val="32"/>
          <w:highlight w:val="none"/>
          <w:lang w:val="en-US" w:eastAsia="zh-CN" w:bidi="ar"/>
        </w:rPr>
        <w:t>定期</w:t>
      </w:r>
      <w:r>
        <w:rPr>
          <w:rFonts w:hint="default" w:ascii="方正仿宋_GBK" w:hAnsi="方正仿宋_GBK" w:eastAsia="方正仿宋_GBK" w:cs="方正仿宋_GBK"/>
          <w:color w:val="auto"/>
          <w:spacing w:val="6"/>
          <w:kern w:val="0"/>
          <w:sz w:val="32"/>
          <w:szCs w:val="32"/>
          <w:highlight w:val="none"/>
          <w:lang w:val="en-US" w:eastAsia="zh-CN" w:bidi="ar"/>
        </w:rPr>
        <w:t>检查，确保项目按计划完成。</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1"/>
        <w:rPr>
          <w:rFonts w:hint="eastAsia" w:ascii="方正楷体_GBK" w:hAnsi="方正楷体_GBK" w:eastAsia="方正楷体_GBK" w:cs="方正楷体_GBK"/>
          <w:b/>
          <w:color w:val="auto"/>
          <w:sz w:val="32"/>
          <w:szCs w:val="32"/>
          <w:highlight w:val="none"/>
        </w:rPr>
      </w:pPr>
      <w:bookmarkStart w:id="89" w:name="_Toc13705_WPSOffice_Level2"/>
      <w:bookmarkStart w:id="90" w:name="_Toc13056_WPSOffice_Level2"/>
      <w:r>
        <w:rPr>
          <w:rFonts w:hint="eastAsia" w:ascii="方正楷体_GBK" w:hAnsi="方正楷体_GBK" w:eastAsia="方正楷体_GBK" w:cs="方正楷体_GBK"/>
          <w:b/>
          <w:color w:val="auto"/>
          <w:sz w:val="32"/>
          <w:szCs w:val="32"/>
          <w:highlight w:val="none"/>
        </w:rPr>
        <w:t>（</w:t>
      </w:r>
      <w:r>
        <w:rPr>
          <w:rFonts w:hint="eastAsia" w:ascii="方正楷体_GBK" w:hAnsi="方正楷体_GBK" w:eastAsia="方正楷体_GBK" w:cs="方正楷体_GBK"/>
          <w:b/>
          <w:color w:val="auto"/>
          <w:sz w:val="32"/>
          <w:szCs w:val="32"/>
          <w:highlight w:val="none"/>
          <w:lang w:eastAsia="zh-CN"/>
        </w:rPr>
        <w:t>二</w:t>
      </w:r>
      <w:r>
        <w:rPr>
          <w:rFonts w:hint="eastAsia" w:ascii="方正楷体_GBK" w:hAnsi="方正楷体_GBK" w:eastAsia="方正楷体_GBK" w:cs="方正楷体_GBK"/>
          <w:b/>
          <w:color w:val="auto"/>
          <w:sz w:val="32"/>
          <w:szCs w:val="32"/>
          <w:highlight w:val="none"/>
        </w:rPr>
        <w:t>）项目绩效目标</w:t>
      </w:r>
      <w:bookmarkEnd w:id="89"/>
      <w:bookmarkEnd w:id="90"/>
    </w:p>
    <w:p>
      <w:pPr>
        <w:keepNext w:val="0"/>
        <w:keepLines w:val="0"/>
        <w:pageBreakBefore w:val="0"/>
        <w:widowControl/>
        <w:kinsoku/>
        <w:wordWrap/>
        <w:overflowPunct w:val="0"/>
        <w:topLinePunct w:val="0"/>
        <w:autoSpaceDE w:val="0"/>
        <w:autoSpaceDN w:val="0"/>
        <w:bidi w:val="0"/>
        <w:adjustRightInd w:val="0"/>
        <w:snapToGrid/>
        <w:spacing w:line="560" w:lineRule="exact"/>
        <w:ind w:firstLine="643" w:firstLineChars="200"/>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rPr>
      </w:pPr>
      <w:bookmarkStart w:id="91" w:name="_Toc19213_WPSOffice_Level3"/>
      <w:bookmarkStart w:id="92" w:name="_Toc14416_WPSOffice_Level3"/>
      <w:r>
        <w:rPr>
          <w:rFonts w:hint="eastAsia" w:ascii="方正仿宋_GBK" w:hAnsi="方正仿宋_GBK" w:eastAsia="方正仿宋_GBK" w:cs="方正仿宋_GBK"/>
          <w:b/>
          <w:color w:val="auto"/>
          <w:kern w:val="0"/>
          <w:sz w:val="32"/>
          <w:szCs w:val="32"/>
          <w:highlight w:val="none"/>
          <w:lang w:bidi="ar"/>
        </w:rPr>
        <w:t>1.总</w:t>
      </w:r>
      <w:r>
        <w:rPr>
          <w:rFonts w:hint="eastAsia" w:ascii="方正仿宋_GBK" w:hAnsi="方正仿宋_GBK" w:eastAsia="方正仿宋_GBK" w:cs="方正仿宋_GBK"/>
          <w:b/>
          <w:color w:val="auto"/>
          <w:kern w:val="0"/>
          <w:sz w:val="32"/>
          <w:szCs w:val="32"/>
          <w:highlight w:val="none"/>
          <w:lang w:eastAsia="zh-CN" w:bidi="ar"/>
        </w:rPr>
        <w:t>体</w:t>
      </w:r>
      <w:r>
        <w:rPr>
          <w:rFonts w:hint="eastAsia" w:ascii="方正仿宋_GBK" w:hAnsi="方正仿宋_GBK" w:eastAsia="方正仿宋_GBK" w:cs="方正仿宋_GBK"/>
          <w:b/>
          <w:color w:val="auto"/>
          <w:kern w:val="0"/>
          <w:sz w:val="32"/>
          <w:szCs w:val="32"/>
          <w:highlight w:val="none"/>
          <w:lang w:bidi="ar"/>
        </w:rPr>
        <w:t>目标</w:t>
      </w:r>
      <w:bookmarkEnd w:id="91"/>
      <w:bookmarkEnd w:id="92"/>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pPr>
      <w:r>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t>主要用于伽师县克孜勒博</w:t>
      </w: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依镇坎迪尔勒克（19）村实施24113.43亩定植新梅、杏李，实施内</w:t>
      </w:r>
      <w:r>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t>容</w:t>
      </w:r>
      <w:r>
        <w:rPr>
          <w:rStyle w:val="14"/>
          <w:rFonts w:hint="eastAsia" w:ascii="Times New Roman" w:hAnsi="Times New Roman" w:eastAsia="仿宋_GB2312" w:cs="Times New Roman"/>
          <w:b w:val="0"/>
          <w:i w:val="0"/>
          <w:caps w:val="0"/>
          <w:color w:val="auto"/>
          <w:spacing w:val="0"/>
          <w:w w:val="100"/>
          <w:kern w:val="0"/>
          <w:sz w:val="32"/>
          <w:szCs w:val="32"/>
          <w:lang w:val="en-US" w:eastAsia="zh-CN" w:bidi="ar-SA"/>
        </w:rPr>
        <w:t>包括</w:t>
      </w:r>
      <w:r>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t>土地平整及高效节水</w:t>
      </w:r>
      <w:r>
        <w:rPr>
          <w:rStyle w:val="14"/>
          <w:rFonts w:hint="eastAsia" w:ascii="Times New Roman" w:hAnsi="Times New Roman" w:eastAsia="仿宋_GB2312" w:cs="Times New Roman"/>
          <w:b w:val="0"/>
          <w:i w:val="0"/>
          <w:caps w:val="0"/>
          <w:color w:val="auto"/>
          <w:spacing w:val="0"/>
          <w:w w:val="100"/>
          <w:kern w:val="0"/>
          <w:sz w:val="32"/>
          <w:szCs w:val="32"/>
          <w:lang w:val="en-US" w:eastAsia="zh-CN" w:bidi="ar-SA"/>
        </w:rPr>
        <w:t>、</w:t>
      </w:r>
      <w:r>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t>排碱渠</w:t>
      </w:r>
      <w:r>
        <w:rPr>
          <w:rStyle w:val="14"/>
          <w:rFonts w:hint="eastAsia" w:ascii="Times New Roman" w:hAnsi="Times New Roman" w:eastAsia="仿宋_GB2312" w:cs="Times New Roman"/>
          <w:b w:val="0"/>
          <w:i w:val="0"/>
          <w:caps w:val="0"/>
          <w:color w:val="auto"/>
          <w:spacing w:val="0"/>
          <w:w w:val="100"/>
          <w:kern w:val="0"/>
          <w:sz w:val="32"/>
          <w:szCs w:val="32"/>
          <w:lang w:val="en-US" w:eastAsia="zh-CN" w:bidi="ar-SA"/>
        </w:rPr>
        <w:t>、</w:t>
      </w:r>
      <w:r>
        <w:rPr>
          <w:rStyle w:val="14"/>
          <w:rFonts w:hint="default" w:ascii="Times New Roman" w:hAnsi="Times New Roman" w:eastAsia="仿宋_GB2312" w:cs="Times New Roman"/>
          <w:b w:val="0"/>
          <w:i w:val="0"/>
          <w:caps w:val="0"/>
          <w:color w:val="auto"/>
          <w:spacing w:val="0"/>
          <w:w w:val="100"/>
          <w:kern w:val="0"/>
          <w:sz w:val="32"/>
          <w:szCs w:val="32"/>
          <w:lang w:val="en-US" w:eastAsia="zh-CN" w:bidi="ar-SA"/>
        </w:rPr>
        <w:t>电路等配套附属工程。主要在工程建设区因地制宜地采取拦渣、土地整治工程及绿化（主体设计）等防治措施，达到有效治理工程建设防治责任范围内的水土流失，改善生态环境的目的。</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67" w:firstLineChars="200"/>
        <w:textAlignment w:val="baseline"/>
        <w:outlineLvl w:val="2"/>
        <w:rPr>
          <w:rFonts w:hint="default" w:ascii="方正仿宋_GBK" w:hAnsi="方正仿宋_GBK" w:eastAsia="方正仿宋_GBK" w:cs="方正仿宋_GBK"/>
          <w:b/>
          <w:bCs/>
          <w:color w:val="auto"/>
          <w:spacing w:val="6"/>
          <w:kern w:val="0"/>
          <w:sz w:val="32"/>
          <w:szCs w:val="32"/>
          <w:highlight w:val="none"/>
          <w:lang w:val="en-US" w:eastAsia="zh-CN" w:bidi="ar"/>
        </w:rPr>
      </w:pPr>
      <w:bookmarkStart w:id="93" w:name="_Toc14836_WPSOffice_Level3"/>
      <w:r>
        <w:rPr>
          <w:rFonts w:hint="default" w:ascii="方正仿宋_GBK" w:hAnsi="方正仿宋_GBK" w:eastAsia="方正仿宋_GBK" w:cs="方正仿宋_GBK"/>
          <w:b/>
          <w:bCs/>
          <w:color w:val="auto"/>
          <w:spacing w:val="6"/>
          <w:kern w:val="0"/>
          <w:sz w:val="32"/>
          <w:szCs w:val="32"/>
          <w:highlight w:val="none"/>
          <w:lang w:val="en-US" w:eastAsia="zh-CN" w:bidi="ar"/>
        </w:rPr>
        <w:t>2.</w:t>
      </w:r>
      <w:r>
        <w:rPr>
          <w:rFonts w:hint="eastAsia" w:ascii="方正仿宋_GBK" w:hAnsi="方正仿宋_GBK" w:eastAsia="方正仿宋_GBK" w:cs="方正仿宋_GBK"/>
          <w:b/>
          <w:bCs/>
          <w:color w:val="auto"/>
          <w:spacing w:val="6"/>
          <w:kern w:val="0"/>
          <w:sz w:val="32"/>
          <w:szCs w:val="32"/>
          <w:highlight w:val="none"/>
          <w:lang w:val="en-US" w:eastAsia="zh-CN" w:bidi="ar"/>
        </w:rPr>
        <w:t>阶段性</w:t>
      </w:r>
      <w:r>
        <w:rPr>
          <w:rFonts w:hint="default" w:ascii="方正仿宋_GBK" w:hAnsi="方正仿宋_GBK" w:eastAsia="方正仿宋_GBK" w:cs="方正仿宋_GBK"/>
          <w:b/>
          <w:bCs/>
          <w:color w:val="auto"/>
          <w:spacing w:val="6"/>
          <w:kern w:val="0"/>
          <w:sz w:val="32"/>
          <w:szCs w:val="32"/>
          <w:highlight w:val="none"/>
          <w:lang w:val="en-US" w:eastAsia="zh-CN" w:bidi="ar"/>
        </w:rPr>
        <w:t>目标</w:t>
      </w:r>
      <w:bookmarkEnd w:id="93"/>
    </w:p>
    <w:p>
      <w:pPr>
        <w:pStyle w:val="5"/>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（1）前期准备：</w:t>
      </w:r>
      <w:r>
        <w:rPr>
          <w:rFonts w:hint="eastAsia" w:ascii="方正仿宋_GBK" w:hAnsi="方正仿宋_GBK" w:eastAsia="方正仿宋_GBK" w:cs="方正仿宋_GBK"/>
          <w:color w:val="auto"/>
          <w:sz w:val="32"/>
          <w:szCs w:val="32"/>
          <w:highlight w:val="none"/>
          <w:lang w:eastAsia="zh-CN"/>
        </w:rPr>
        <w:t>通过制定伽师县自然资源局伽师县克孜勒博依生态综合整治工程项目实施方案，经项目负责人审核通过后，有序开展后续工作。</w:t>
      </w:r>
    </w:p>
    <w:p>
      <w:pPr>
        <w:pStyle w:val="5"/>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lang w:eastAsia="zh-CN"/>
        </w:rPr>
        <w:t>（2）组织实施：</w:t>
      </w:r>
      <w:r>
        <w:rPr>
          <w:rFonts w:hint="eastAsia" w:ascii="方正仿宋_GBK" w:hAnsi="方正仿宋_GBK" w:eastAsia="方正仿宋_GBK" w:cs="方正仿宋_GBK"/>
          <w:color w:val="auto"/>
          <w:sz w:val="32"/>
          <w:szCs w:val="32"/>
          <w:highlight w:val="none"/>
          <w:lang w:eastAsia="zh-CN"/>
        </w:rPr>
        <w:t>资金到位之后根据项目要求实施项目。项目责任人按照项目实施方案要求逐一进行项目部署安排，提高项目质量及效率性。</w:t>
      </w:r>
    </w:p>
    <w:p>
      <w:pPr>
        <w:pStyle w:val="5"/>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3</w:t>
      </w:r>
      <w:r>
        <w:rPr>
          <w:rFonts w:hint="eastAsia" w:ascii="方正仿宋_GBK" w:hAnsi="方正仿宋_GBK" w:eastAsia="方正仿宋_GBK" w:cs="方正仿宋_GBK"/>
          <w:b/>
          <w:bCs/>
          <w:color w:val="auto"/>
          <w:sz w:val="32"/>
          <w:szCs w:val="32"/>
          <w:highlight w:val="none"/>
          <w:lang w:eastAsia="zh-CN"/>
        </w:rPr>
        <w:t>）项目投入：</w:t>
      </w:r>
      <w:r>
        <w:rPr>
          <w:rFonts w:hint="eastAsia" w:ascii="方正仿宋_GBK" w:hAnsi="方正仿宋_GBK" w:eastAsia="方正仿宋_GBK" w:cs="方正仿宋_GBK"/>
          <w:color w:val="auto"/>
          <w:sz w:val="32"/>
          <w:szCs w:val="32"/>
          <w:highlight w:val="none"/>
          <w:lang w:eastAsia="zh-CN"/>
        </w:rPr>
        <w:t>本项目预算安排总额为</w:t>
      </w:r>
      <w:r>
        <w:rPr>
          <w:rFonts w:hint="eastAsia" w:ascii="方正仿宋_GBK" w:hAnsi="方正仿宋_GBK" w:eastAsia="方正仿宋_GBK" w:cs="方正仿宋_GBK"/>
          <w:color w:val="auto"/>
          <w:sz w:val="32"/>
          <w:szCs w:val="32"/>
          <w:highlight w:val="none"/>
          <w:lang w:val="en-US" w:eastAsia="zh-CN"/>
        </w:rPr>
        <w:t>8821.67万元，其中直达资金821.67万元，债券资金8000万元。</w:t>
      </w:r>
    </w:p>
    <w:p>
      <w:pPr>
        <w:pStyle w:val="16"/>
        <w:keepNext w:val="0"/>
        <w:keepLines w:val="0"/>
        <w:pageBreakBefore w:val="0"/>
        <w:widowControl/>
        <w:kinsoku/>
        <w:wordWrap/>
        <w:overflowPunct/>
        <w:topLinePunct w:val="0"/>
        <w:autoSpaceDE/>
        <w:autoSpaceDN/>
        <w:bidi w:val="0"/>
        <w:adjustRightInd/>
        <w:snapToGrid/>
        <w:spacing w:line="570" w:lineRule="exact"/>
        <w:ind w:firstLine="667"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eastAsia="zh-CN"/>
        </w:rPr>
        <w:t>（</w:t>
      </w: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lang w:eastAsia="zh-CN"/>
        </w:rPr>
        <w:t>）项目产出及效果：</w:t>
      </w:r>
    </w:p>
    <w:tbl>
      <w:tblPr>
        <w:tblStyle w:val="11"/>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0"/>
        <w:gridCol w:w="816"/>
        <w:gridCol w:w="1533"/>
        <w:gridCol w:w="1759"/>
        <w:gridCol w:w="2293"/>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833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8336"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52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伽师县克孜勒博依生态综合整治工程（现代农业产业园）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525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307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年度资金总额：          </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0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    </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07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   </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76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0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项目根据《关于提前下达2022年中央财政</w:t>
            </w:r>
            <w:r>
              <w:rPr>
                <w:rFonts w:hint="eastAsia" w:ascii="宋体" w:hAnsi="宋体" w:cs="宋体"/>
                <w:i w:val="0"/>
                <w:color w:val="000000"/>
                <w:kern w:val="0"/>
                <w:sz w:val="20"/>
                <w:szCs w:val="20"/>
                <w:u w:val="none"/>
                <w:lang w:val="en-US" w:eastAsia="zh-CN" w:bidi="ar"/>
              </w:rPr>
              <w:t>衔接</w:t>
            </w:r>
            <w:r>
              <w:rPr>
                <w:rFonts w:hint="eastAsia" w:ascii="宋体" w:hAnsi="宋体" w:eastAsia="宋体" w:cs="宋体"/>
                <w:i w:val="0"/>
                <w:color w:val="000000"/>
                <w:kern w:val="0"/>
                <w:sz w:val="20"/>
                <w:szCs w:val="20"/>
                <w:u w:val="none"/>
                <w:lang w:val="en-US" w:eastAsia="zh-CN" w:bidi="ar"/>
              </w:rPr>
              <w:t>推进乡村振兴补助资金预算的通知》《喀地财扶（2021）9号文件下达直达资金8821.67万元（其中：直达资金821.67万元），债券资金8000万元。主要用于伽师县克孜勒博依镇坎迪尔勒克（19）村实施24113.43亩定植新梅，杏李，实施内容土地平整及高效节水，排碱渠，电路等配套附属工程。工程建设新增的水土流失得到有效治理。主要在工程建设区因地制宜地采取拦渣、土地整治工程及绿化（主体设计）等防治措施，达到有效治理工程建设防治责任范围内的水土流失，改善生态环境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实施现代农业产业园面积（亩）</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&gt;=24113.43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项目资金支付率（%）</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项目验收合格率（%）</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项目按计划开工时间（月）</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项目按计划完工时间（月）</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项目预算控制率（%）</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每亩投入成本（元/亩）</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&lt;=3658.4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实施农业产业园建设促进农林牧发展</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有所提升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项目区水土流失改善情况</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有效改善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0" w:hRule="atLeast"/>
        </w:trPr>
        <w:tc>
          <w:tcPr>
            <w:tcW w:w="7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40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2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r>
    </w:tbl>
    <w:p>
      <w:pPr>
        <w:pStyle w:val="16"/>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color w:val="auto"/>
          <w:highlight w:val="none"/>
          <w:lang w:val="en-US" w:eastAsia="zh-CN"/>
        </w:rPr>
      </w:pPr>
    </w:p>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Pr>
        <w:pStyle w:val="17"/>
        <w:keepNext w:val="0"/>
        <w:keepLines w:val="0"/>
        <w:pageBreakBefore w:val="0"/>
        <w:widowControl/>
        <w:numPr>
          <w:ilvl w:val="0"/>
          <w:numId w:val="3"/>
        </w:numPr>
        <w:tabs>
          <w:tab w:val="left" w:pos="5330"/>
        </w:tabs>
        <w:kinsoku/>
        <w:wordWrap/>
        <w:topLinePunct w:val="0"/>
        <w:bidi w:val="0"/>
        <w:snapToGrid/>
        <w:spacing w:line="560" w:lineRule="exact"/>
        <w:ind w:left="0" w:firstLine="640" w:firstLineChars="200"/>
        <w:outlineLvl w:val="0"/>
        <w:rPr>
          <w:rFonts w:hint="eastAsia" w:ascii="方正黑体_GBK" w:hAnsi="方正黑体_GBK" w:eastAsia="方正黑体_GBK" w:cs="方正黑体_GBK"/>
          <w:b w:val="0"/>
          <w:bCs/>
          <w:color w:val="auto"/>
          <w:highlight w:val="none"/>
        </w:rPr>
      </w:pPr>
      <w:bookmarkStart w:id="94" w:name="_Toc13056_WPSOffice_Level1"/>
      <w:bookmarkStart w:id="95" w:name="_Toc7191_WPSOffice_Level1"/>
      <w:bookmarkStart w:id="96" w:name="_Toc12275_WPSOffice_Level2"/>
      <w:bookmarkStart w:id="97" w:name="_Toc8874_WPSOffice_Level2"/>
      <w:bookmarkStart w:id="98" w:name="_Toc14007"/>
      <w:bookmarkStart w:id="99" w:name="_Toc17882"/>
      <w:bookmarkStart w:id="100" w:name="_Toc1231"/>
      <w:bookmarkStart w:id="101" w:name="_Toc29621"/>
      <w:bookmarkStart w:id="102" w:name="_Toc23625"/>
      <w:bookmarkStart w:id="103" w:name="_Toc9701"/>
      <w:bookmarkStart w:id="104" w:name="_Toc31464"/>
      <w:bookmarkStart w:id="105" w:name="_Toc8498"/>
      <w:bookmarkStart w:id="106" w:name="_Toc24619"/>
      <w:bookmarkStart w:id="107" w:name="_Toc18984"/>
      <w:r>
        <w:rPr>
          <w:rFonts w:hint="eastAsia" w:ascii="方正黑体_GBK" w:hAnsi="方正黑体_GBK" w:eastAsia="方正黑体_GBK" w:cs="方正黑体_GBK"/>
          <w:b w:val="0"/>
          <w:bCs/>
        </w:rPr>
        <w:t>绩效评价工作开展情况</w:t>
      </w:r>
      <w:bookmarkEnd w:id="94"/>
      <w:bookmarkEnd w:id="95"/>
    </w:p>
    <w:bookmarkEnd w:id="96"/>
    <w:p>
      <w:pPr>
        <w:pStyle w:val="27"/>
        <w:pageBreakBefore w:val="0"/>
        <w:kinsoku/>
        <w:wordWrap/>
        <w:topLinePunct w:val="0"/>
        <w:autoSpaceDE/>
        <w:bidi w:val="0"/>
        <w:spacing w:before="0" w:after="0" w:line="560" w:lineRule="exact"/>
        <w:ind w:left="480" w:leftChars="200" w:firstLine="0" w:firstLineChars="0"/>
        <w:rPr>
          <w:rFonts w:hint="eastAsia" w:ascii="方正楷体_GBK" w:hAnsi="方正楷体_GBK" w:eastAsia="方正楷体_GBK" w:cs="方正楷体_GBK"/>
          <w:b/>
          <w:bCs/>
          <w:color w:val="auto"/>
          <w:sz w:val="32"/>
        </w:rPr>
      </w:pPr>
      <w:bookmarkStart w:id="108" w:name="_Toc14995_WPSOffice_Level2"/>
      <w:bookmarkStart w:id="109" w:name="_Toc22557_WPSOffice_Level2"/>
      <w:bookmarkStart w:id="110" w:name="_Toc68364661"/>
      <w:r>
        <w:rPr>
          <w:rFonts w:hint="eastAsia" w:ascii="方正楷体_GBK" w:hAnsi="方正楷体_GBK" w:eastAsia="方正楷体_GBK" w:cs="方正楷体_GBK"/>
          <w:b/>
          <w:bCs/>
          <w:color w:val="auto"/>
          <w:sz w:val="32"/>
        </w:rPr>
        <w:t>（一）绩效评价目的、对象和范围</w:t>
      </w:r>
      <w:bookmarkEnd w:id="108"/>
      <w:bookmarkEnd w:id="109"/>
      <w:bookmarkEnd w:id="110"/>
    </w:p>
    <w:p>
      <w:pPr>
        <w:pStyle w:val="28"/>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bookmarkStart w:id="111" w:name="_Toc10648_WPSOffice_Level3"/>
      <w:r>
        <w:rPr>
          <w:rFonts w:hint="eastAsia" w:ascii="方正仿宋_GBK" w:hAnsi="方正仿宋_GBK" w:eastAsia="方正仿宋_GBK" w:cs="方正仿宋_GBK"/>
          <w:b/>
          <w:bCs/>
          <w:color w:val="auto"/>
          <w:sz w:val="32"/>
          <w:szCs w:val="32"/>
        </w:rPr>
        <w:t>1. 绩效评价目的</w:t>
      </w:r>
      <w:bookmarkEnd w:id="111"/>
    </w:p>
    <w:p>
      <w:pPr>
        <w:pStyle w:val="28"/>
        <w:pageBreakBefore w:val="0"/>
        <w:kinsoku/>
        <w:wordWrap/>
        <w:topLinePunct w:val="0"/>
        <w:autoSpaceDE/>
        <w:bidi w:val="0"/>
        <w:spacing w:line="570" w:lineRule="exact"/>
        <w:ind w:firstLine="640" w:firstLineChars="200"/>
        <w:jc w:val="both"/>
        <w:outlineLvl w:val="2"/>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本次绩效评价遵循财政部《项目支出绩效评价管理办法》（财预〔2020〕10 号）和自治区财政厅《自治区财政支出绩效评价管理暂行办法》（新财预〔2018〕189 号）等相关政策文件与规定，旨在评价财政项目实施前期、过程及效果，对财政项目支出的经济性、效率性、效益性和公平性进行客观、公正</w:t>
      </w:r>
      <w:r>
        <w:rPr>
          <w:rFonts w:hint="eastAsia" w:ascii="方正仿宋_GBK" w:hAnsi="方正仿宋_GBK" w:eastAsia="方正仿宋_GBK" w:cs="方正仿宋_GBK"/>
          <w:b w:val="0"/>
          <w:bCs w:val="0"/>
          <w:color w:val="auto"/>
          <w:sz w:val="32"/>
          <w:szCs w:val="32"/>
          <w:lang w:val="en-US" w:eastAsia="zh-CN"/>
        </w:rPr>
        <w:t>地</w:t>
      </w:r>
      <w:r>
        <w:rPr>
          <w:rFonts w:hint="eastAsia" w:ascii="方正仿宋_GBK" w:hAnsi="方正仿宋_GBK" w:eastAsia="方正仿宋_GBK" w:cs="方正仿宋_GBK"/>
          <w:b w:val="0"/>
          <w:bCs w:val="0"/>
          <w:color w:val="auto"/>
          <w:sz w:val="32"/>
          <w:szCs w:val="32"/>
        </w:rPr>
        <w:t>测量、分析和评判。</w:t>
      </w:r>
    </w:p>
    <w:p>
      <w:pPr>
        <w:pStyle w:val="28"/>
        <w:pageBreakBefore w:val="0"/>
        <w:kinsoku/>
        <w:wordWrap/>
        <w:topLinePunct w:val="0"/>
        <w:autoSpaceDE/>
        <w:bidi w:val="0"/>
        <w:spacing w:line="570" w:lineRule="exact"/>
        <w:ind w:left="0" w:leftChars="0" w:firstLine="640" w:firstLineChars="200"/>
        <w:jc w:val="both"/>
        <w:outlineLvl w:val="2"/>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绩效评价的目的是为全面了解该项目预算编制合理性、资金使用合规性、项目管理的规范性、项目目标的实现情况、服务对象的满意度等，通过本次项目绩效评价来总结经验和教训，促进项目成果转化和应用，为今后类似项目的长效管理，提供可行性参考建议。</w:t>
      </w:r>
    </w:p>
    <w:p>
      <w:pPr>
        <w:pStyle w:val="28"/>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bookmarkStart w:id="112" w:name="_Toc26838_WPSOffice_Level3"/>
      <w:r>
        <w:rPr>
          <w:rFonts w:hint="eastAsia" w:ascii="方正仿宋_GBK" w:hAnsi="方正仿宋_GBK" w:eastAsia="方正仿宋_GBK" w:cs="方正仿宋_GBK"/>
          <w:b/>
          <w:bCs/>
          <w:color w:val="auto"/>
          <w:sz w:val="32"/>
          <w:szCs w:val="32"/>
        </w:rPr>
        <w:t>2. 绩效评价对象</w:t>
      </w:r>
      <w:bookmarkEnd w:id="112"/>
    </w:p>
    <w:p>
      <w:pPr>
        <w:pStyle w:val="28"/>
        <w:pageBreakBefore w:val="0"/>
        <w:numPr>
          <w:ilvl w:val="0"/>
          <w:numId w:val="0"/>
        </w:numPr>
        <w:kinsoku/>
        <w:wordWrap/>
        <w:topLinePunct w:val="0"/>
        <w:autoSpaceDE/>
        <w:bidi w:val="0"/>
        <w:spacing w:line="560" w:lineRule="exact"/>
        <w:ind w:firstLine="640" w:firstLineChars="200"/>
        <w:outlineLvl w:val="2"/>
        <w:rPr>
          <w:rFonts w:hint="eastAsia" w:ascii="方正仿宋_GBK" w:hAnsi="方正仿宋_GBK" w:eastAsia="方正仿宋_GBK" w:cs="方正仿宋_GBK"/>
          <w:color w:val="auto"/>
          <w:sz w:val="32"/>
          <w:szCs w:val="32"/>
        </w:rPr>
      </w:pPr>
      <w:bookmarkStart w:id="113" w:name="_Toc8076"/>
      <w:bookmarkStart w:id="114" w:name="_Toc28181_WPSOffice_Level2"/>
      <w:bookmarkStart w:id="115" w:name="_Toc13715"/>
      <w:bookmarkStart w:id="116" w:name="_Toc28357"/>
      <w:bookmarkStart w:id="117" w:name="_Toc5182"/>
      <w:bookmarkStart w:id="118" w:name="_Toc3724"/>
      <w:bookmarkStart w:id="119" w:name="_Toc14824"/>
      <w:bookmarkStart w:id="120" w:name="_Toc27170"/>
      <w:bookmarkStart w:id="121" w:name="_Toc10722"/>
      <w:r>
        <w:rPr>
          <w:rFonts w:hint="eastAsia" w:ascii="方正仿宋_GBK" w:hAnsi="方正仿宋_GBK" w:eastAsia="方正仿宋_GBK" w:cs="方正仿宋_GBK"/>
          <w:color w:val="auto"/>
          <w:sz w:val="32"/>
          <w:szCs w:val="32"/>
        </w:rPr>
        <w:t>本次绩效评价遵循财政部《项目支出绩效评价管理办法》（财预〔2020〕10号）和自治区财政厅《自治区财政支出绩效评价管理暂行办法》（新财预〔2018〕189号）等相关政策文件与规定，本次评价对象为</w:t>
      </w:r>
      <w:r>
        <w:rPr>
          <w:rFonts w:hint="eastAsia" w:ascii="方正仿宋_GBK" w:hAnsi="方正仿宋_GBK" w:eastAsia="方正仿宋_GBK" w:cs="方正仿宋_GBK"/>
          <w:color w:val="auto"/>
          <w:sz w:val="32"/>
          <w:szCs w:val="32"/>
          <w:highlight w:val="none"/>
          <w:lang w:eastAsia="zh-CN"/>
        </w:rPr>
        <w:t>伽师县克孜勒博依生态综合整治工程（现代农业产业园）项目</w:t>
      </w:r>
      <w:r>
        <w:rPr>
          <w:rFonts w:hint="eastAsia" w:ascii="方正仿宋_GBK" w:hAnsi="方正仿宋_GBK" w:eastAsia="方正仿宋_GBK" w:cs="方正仿宋_GBK"/>
          <w:color w:val="auto"/>
          <w:sz w:val="32"/>
          <w:szCs w:val="32"/>
        </w:rPr>
        <w:t>，以项目支出为对象所对应的预算资金，以项目实施所带来的产出和效果为主要内容，以促进预算单位完成特定工作任务目标所组织开展的绩效评价。</w:t>
      </w:r>
    </w:p>
    <w:bookmarkEnd w:id="113"/>
    <w:bookmarkEnd w:id="114"/>
    <w:bookmarkEnd w:id="115"/>
    <w:bookmarkEnd w:id="116"/>
    <w:bookmarkEnd w:id="117"/>
    <w:bookmarkEnd w:id="118"/>
    <w:bookmarkEnd w:id="119"/>
    <w:bookmarkEnd w:id="120"/>
    <w:bookmarkEnd w:id="121"/>
    <w:p>
      <w:pPr>
        <w:pStyle w:val="28"/>
        <w:pageBreakBefore w:val="0"/>
        <w:numPr>
          <w:ilvl w:val="0"/>
          <w:numId w:val="0"/>
        </w:numPr>
        <w:kinsoku/>
        <w:wordWrap/>
        <w:topLinePunct w:val="0"/>
        <w:autoSpaceDE/>
        <w:bidi w:val="0"/>
        <w:spacing w:line="560" w:lineRule="exact"/>
        <w:ind w:left="480" w:leftChars="200" w:firstLine="0" w:firstLineChars="0"/>
        <w:outlineLvl w:val="2"/>
        <w:rPr>
          <w:rFonts w:hint="eastAsia" w:ascii="方正仿宋_GBK" w:hAnsi="方正仿宋_GBK" w:eastAsia="方正仿宋_GBK" w:cs="方正仿宋_GBK"/>
          <w:i w:val="0"/>
          <w:caps w:val="0"/>
          <w:color w:val="auto"/>
          <w:spacing w:val="0"/>
          <w:sz w:val="32"/>
          <w:szCs w:val="32"/>
          <w:shd w:val="clear" w:color="auto" w:fill="FFFFFF"/>
        </w:rPr>
      </w:pPr>
      <w:bookmarkStart w:id="122" w:name="_Toc30477_WPSOffice_Level3"/>
      <w:bookmarkStart w:id="123" w:name="_Toc4064_WPSOffice_Level2"/>
      <w:r>
        <w:rPr>
          <w:rFonts w:hint="eastAsia" w:ascii="方正仿宋_GBK" w:hAnsi="方正仿宋_GBK" w:eastAsia="方正仿宋_GBK" w:cs="方正仿宋_GBK"/>
          <w:b/>
          <w:bCs/>
          <w:color w:val="auto"/>
          <w:sz w:val="32"/>
          <w:szCs w:val="32"/>
          <w:lang w:val="en-US" w:eastAsia="zh-CN"/>
        </w:rPr>
        <w:t>3.</w:t>
      </w:r>
      <w:r>
        <w:rPr>
          <w:rFonts w:hint="eastAsia" w:ascii="方正仿宋_GBK" w:hAnsi="方正仿宋_GBK" w:eastAsia="方正仿宋_GBK" w:cs="方正仿宋_GBK"/>
          <w:b/>
          <w:bCs/>
          <w:color w:val="auto"/>
          <w:sz w:val="32"/>
          <w:szCs w:val="32"/>
        </w:rPr>
        <w:t>绩效评价范围</w:t>
      </w:r>
      <w:r>
        <w:rPr>
          <w:rFonts w:hint="eastAsia" w:ascii="方正仿宋_GBK" w:hAnsi="方正仿宋_GBK" w:eastAsia="方正仿宋_GBK" w:cs="方正仿宋_GBK"/>
          <w:i w:val="0"/>
          <w:caps w:val="0"/>
          <w:color w:val="auto"/>
          <w:spacing w:val="0"/>
          <w:sz w:val="32"/>
          <w:szCs w:val="32"/>
          <w:shd w:val="clear" w:color="auto" w:fill="FFFFFF"/>
        </w:rPr>
        <w:t> </w:t>
      </w:r>
      <w:bookmarkEnd w:id="122"/>
    </w:p>
    <w:p>
      <w:pPr>
        <w:pStyle w:val="28"/>
        <w:pageBreakBefore w:val="0"/>
        <w:numPr>
          <w:ilvl w:val="0"/>
          <w:numId w:val="0"/>
        </w:numPr>
        <w:kinsoku/>
        <w:wordWrap/>
        <w:topLinePunct w:val="0"/>
        <w:autoSpaceDE/>
        <w:bidi w:val="0"/>
        <w:spacing w:line="560" w:lineRule="exact"/>
        <w:ind w:firstLine="640" w:firstLineChars="200"/>
        <w:outlineLvl w:val="2"/>
        <w:rPr>
          <w:rFonts w:ascii="仿宋" w:hAnsi="仿宋" w:eastAsia="仿宋" w:cs="仿宋"/>
          <w:i w:val="0"/>
          <w:caps w:val="0"/>
          <w:color w:val="auto"/>
          <w:spacing w:val="0"/>
          <w:sz w:val="32"/>
          <w:szCs w:val="32"/>
          <w:shd w:val="clear" w:color="auto" w:fill="FFFFFF"/>
        </w:rPr>
      </w:pPr>
      <w:r>
        <w:rPr>
          <w:rFonts w:hint="eastAsia" w:ascii="方正仿宋_GBK" w:hAnsi="方正仿宋_GBK" w:eastAsia="方正仿宋_GBK" w:cs="方正仿宋_GBK"/>
          <w:b w:val="0"/>
          <w:bCs w:val="0"/>
          <w:color w:val="auto"/>
          <w:sz w:val="32"/>
          <w:szCs w:val="32"/>
          <w:lang w:val="en-US" w:eastAsia="zh-CN"/>
        </w:rPr>
        <w:t>本次评价范围涵盖项目总体绩效目标、各项绩效指标完成情况以及预算执行情况。覆盖项目预算资金支出的所有内容进行评价。包括项目决策、项目实施和项目成果验收流程等。</w:t>
      </w:r>
    </w:p>
    <w:p>
      <w:pPr>
        <w:pStyle w:val="27"/>
        <w:pageBreakBefore w:val="0"/>
        <w:kinsoku/>
        <w:wordWrap/>
        <w:topLinePunct w:val="0"/>
        <w:autoSpaceDE/>
        <w:bidi w:val="0"/>
        <w:spacing w:before="0" w:after="0" w:line="560" w:lineRule="exact"/>
        <w:ind w:left="0" w:leftChars="0" w:firstLine="562" w:firstLineChars="175"/>
        <w:rPr>
          <w:rFonts w:hint="eastAsia" w:ascii="方正楷体_GBK" w:hAnsi="方正楷体_GBK" w:eastAsia="方正楷体_GBK" w:cs="方正楷体_GBK"/>
          <w:color w:val="auto"/>
          <w:sz w:val="32"/>
        </w:rPr>
      </w:pPr>
      <w:bookmarkStart w:id="124" w:name="_Toc31556_WPSOffice_Level2"/>
      <w:bookmarkStart w:id="125" w:name="_Toc1020_WPSOffice_Level2"/>
      <w:bookmarkStart w:id="126" w:name="_Toc68364662"/>
      <w:r>
        <w:rPr>
          <w:rFonts w:hint="eastAsia" w:ascii="方正楷体_GBK" w:hAnsi="方正楷体_GBK" w:eastAsia="方正楷体_GBK" w:cs="方正楷体_GBK"/>
          <w:color w:val="auto"/>
          <w:sz w:val="32"/>
        </w:rPr>
        <w:t>（二）绩效评价</w:t>
      </w:r>
      <w:bookmarkStart w:id="127" w:name="_Toc24895_WPSOffice_Level2"/>
      <w:r>
        <w:rPr>
          <w:rFonts w:hint="eastAsia" w:ascii="方正楷体_GBK" w:hAnsi="方正楷体_GBK" w:eastAsia="方正楷体_GBK" w:cs="方正楷体_GBK"/>
          <w:color w:val="auto"/>
          <w:sz w:val="32"/>
        </w:rPr>
        <w:t>原则、评价指标体系、评价方法评价</w:t>
      </w:r>
      <w:bookmarkEnd w:id="127"/>
      <w:r>
        <w:rPr>
          <w:rFonts w:hint="eastAsia" w:ascii="方正楷体_GBK" w:hAnsi="方正楷体_GBK" w:eastAsia="方正楷体_GBK" w:cs="方正楷体_GBK"/>
          <w:color w:val="auto"/>
          <w:sz w:val="32"/>
        </w:rPr>
        <w:t>标准</w:t>
      </w:r>
      <w:bookmarkEnd w:id="124"/>
      <w:bookmarkEnd w:id="125"/>
      <w:bookmarkEnd w:id="126"/>
    </w:p>
    <w:p>
      <w:pPr>
        <w:pStyle w:val="28"/>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bookmarkStart w:id="128" w:name="_Toc17737_WPSOffice_Level3"/>
      <w:r>
        <w:rPr>
          <w:rFonts w:hint="eastAsia" w:ascii="方正仿宋_GBK" w:hAnsi="方正仿宋_GBK" w:eastAsia="方正仿宋_GBK" w:cs="方正仿宋_GBK"/>
          <w:b/>
          <w:bCs/>
          <w:color w:val="auto"/>
          <w:sz w:val="32"/>
          <w:szCs w:val="32"/>
        </w:rPr>
        <w:t>1. 绩效评价原则</w:t>
      </w:r>
      <w:bookmarkEnd w:id="128"/>
    </w:p>
    <w:p>
      <w:pPr>
        <w:pStyle w:val="28"/>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本次绩效评价遵循的原则包括：</w:t>
      </w:r>
    </w:p>
    <w:p>
      <w:pPr>
        <w:pStyle w:val="28"/>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（1）科学公正。</w:t>
      </w:r>
      <w:r>
        <w:rPr>
          <w:rFonts w:hint="eastAsia" w:ascii="方正仿宋_GBK" w:hAnsi="方正仿宋_GBK" w:eastAsia="方正仿宋_GBK" w:cs="方正仿宋_GBK"/>
          <w:color w:val="auto"/>
          <w:sz w:val="32"/>
          <w:szCs w:val="32"/>
        </w:rPr>
        <w:t>绩效评价应当运用科学合理的方法，按照规范的程序，对项目绩效进行客观、公正的反映。</w:t>
      </w:r>
    </w:p>
    <w:p>
      <w:pPr>
        <w:pStyle w:val="28"/>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（2）统筹兼顾。</w:t>
      </w:r>
      <w:r>
        <w:rPr>
          <w:rFonts w:hint="eastAsia" w:ascii="方正仿宋_GBK" w:hAnsi="方正仿宋_GBK" w:eastAsia="方正仿宋_GBK" w:cs="方正仿宋_GBK"/>
          <w:color w:val="auto"/>
          <w:sz w:val="32"/>
          <w:szCs w:val="32"/>
        </w:rPr>
        <w:t>单位自评、部门评价和财政评价应职责明确，各有侧重，相互衔接。单位自评应由项目单位自主实施，即“谁支出</w:t>
      </w:r>
      <w:bookmarkStart w:id="129" w:name="_Toc12518_WPSOffice_Level2"/>
      <w:r>
        <w:rPr>
          <w:rFonts w:hint="eastAsia" w:ascii="方正仿宋_GBK" w:hAnsi="方正仿宋_GBK" w:eastAsia="方正仿宋_GBK" w:cs="方正仿宋_GBK"/>
          <w:color w:val="auto"/>
          <w:sz w:val="32"/>
          <w:szCs w:val="32"/>
        </w:rPr>
        <w:t>、谁自评”。部门评价和财</w:t>
      </w:r>
      <w:bookmarkEnd w:id="129"/>
      <w:r>
        <w:rPr>
          <w:rFonts w:hint="eastAsia" w:ascii="方正仿宋_GBK" w:hAnsi="方正仿宋_GBK" w:eastAsia="方正仿宋_GBK" w:cs="方正仿宋_GBK"/>
          <w:color w:val="auto"/>
          <w:sz w:val="32"/>
          <w:szCs w:val="32"/>
        </w:rPr>
        <w:t>政评价应在</w:t>
      </w:r>
      <w:bookmarkStart w:id="130" w:name="_Toc25020_WPSOffice_Level2"/>
      <w:r>
        <w:rPr>
          <w:rFonts w:hint="eastAsia" w:ascii="方正仿宋_GBK" w:hAnsi="方正仿宋_GBK" w:eastAsia="方正仿宋_GBK" w:cs="方正仿宋_GBK"/>
          <w:color w:val="auto"/>
          <w:sz w:val="32"/>
          <w:szCs w:val="32"/>
        </w:rPr>
        <w:t>单位自评的基础上开展，</w:t>
      </w:r>
      <w:bookmarkEnd w:id="130"/>
      <w:r>
        <w:rPr>
          <w:rFonts w:hint="eastAsia" w:ascii="方正仿宋_GBK" w:hAnsi="方正仿宋_GBK" w:eastAsia="方正仿宋_GBK" w:cs="方正仿宋_GBK"/>
          <w:color w:val="auto"/>
          <w:sz w:val="32"/>
          <w:szCs w:val="32"/>
        </w:rPr>
        <w:t>必要时可委托第三方机构实施。</w:t>
      </w:r>
    </w:p>
    <w:p>
      <w:pPr>
        <w:pStyle w:val="28"/>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（3）激励约束。</w:t>
      </w:r>
      <w:r>
        <w:rPr>
          <w:rFonts w:hint="eastAsia" w:ascii="方正仿宋_GBK" w:hAnsi="方正仿宋_GBK" w:eastAsia="方正仿宋_GBK" w:cs="方正仿宋_GBK"/>
          <w:color w:val="auto"/>
          <w:sz w:val="32"/>
          <w:szCs w:val="32"/>
        </w:rPr>
        <w:t>绩效评价结果应与预算安排、政策调整、改进管理实质性挂钩，体现奖优罚劣和激励相容导向，有效要安排、低效要压减、无效要问责。</w:t>
      </w:r>
    </w:p>
    <w:p>
      <w:pPr>
        <w:pStyle w:val="28"/>
        <w:pageBreakBefore w:val="0"/>
        <w:kinsoku/>
        <w:wordWrap/>
        <w:topLinePunct w:val="0"/>
        <w:autoSpaceDE/>
        <w:bidi w:val="0"/>
        <w:spacing w:line="560" w:lineRule="exact"/>
        <w:ind w:firstLine="643"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（4）公开透明。</w:t>
      </w:r>
      <w:r>
        <w:rPr>
          <w:rFonts w:hint="eastAsia" w:ascii="方正仿宋_GBK" w:hAnsi="方正仿宋_GBK" w:eastAsia="方正仿宋_GBK" w:cs="方正仿宋_GBK"/>
          <w:color w:val="auto"/>
          <w:sz w:val="32"/>
          <w:szCs w:val="32"/>
        </w:rPr>
        <w:t>绩效评价结果应依法依规公开，并自觉接受社会监督。</w:t>
      </w:r>
    </w:p>
    <w:p>
      <w:pPr>
        <w:pStyle w:val="28"/>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bookmarkStart w:id="131" w:name="_Toc6622_WPSOffice_Level3"/>
      <w:r>
        <w:rPr>
          <w:rFonts w:hint="eastAsia" w:ascii="方正仿宋_GBK" w:hAnsi="方正仿宋_GBK" w:eastAsia="方正仿宋_GBK" w:cs="方正仿宋_GBK"/>
          <w:b/>
          <w:bCs/>
          <w:color w:val="auto"/>
          <w:sz w:val="32"/>
          <w:szCs w:val="32"/>
        </w:rPr>
        <w:t>2. 绩效评价指标体系</w:t>
      </w:r>
      <w:bookmarkEnd w:id="131"/>
    </w:p>
    <w:p>
      <w:pPr>
        <w:pStyle w:val="28"/>
        <w:pageBreakBefore w:val="0"/>
        <w:kinsoku/>
        <w:wordWrap/>
        <w:topLinePunct w:val="0"/>
        <w:autoSpaceDE/>
        <w:bidi w:val="0"/>
        <w:spacing w:line="570" w:lineRule="exact"/>
        <w:ind w:firstLine="640" w:firstLineChars="200"/>
        <w:jc w:val="both"/>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绩效评价指标体系根据《自治区党委自治区人民政府关于全面实施预算绩效管理的实施意见》（新党发〔2018〕30号）、《关于印发</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项目支出绩效评价管理办法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的通知》（财预﹝2020﹞10号）等文件要求设置，指标体系设置一级指标共4个，包括决策指标（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%）、过程指标（20%）、产出指标（</w:t>
      </w:r>
      <w:r>
        <w:rPr>
          <w:rFonts w:hint="eastAsia" w:ascii="方正仿宋_GBK" w:hAnsi="方正仿宋_GBK" w:eastAsia="方正仿宋_GBK" w:cs="方正仿宋_GBK"/>
          <w:color w:val="auto"/>
          <w:sz w:val="32"/>
          <w:szCs w:val="32"/>
          <w:highlight w:val="none"/>
          <w:lang w:val="en-US" w:eastAsia="zh-CN"/>
        </w:rPr>
        <w:t>40</w:t>
      </w:r>
      <w:r>
        <w:rPr>
          <w:rFonts w:hint="eastAsia" w:ascii="方正仿宋_GBK" w:hAnsi="方正仿宋_GBK" w:eastAsia="方正仿宋_GBK" w:cs="方正仿宋_GBK"/>
          <w:color w:val="auto"/>
          <w:sz w:val="32"/>
          <w:szCs w:val="32"/>
          <w:highlight w:val="none"/>
        </w:rPr>
        <w:t>%）、效益指标（</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四类指标；主要围绕资金使用、项目管理、资源配置等方面，客观分析项目的产出和效果，从而考察项目预算定额标准的合理性，进而提出完善意见。整个评价框架构成体现从投入、过程到产出、效果和影响的绩效逻辑路径。具体指标分类如下：</w:t>
      </w:r>
      <w:r>
        <w:rPr>
          <w:rFonts w:hint="eastAsia" w:ascii="方正仿宋_GBK" w:hAnsi="方正仿宋_GBK" w:eastAsia="方正仿宋_GBK" w:cs="方正仿宋_GBK"/>
          <w:color w:val="auto"/>
          <w:sz w:val="32"/>
          <w:szCs w:val="32"/>
          <w:highlight w:val="none"/>
          <w:lang w:eastAsia="zh-CN"/>
        </w:rPr>
        <w:t>（详见附表</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pPr>
        <w:pStyle w:val="28"/>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一级指标为：决策、过程、产出、效益</w:t>
      </w:r>
      <w:r>
        <w:rPr>
          <w:rFonts w:hint="eastAsia" w:ascii="方正仿宋_GBK" w:hAnsi="方正仿宋_GBK" w:eastAsia="方正仿宋_GBK" w:cs="方正仿宋_GBK"/>
          <w:color w:val="auto"/>
          <w:sz w:val="32"/>
          <w:szCs w:val="32"/>
          <w:lang w:eastAsia="zh-CN"/>
        </w:rPr>
        <w:t>。</w:t>
      </w:r>
    </w:p>
    <w:p>
      <w:pPr>
        <w:pStyle w:val="28"/>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二级指标为：项目立项、绩效目标、资金投入、资金管理、组织实施、产出数量、产出质量、产出时效、产出成本、项目效益</w:t>
      </w:r>
      <w:r>
        <w:rPr>
          <w:rFonts w:hint="eastAsia" w:ascii="方正仿宋_GBK" w:hAnsi="方正仿宋_GBK" w:eastAsia="方正仿宋_GBK" w:cs="方正仿宋_GBK"/>
          <w:color w:val="auto"/>
          <w:sz w:val="32"/>
          <w:szCs w:val="32"/>
          <w:lang w:eastAsia="zh-CN"/>
        </w:rPr>
        <w:t>。</w:t>
      </w:r>
    </w:p>
    <w:p>
      <w:pPr>
        <w:pStyle w:val="28"/>
        <w:pageBreakBefore w:val="0"/>
        <w:kinsoku/>
        <w:wordWrap/>
        <w:topLinePunct w:val="0"/>
        <w:autoSpaceDE/>
        <w:bidi w:val="0"/>
        <w:spacing w:line="560" w:lineRule="exact"/>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三级指标为：立项依据充分性、立项程序规范性、绩效目标合理性、绩效指标明确性、预算编制科学性、资金分配合理性、资金到位率、预算执行率、资金使用合规性、管理制度健全性、制度执行有效性、实际完成率、质量达标率、完成及时性、成本节约率、社会效益、生态效益、可持续影响、服务对象满意度</w:t>
      </w:r>
      <w:r>
        <w:rPr>
          <w:rFonts w:hint="eastAsia" w:ascii="方正仿宋_GBK" w:hAnsi="方正仿宋_GBK" w:eastAsia="方正仿宋_GBK" w:cs="方正仿宋_GBK"/>
          <w:color w:val="auto"/>
          <w:sz w:val="32"/>
          <w:szCs w:val="32"/>
          <w:lang w:eastAsia="zh-CN"/>
        </w:rPr>
        <w:t>。</w:t>
      </w:r>
    </w:p>
    <w:p>
      <w:pPr>
        <w:pStyle w:val="28"/>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bookmarkStart w:id="132" w:name="_Toc8305_WPSOffice_Level3"/>
      <w:r>
        <w:rPr>
          <w:rFonts w:hint="eastAsia" w:ascii="方正仿宋_GBK" w:hAnsi="方正仿宋_GBK" w:eastAsia="方正仿宋_GBK" w:cs="方正仿宋_GBK"/>
          <w:b/>
          <w:bCs/>
          <w:color w:val="auto"/>
          <w:sz w:val="32"/>
          <w:szCs w:val="32"/>
        </w:rPr>
        <w:t>3. 绩效评价方法</w:t>
      </w:r>
      <w:bookmarkEnd w:id="132"/>
    </w:p>
    <w:p>
      <w:pPr>
        <w:pStyle w:val="29"/>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正确的评价方法是评价工作顺利开展的保障，在结合实际经验的情况下，绩效评价小组根据该项目资金的性质和特点，选用比较法、因素分析法、公众评判法以及文献法对项目进行评价，旨在通过综合分析影响绩效目标实现、实施效果的内外部因素，从而评价该项目绩效。三级指标分析环节：总体采用比较法，同时辅以文献法、成本效益法、因素分析法以及公众评判法，根据不同三级指标类型进行逐项分析。</w:t>
      </w:r>
    </w:p>
    <w:p>
      <w:pPr>
        <w:pStyle w:val="29"/>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①定量指标分析环节：主要采用比较法，对比三级指标预期指标值和三级指标截</w:t>
      </w:r>
      <w:r>
        <w:rPr>
          <w:rFonts w:hint="eastAsia" w:ascii="方正仿宋_GBK" w:hAnsi="方正仿宋_GBK" w:eastAsia="方正仿宋_GBK" w:cs="方正仿宋_GBK"/>
          <w:bCs/>
          <w:color w:val="auto"/>
          <w:sz w:val="32"/>
          <w:szCs w:val="32"/>
          <w:highlight w:val="none"/>
          <w:lang w:val="en-US" w:eastAsia="zh-CN"/>
        </w:rPr>
        <w:t>至</w:t>
      </w:r>
      <w:r>
        <w:rPr>
          <w:rFonts w:hint="eastAsia" w:ascii="方正仿宋_GBK" w:hAnsi="方正仿宋_GBK" w:eastAsia="方正仿宋_GBK" w:cs="方正仿宋_GBK"/>
          <w:bCs/>
          <w:color w:val="auto"/>
          <w:sz w:val="32"/>
          <w:szCs w:val="32"/>
          <w:highlight w:val="none"/>
        </w:rPr>
        <w:t>评价日的完成情况，综合分析绩效目标实现程度。详细评价方法的应用如下:</w:t>
      </w:r>
    </w:p>
    <w:p>
      <w:pPr>
        <w:pStyle w:val="29"/>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一般量化统计类等定量指标：通过对比实际完成值和预期指标值，达成预期指标值的，得满分；对完成值高于指标值较多的，要分析原因，如果是由于年初指标值设定明显偏低造成的，要按照偏离程度适度调减分值；未完成指标值的，按照完成值与指标值的比值计算分值。</w:t>
      </w:r>
    </w:p>
    <w:p>
      <w:pPr>
        <w:pStyle w:val="29"/>
        <w:pageBreakBefore w:val="0"/>
        <w:tabs>
          <w:tab w:val="left" w:pos="1559"/>
        </w:tabs>
        <w:kinsoku/>
        <w:wordWrap/>
        <w:topLinePunct w:val="0"/>
        <w:autoSpaceDE/>
        <w:bidi w:val="0"/>
        <w:adjustRightInd w:val="0"/>
        <w:snapToGrid w:val="0"/>
        <w:spacing w:line="570" w:lineRule="exact"/>
        <w:ind w:left="0" w:leftChars="0"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属于“是”或“否”判断的单一评判定量指标：比较法，符合要求的得满分，不符合要求的不得分或者扣相应的分数。</w:t>
      </w:r>
    </w:p>
    <w:p>
      <w:pPr>
        <w:pStyle w:val="29"/>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满意度指标：主要采用比较法，据满意度问卷统计结果计算指标完成比率，将指标完成比率与预期指标值对比，达成满意度预期目标的，得满分；未完成指标值的，按照完成值与预期指标值的比值计算得分；满意度小于60%不得分。</w:t>
      </w:r>
    </w:p>
    <w:p>
      <w:pPr>
        <w:pStyle w:val="29"/>
        <w:pageBreakBefore w:val="0"/>
        <w:tabs>
          <w:tab w:val="left" w:pos="1559"/>
        </w:tabs>
        <w:kinsoku/>
        <w:wordWrap/>
        <w:topLinePunct w:val="0"/>
        <w:autoSpaceDE/>
        <w:bidi w:val="0"/>
        <w:adjustRightInd w:val="0"/>
        <w:snapToGrid w:val="0"/>
        <w:spacing w:line="570" w:lineRule="exact"/>
        <w:ind w:firstLine="640" w:firstLineChars="200"/>
        <w:jc w:val="both"/>
        <w:rPr>
          <w:rFonts w:hint="eastAsia" w:ascii="方正仿宋_GBK" w:hAnsi="方正仿宋_GBK" w:eastAsia="方正仿宋_GBK" w:cs="方正仿宋_GBK"/>
          <w:bCs/>
          <w:color w:val="auto"/>
          <w:sz w:val="32"/>
          <w:szCs w:val="32"/>
          <w:highlight w:val="none"/>
        </w:rPr>
      </w:pPr>
      <w:r>
        <w:rPr>
          <w:rFonts w:hint="eastAsia" w:ascii="方正仿宋_GBK" w:hAnsi="方正仿宋_GBK" w:eastAsia="方正仿宋_GBK" w:cs="方正仿宋_GBK"/>
          <w:bCs/>
          <w:color w:val="auto"/>
          <w:sz w:val="32"/>
          <w:szCs w:val="32"/>
          <w:highlight w:val="none"/>
        </w:rPr>
        <w:t>②定性指标分析环节：主要采用公众评判法，通过问卷及抽样调查等方式评价本项目实施后社会公众对于其实施效果的满意程度，将调研结果按照《项目支出绩效评价管理办法》（财预〔2020〕10号）、《关于印发&lt;自治区项目支出绩效目标设置指引&gt;的通知》（新财预〔2022〕42号）文件要求分为基本达成目标、部分实现目标、实现目标程度较低三档，分别按照该指标对应分值区间100%-80%（含）、80%-60%（含）、60%-0%合理确定分值，详细评价方法的应用如下:</w:t>
      </w:r>
    </w:p>
    <w:p>
      <w:pPr>
        <w:pStyle w:val="29"/>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项目决策：</w:t>
      </w:r>
      <w:r>
        <w:rPr>
          <w:rFonts w:hint="eastAsia" w:ascii="方正仿宋_GBK" w:hAnsi="方正仿宋_GBK" w:eastAsia="方正仿宋_GBK" w:cs="方正仿宋_GBK"/>
          <w:bCs/>
          <w:color w:val="auto"/>
          <w:sz w:val="32"/>
          <w:szCs w:val="32"/>
        </w:rPr>
        <w:t>①立项依据充分性：比较法、文献法，查找法律法规政策以及规划，对比实际执行内容和政策支持内容是否匹配。②立项程序规范性：比较法、文献法，查找相关项目设立的政策和文件要求，对比分析实际执行程序是否按照政策及文件要求执行，分析立项程序的规范性。③绩效目标合理性：比较法，对比分析年初编制项目支出绩效目标表与项目内容的相关性、资金的匹配性等。④绩效指标明确性：比较法，比较分析年初编制项目支出绩效目标表是否符合双七原则，是否可衡量。⑤预算编制科学性：成本效益分析法分析在产出一定的情况下，成本取值是否有依据，是否经过询价，是否按照市场最低成本编制。⑥资金分配合理性：因素分析法，综合分析资金的分配依据是否充分，分配金额是否与项目实施单位需求金额一致。</w:t>
      </w:r>
    </w:p>
    <w:p>
      <w:pPr>
        <w:pStyle w:val="29"/>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项目过程：</w:t>
      </w:r>
      <w:r>
        <w:rPr>
          <w:rFonts w:hint="eastAsia" w:ascii="方正仿宋_GBK" w:hAnsi="方正仿宋_GBK" w:eastAsia="方正仿宋_GBK" w:cs="方正仿宋_GBK"/>
          <w:bCs/>
          <w:color w:val="auto"/>
          <w:sz w:val="32"/>
          <w:szCs w:val="32"/>
        </w:rPr>
        <w:t>①资金到位率：比较法，</w:t>
      </w:r>
      <w:bookmarkStart w:id="133" w:name="_Toc21488_WPSOffice_Level1"/>
      <w:r>
        <w:rPr>
          <w:rFonts w:hint="eastAsia" w:ascii="方正仿宋_GBK" w:hAnsi="方正仿宋_GBK" w:eastAsia="方正仿宋_GBK" w:cs="方正仿宋_GBK"/>
          <w:bCs/>
          <w:color w:val="auto"/>
          <w:sz w:val="32"/>
          <w:szCs w:val="32"/>
        </w:rPr>
        <w:t>资金到位率预期指标值应为1</w:t>
      </w:r>
      <w:bookmarkEnd w:id="133"/>
      <w:r>
        <w:rPr>
          <w:rFonts w:hint="eastAsia" w:ascii="方正仿宋_GBK" w:hAnsi="方正仿宋_GBK" w:eastAsia="方正仿宋_GBK" w:cs="方正仿宋_GBK"/>
          <w:bCs/>
          <w:color w:val="auto"/>
          <w:sz w:val="32"/>
          <w:szCs w:val="32"/>
        </w:rPr>
        <w:t>0</w:t>
      </w:r>
      <w:bookmarkStart w:id="134" w:name="_Toc31920_WPSOffice_Level2"/>
      <w:r>
        <w:rPr>
          <w:rFonts w:hint="eastAsia" w:ascii="方正仿宋_GBK" w:hAnsi="方正仿宋_GBK" w:eastAsia="方正仿宋_GBK" w:cs="方正仿宋_GBK"/>
          <w:bCs/>
          <w:color w:val="auto"/>
          <w:sz w:val="32"/>
          <w:szCs w:val="32"/>
        </w:rPr>
        <w:t>0%，通过实际计算</w:t>
      </w:r>
      <w:bookmarkEnd w:id="134"/>
      <w:r>
        <w:rPr>
          <w:rFonts w:hint="eastAsia" w:ascii="方正仿宋_GBK" w:hAnsi="方正仿宋_GBK" w:eastAsia="方正仿宋_GBK" w:cs="方正仿宋_GBK"/>
          <w:bCs/>
          <w:color w:val="auto"/>
          <w:sz w:val="32"/>
          <w:szCs w:val="32"/>
        </w:rPr>
        <w:t>，分析实际完成值和预期指标值之间的差距和原因。②预算执行率：比较法，预算执行率预期指标值应为100%，通过实际计算，分析实际完成值和预期指标值之间的差距和原因。③资金使用合规性：文献法、实地勘察法，一是查找资金</w:t>
      </w:r>
      <w:bookmarkStart w:id="135" w:name="_Toc10355_WPSOffice_Level1"/>
      <w:r>
        <w:rPr>
          <w:rFonts w:hint="eastAsia" w:ascii="方正仿宋_GBK" w:hAnsi="方正仿宋_GBK" w:eastAsia="方正仿宋_GBK" w:cs="方正仿宋_GBK"/>
          <w:bCs/>
          <w:color w:val="auto"/>
          <w:sz w:val="32"/>
          <w:szCs w:val="32"/>
        </w:rPr>
        <w:t>管理办法，包括专</w:t>
      </w:r>
      <w:bookmarkEnd w:id="135"/>
      <w:r>
        <w:rPr>
          <w:rFonts w:hint="eastAsia" w:ascii="方正仿宋_GBK" w:hAnsi="方正仿宋_GBK" w:eastAsia="方正仿宋_GBK" w:cs="方正仿宋_GBK"/>
          <w:bCs/>
          <w:color w:val="auto"/>
          <w:sz w:val="32"/>
          <w:szCs w:val="32"/>
        </w:rPr>
        <w:t>项</w:t>
      </w:r>
      <w:bookmarkStart w:id="136" w:name="_Toc17733_WPSOffice_Level2"/>
      <w:r>
        <w:rPr>
          <w:rFonts w:hint="eastAsia" w:ascii="方正仿宋_GBK" w:hAnsi="方正仿宋_GBK" w:eastAsia="方正仿宋_GBK" w:cs="方正仿宋_GBK"/>
          <w:bCs/>
          <w:color w:val="auto"/>
          <w:sz w:val="32"/>
          <w:szCs w:val="32"/>
        </w:rPr>
        <w:t>资金管理办法和单位</w:t>
      </w:r>
      <w:bookmarkEnd w:id="136"/>
      <w:r>
        <w:rPr>
          <w:rFonts w:hint="eastAsia" w:ascii="方正仿宋_GBK" w:hAnsi="方正仿宋_GBK" w:eastAsia="方正仿宋_GBK" w:cs="方正仿宋_GBK"/>
          <w:bCs/>
          <w:color w:val="auto"/>
          <w:sz w:val="32"/>
          <w:szCs w:val="32"/>
        </w:rPr>
        <w:t>自</w:t>
      </w:r>
      <w:bookmarkStart w:id="137" w:name="_Toc14229_WPSOffice_Level3"/>
      <w:r>
        <w:rPr>
          <w:rFonts w:hint="eastAsia" w:ascii="方正仿宋_GBK" w:hAnsi="方正仿宋_GBK" w:eastAsia="方正仿宋_GBK" w:cs="方正仿宋_GBK"/>
          <w:bCs/>
          <w:color w:val="auto"/>
          <w:sz w:val="32"/>
          <w:szCs w:val="32"/>
        </w:rPr>
        <w:t>有资金管理办法；</w:t>
      </w:r>
      <w:bookmarkEnd w:id="137"/>
      <w:r>
        <w:rPr>
          <w:rFonts w:hint="eastAsia" w:ascii="方正仿宋_GBK" w:hAnsi="方正仿宋_GBK" w:eastAsia="方正仿宋_GBK" w:cs="方正仿宋_GBK"/>
          <w:bCs/>
          <w:color w:val="auto"/>
          <w:sz w:val="32"/>
          <w:szCs w:val="32"/>
        </w:rPr>
        <w:t>二是通过查账了解具体开支情况，是否专款专用，是否按照标准支出。④管理制度健全性：文献法、比较法，查阅项目实施人员提供的财务和业务管理制度，将已建立的制度与现行的法律法规和政策要求进行对比，分析项目制度的合法性、合规性、完整性。⑤制度执行有效性：比较法，结合项目实际实施过程性文件，根据已建设的财务管理制度和项目管理制度综合分析制度执行的有效性。</w:t>
      </w:r>
    </w:p>
    <w:p>
      <w:pPr>
        <w:pStyle w:val="29"/>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项目产出：</w:t>
      </w:r>
      <w:r>
        <w:rPr>
          <w:rFonts w:hint="eastAsia" w:ascii="方正仿宋_GBK" w:hAnsi="方正仿宋_GBK" w:eastAsia="方正仿宋_GBK" w:cs="方正仿宋_GBK"/>
          <w:bCs/>
          <w:color w:val="auto"/>
          <w:sz w:val="32"/>
          <w:szCs w:val="32"/>
        </w:rPr>
        <w:t>比较法，将实际完成值与年初指标值相比，完成指标值该指标赋全部分值；对完成值高于指标值较多的，要分析原因，如果是由于年初指标值设定明显偏低造成的，要按照偏离度适度调减分值；未完成指标值的，按照完成值与指标值的</w:t>
      </w:r>
      <w:bookmarkStart w:id="138" w:name="_Toc21911_WPSOffice_Level2"/>
      <w:r>
        <w:rPr>
          <w:rFonts w:hint="eastAsia" w:ascii="方正仿宋_GBK" w:hAnsi="方正仿宋_GBK" w:eastAsia="方正仿宋_GBK" w:cs="方正仿宋_GBK"/>
          <w:bCs/>
          <w:color w:val="auto"/>
          <w:sz w:val="32"/>
          <w:szCs w:val="32"/>
        </w:rPr>
        <w:t>比例计分。</w:t>
      </w:r>
    </w:p>
    <w:p>
      <w:pPr>
        <w:pStyle w:val="29"/>
        <w:pageBreakBefore w:val="0"/>
        <w:tabs>
          <w:tab w:val="left" w:pos="1559"/>
        </w:tabs>
        <w:kinsoku/>
        <w:wordWrap/>
        <w:topLinePunct w:val="0"/>
        <w:autoSpaceDE/>
        <w:bidi w:val="0"/>
        <w:adjustRightInd w:val="0"/>
        <w:snapToGrid w:val="0"/>
        <w:spacing w:line="560" w:lineRule="exact"/>
        <w:ind w:firstLine="643" w:firstLineChars="200"/>
        <w:rPr>
          <w:rFonts w:hint="eastAsia" w:ascii="方正仿宋_GBK" w:hAnsi="方正仿宋_GBK" w:eastAsia="方正仿宋_GBK" w:cs="方正仿宋_GBK"/>
          <w:bCs/>
          <w:color w:val="auto"/>
          <w:sz w:val="32"/>
          <w:szCs w:val="32"/>
        </w:rPr>
      </w:pPr>
      <w:r>
        <w:rPr>
          <w:rFonts w:hint="eastAsia" w:ascii="方正仿宋_GBK" w:hAnsi="方正仿宋_GBK" w:eastAsia="方正仿宋_GBK" w:cs="方正仿宋_GBK"/>
          <w:b/>
          <w:bCs w:val="0"/>
          <w:color w:val="auto"/>
          <w:sz w:val="32"/>
          <w:szCs w:val="32"/>
        </w:rPr>
        <w:t>项目效</w:t>
      </w:r>
      <w:bookmarkEnd w:id="138"/>
      <w:r>
        <w:rPr>
          <w:rFonts w:hint="eastAsia" w:ascii="方正仿宋_GBK" w:hAnsi="方正仿宋_GBK" w:eastAsia="方正仿宋_GBK" w:cs="方正仿宋_GBK"/>
          <w:b/>
          <w:bCs w:val="0"/>
          <w:color w:val="auto"/>
          <w:sz w:val="32"/>
          <w:szCs w:val="32"/>
        </w:rPr>
        <w:t>益：</w:t>
      </w:r>
      <w:r>
        <w:rPr>
          <w:rFonts w:hint="eastAsia" w:ascii="方正仿宋_GBK" w:hAnsi="方正仿宋_GBK" w:eastAsia="方正仿宋_GBK" w:cs="方正仿宋_GBK"/>
          <w:bCs/>
          <w:color w:val="auto"/>
          <w:sz w:val="32"/>
          <w:szCs w:val="32"/>
        </w:rPr>
        <w:t>公众评判法、实地勘察法，通过实地勘察、问卷及抽样调查等方式评价本项目实施后社会公众或服务对象对项目实施效果的满意程度。</w:t>
      </w:r>
    </w:p>
    <w:bookmarkEnd w:id="123"/>
    <w:p>
      <w:pPr>
        <w:pStyle w:val="28"/>
        <w:pageBreakBefore w:val="0"/>
        <w:kinsoku/>
        <w:wordWrap/>
        <w:topLinePunct w:val="0"/>
        <w:autoSpaceDE/>
        <w:bidi w:val="0"/>
        <w:spacing w:line="560" w:lineRule="exact"/>
        <w:ind w:firstLine="643" w:firstLineChars="200"/>
        <w:outlineLvl w:val="2"/>
        <w:rPr>
          <w:rFonts w:hint="eastAsia" w:ascii="方正仿宋_GBK" w:hAnsi="方正仿宋_GBK" w:eastAsia="方正仿宋_GBK" w:cs="方正仿宋_GBK"/>
          <w:b/>
          <w:bCs/>
          <w:color w:val="auto"/>
          <w:sz w:val="32"/>
          <w:szCs w:val="32"/>
        </w:rPr>
      </w:pPr>
      <w:bookmarkStart w:id="139" w:name="_Toc31033_WPSOffice_Level3"/>
      <w:r>
        <w:rPr>
          <w:rFonts w:hint="eastAsia" w:ascii="方正仿宋_GBK" w:hAnsi="方正仿宋_GBK" w:eastAsia="方正仿宋_GBK" w:cs="方正仿宋_GBK"/>
          <w:b/>
          <w:bCs/>
          <w:color w:val="auto"/>
          <w:sz w:val="32"/>
          <w:szCs w:val="32"/>
        </w:rPr>
        <w:t>4. 绩效评价标准</w:t>
      </w:r>
      <w:bookmarkEnd w:id="139"/>
    </w:p>
    <w:p>
      <w:pPr>
        <w:pageBreakBefore w:val="0"/>
        <w:kinsoku/>
        <w:wordWrap/>
        <w:topLinePunct w:val="0"/>
        <w:autoSpaceDE/>
        <w:autoSpaceDN/>
        <w:bidi w:val="0"/>
        <w:spacing w:line="560" w:lineRule="exact"/>
        <w:ind w:firstLine="640" w:firstLineChars="200"/>
        <w:rPr>
          <w:rFonts w:hint="eastAsia" w:ascii="Times New Roman" w:hAnsi="Times New Roman" w:eastAsia="方正仿宋_GBK" w:cs="方正仿宋_GBK"/>
          <w:b w:val="0"/>
          <w:bCs w:val="0"/>
          <w:color w:val="auto"/>
          <w:sz w:val="32"/>
          <w:szCs w:val="32"/>
        </w:rPr>
      </w:pPr>
      <w:r>
        <w:rPr>
          <w:rFonts w:hint="eastAsia" w:ascii="Times New Roman" w:hAnsi="Times New Roman" w:eastAsia="方正仿宋_GBK" w:cs="方正仿宋_GBK"/>
          <w:b w:val="0"/>
          <w:bCs w:val="0"/>
          <w:color w:val="auto"/>
          <w:sz w:val="32"/>
          <w:szCs w:val="32"/>
        </w:rPr>
        <w:t>绩效评价标准通常包括计划标准、行业标准、历史标准等，用于对绩效指标完成情况进行比较</w:t>
      </w:r>
      <w:r>
        <w:rPr>
          <w:rFonts w:hint="eastAsia" w:ascii="Times New Roman" w:hAnsi="Times New Roman" w:eastAsia="方正仿宋_GBK" w:cs="方正仿宋_GBK"/>
          <w:b w:val="0"/>
          <w:bCs w:val="0"/>
          <w:color w:val="auto"/>
          <w:sz w:val="32"/>
          <w:szCs w:val="32"/>
          <w:lang w:eastAsia="zh-CN"/>
        </w:rPr>
        <w:t>、分析、评价</w:t>
      </w:r>
      <w:r>
        <w:rPr>
          <w:rFonts w:hint="eastAsia" w:ascii="Times New Roman" w:hAnsi="Times New Roman" w:eastAsia="方正仿宋_GBK" w:cs="方正仿宋_GBK"/>
          <w:b w:val="0"/>
          <w:bCs w:val="0"/>
          <w:color w:val="auto"/>
          <w:sz w:val="32"/>
          <w:szCs w:val="32"/>
        </w:rPr>
        <w:t>。本次评价主要采用了</w:t>
      </w:r>
      <w:r>
        <w:rPr>
          <w:rFonts w:hint="eastAsia" w:ascii="Times New Roman" w:hAnsi="Times New Roman" w:eastAsia="方正仿宋_GBK" w:cs="方正仿宋_GBK"/>
          <w:b w:val="0"/>
          <w:bCs w:val="0"/>
          <w:color w:val="auto"/>
          <w:sz w:val="32"/>
          <w:szCs w:val="32"/>
          <w:lang w:val="en-US" w:eastAsia="zh-CN"/>
        </w:rPr>
        <w:t>计划标准</w:t>
      </w:r>
      <w:r>
        <w:rPr>
          <w:rFonts w:hint="eastAsia" w:ascii="Times New Roman" w:hAnsi="Times New Roman" w:eastAsia="方正仿宋_GBK" w:cs="方正仿宋_GBK"/>
          <w:b w:val="0"/>
          <w:bCs w:val="0"/>
          <w:color w:val="auto"/>
          <w:sz w:val="32"/>
          <w:szCs w:val="32"/>
        </w:rPr>
        <w:t>。</w:t>
      </w:r>
    </w:p>
    <w:p>
      <w:pPr>
        <w:pageBreakBefore w:val="0"/>
        <w:kinsoku/>
        <w:wordWrap/>
        <w:topLinePunct w:val="0"/>
        <w:autoSpaceDE/>
        <w:autoSpaceDN/>
        <w:bidi w:val="0"/>
        <w:spacing w:line="560" w:lineRule="exact"/>
        <w:ind w:firstLine="643" w:firstLineChars="200"/>
        <w:rPr>
          <w:rFonts w:hint="eastAsia" w:ascii="方正仿宋_GBK" w:hAnsi="方正仿宋_GBK" w:eastAsia="方正仿宋_GBK" w:cs="方正仿宋_GBK"/>
          <w:b w:val="0"/>
          <w:bCs w:val="0"/>
          <w:color w:val="auto"/>
          <w:sz w:val="32"/>
          <w:szCs w:val="32"/>
          <w:highlight w:val="none"/>
          <w:lang w:val="en-US" w:eastAsia="zh-CN"/>
        </w:rPr>
      </w:pPr>
      <w:r>
        <w:rPr>
          <w:rFonts w:hint="eastAsia" w:ascii="Times New Roman" w:hAnsi="Times New Roman" w:eastAsia="方正仿宋_GBK" w:cs="方正仿宋_GBK"/>
          <w:b/>
          <w:bCs/>
          <w:color w:val="auto"/>
          <w:sz w:val="32"/>
          <w:szCs w:val="32"/>
          <w:lang w:val="en-US" w:eastAsia="zh-CN"/>
        </w:rPr>
        <w:t>计划标准：</w:t>
      </w:r>
      <w:r>
        <w:rPr>
          <w:rFonts w:hint="eastAsia" w:ascii="Times New Roman" w:hAnsi="Times New Roman" w:eastAsia="方正仿宋_GBK" w:cs="方正仿宋_GBK"/>
          <w:b w:val="0"/>
          <w:bCs w:val="0"/>
          <w:color w:val="auto"/>
          <w:sz w:val="32"/>
          <w:szCs w:val="32"/>
          <w:lang w:val="en-US" w:eastAsia="zh-CN"/>
        </w:rPr>
        <w:t>以项目预先制定的目标、计划、预算、定额等作为评价标准。</w:t>
      </w:r>
      <w:r>
        <w:rPr>
          <w:rFonts w:hint="eastAsia" w:ascii="方正仿宋_GBK" w:hAnsi="方正仿宋_GBK" w:eastAsia="方正仿宋_GBK" w:cs="方正仿宋_GBK"/>
          <w:color w:val="auto"/>
          <w:sz w:val="32"/>
          <w:szCs w:val="32"/>
          <w:highlight w:val="none"/>
          <w:lang w:eastAsia="zh-CN"/>
        </w:rPr>
        <w:t>伽师县克孜勒博依生态综合整治工程（现代农业产业园）项目</w:t>
      </w:r>
      <w:r>
        <w:rPr>
          <w:rFonts w:hint="eastAsia" w:ascii="方正仿宋_GBK" w:hAnsi="方正仿宋_GBK" w:eastAsia="方正仿宋_GBK" w:cs="方正仿宋_GBK"/>
          <w:b w:val="0"/>
          <w:bCs w:val="0"/>
          <w:color w:val="auto"/>
          <w:sz w:val="32"/>
          <w:szCs w:val="32"/>
          <w:highlight w:val="none"/>
          <w:lang w:val="en-US" w:eastAsia="zh-CN"/>
        </w:rPr>
        <w:t>按照《</w:t>
      </w:r>
      <w:r>
        <w:rPr>
          <w:rFonts w:hint="eastAsia" w:ascii="方正仿宋_GBK" w:hAnsi="方正仿宋_GBK" w:eastAsia="方正仿宋_GBK" w:cs="方正仿宋_GBK"/>
          <w:color w:val="auto"/>
          <w:sz w:val="32"/>
          <w:szCs w:val="32"/>
          <w:highlight w:val="none"/>
          <w:lang w:eastAsia="zh-CN"/>
        </w:rPr>
        <w:t>伽师县克孜勒博依生态综合整治工程（现代农业产业园）项目</w:t>
      </w:r>
      <w:r>
        <w:rPr>
          <w:rFonts w:hint="eastAsia" w:ascii="方正仿宋_GBK" w:hAnsi="方正仿宋_GBK" w:eastAsia="方正仿宋_GBK" w:cs="方正仿宋_GBK"/>
          <w:b w:val="0"/>
          <w:bCs w:val="0"/>
          <w:color w:val="auto"/>
          <w:sz w:val="32"/>
          <w:szCs w:val="32"/>
          <w:highlight w:val="none"/>
          <w:lang w:val="en-US" w:eastAsia="zh-CN"/>
        </w:rPr>
        <w:t>实施方案》及《提前下达</w:t>
      </w:r>
      <w:r>
        <w:rPr>
          <w:rFonts w:hint="eastAsia" w:ascii="方正仿宋_GBK" w:hAnsi="方正仿宋_GBK" w:eastAsia="方正仿宋_GBK" w:cs="方正仿宋_GBK"/>
          <w:color w:val="auto"/>
          <w:sz w:val="32"/>
          <w:szCs w:val="32"/>
          <w:highlight w:val="none"/>
          <w:lang w:eastAsia="zh-CN"/>
        </w:rPr>
        <w:t>伽师县克孜勒博依生态综合整治工程</w:t>
      </w:r>
      <w:r>
        <w:rPr>
          <w:rFonts w:hint="eastAsia" w:ascii="方正仿宋_GBK" w:hAnsi="方正仿宋_GBK" w:eastAsia="方正仿宋_GBK" w:cs="方正仿宋_GBK"/>
          <w:b w:val="0"/>
          <w:bCs w:val="0"/>
          <w:color w:val="auto"/>
          <w:sz w:val="32"/>
          <w:szCs w:val="32"/>
          <w:highlight w:val="none"/>
          <w:lang w:val="en-US" w:eastAsia="zh-CN"/>
        </w:rPr>
        <w:t>资金预算绩效目标表》事先制定目标、计划、预算、定额等预计数据作为评价财政支出绩效的标准。通过将实际完成值与预订数据进行对比，发现差异并达到评价目的。</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leftChars="200" w:firstLine="321" w:firstLineChars="100"/>
        <w:textAlignment w:val="baseline"/>
        <w:outlineLvl w:val="1"/>
        <w:rPr>
          <w:rFonts w:hint="eastAsia" w:ascii="方正楷体_GBK" w:hAnsi="方正楷体_GBK" w:eastAsia="方正楷体_GBK" w:cs="方正楷体_GBK"/>
          <w:b/>
          <w:bCs/>
          <w:sz w:val="32"/>
          <w:szCs w:val="32"/>
        </w:rPr>
      </w:pPr>
      <w:bookmarkStart w:id="140" w:name="_Toc5741_WPSOffice_Level2"/>
      <w:bookmarkStart w:id="141" w:name="_Toc15860_WPSOffice_Level2"/>
      <w:bookmarkStart w:id="142" w:name="_Toc31947"/>
      <w:bookmarkStart w:id="143" w:name="_Toc28539830"/>
      <w:r>
        <w:rPr>
          <w:rFonts w:hint="eastAsia" w:ascii="方正楷体_GBK" w:hAnsi="方正楷体_GBK" w:eastAsia="方正楷体_GBK" w:cs="方正楷体_GBK"/>
          <w:b/>
          <w:bCs/>
          <w:sz w:val="32"/>
          <w:szCs w:val="32"/>
          <w:lang w:val="en-US" w:eastAsia="zh-CN"/>
        </w:rPr>
        <w:t>(三)</w:t>
      </w:r>
      <w:r>
        <w:rPr>
          <w:rFonts w:hint="eastAsia" w:ascii="方正楷体_GBK" w:hAnsi="方正楷体_GBK" w:eastAsia="方正楷体_GBK" w:cs="方正楷体_GBK"/>
          <w:b/>
          <w:bCs/>
          <w:sz w:val="32"/>
          <w:szCs w:val="32"/>
        </w:rPr>
        <w:t>绩效评价工作过程</w:t>
      </w:r>
      <w:bookmarkEnd w:id="140"/>
      <w:bookmarkEnd w:id="141"/>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leftChars="200" w:firstLine="333" w:firstLineChars="100"/>
        <w:textAlignment w:val="baseline"/>
        <w:outlineLvl w:val="1"/>
        <w:rPr>
          <w:rFonts w:hint="default" w:ascii="方正仿宋_GBK" w:hAnsi="方正仿宋_GBK" w:eastAsia="方正仿宋_GBK" w:cs="方正仿宋_GBK"/>
          <w:b/>
          <w:bCs/>
          <w:color w:val="auto"/>
          <w:spacing w:val="6"/>
          <w:kern w:val="0"/>
          <w:sz w:val="32"/>
          <w:szCs w:val="32"/>
          <w:highlight w:val="none"/>
          <w:lang w:val="en-US" w:eastAsia="zh-CN" w:bidi="ar"/>
        </w:rPr>
      </w:pPr>
      <w:bookmarkStart w:id="144" w:name="_Toc32013_WPSOffice_Level3"/>
      <w:r>
        <w:rPr>
          <w:rFonts w:hint="default" w:ascii="方正仿宋_GBK" w:hAnsi="方正仿宋_GBK" w:eastAsia="方正仿宋_GBK" w:cs="方正仿宋_GBK"/>
          <w:b/>
          <w:bCs/>
          <w:color w:val="auto"/>
          <w:spacing w:val="6"/>
          <w:kern w:val="0"/>
          <w:sz w:val="32"/>
          <w:szCs w:val="32"/>
          <w:highlight w:val="none"/>
          <w:lang w:val="en-US" w:eastAsia="zh-CN" w:bidi="ar"/>
        </w:rPr>
        <w:t>1.评价人员</w:t>
      </w:r>
      <w:bookmarkEnd w:id="142"/>
      <w:bookmarkEnd w:id="143"/>
      <w:bookmarkEnd w:id="144"/>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64" w:firstLineChars="200"/>
        <w:textAlignment w:val="baseline"/>
        <w:outlineLvl w:val="1"/>
        <w:rPr>
          <w:rFonts w:hint="default" w:ascii="方正仿宋_GBK" w:hAnsi="方正仿宋_GBK" w:eastAsia="方正仿宋_GBK" w:cs="方正仿宋_GBK"/>
          <w:color w:val="auto"/>
          <w:spacing w:val="6"/>
          <w:kern w:val="0"/>
          <w:sz w:val="32"/>
          <w:szCs w:val="32"/>
          <w:highlight w:val="none"/>
          <w:lang w:val="en-US" w:eastAsia="zh-CN" w:bidi="ar"/>
        </w:rPr>
      </w:pPr>
      <w:r>
        <w:rPr>
          <w:rFonts w:hint="default" w:ascii="方正仿宋_GBK" w:hAnsi="方正仿宋_GBK" w:eastAsia="方正仿宋_GBK" w:cs="方正仿宋_GBK"/>
          <w:color w:val="auto"/>
          <w:spacing w:val="6"/>
          <w:kern w:val="0"/>
          <w:sz w:val="32"/>
          <w:szCs w:val="32"/>
          <w:highlight w:val="none"/>
          <w:lang w:val="en-US" w:eastAsia="zh-CN" w:bidi="ar"/>
        </w:rPr>
        <w:t>本次评价委托方为</w:t>
      </w:r>
      <w:r>
        <w:rPr>
          <w:rFonts w:hint="eastAsia" w:ascii="方正仿宋_GBK" w:hAnsi="方正仿宋_GBK" w:eastAsia="方正仿宋_GBK" w:cs="方正仿宋_GBK"/>
          <w:color w:val="auto"/>
          <w:spacing w:val="6"/>
          <w:kern w:val="0"/>
          <w:sz w:val="32"/>
          <w:szCs w:val="32"/>
          <w:highlight w:val="none"/>
          <w:lang w:val="en-US" w:eastAsia="zh-CN" w:bidi="ar"/>
        </w:rPr>
        <w:t>伽师县财政局</w:t>
      </w:r>
      <w:r>
        <w:rPr>
          <w:rFonts w:hint="default" w:ascii="方正仿宋_GBK" w:hAnsi="方正仿宋_GBK" w:eastAsia="方正仿宋_GBK" w:cs="方正仿宋_GBK"/>
          <w:color w:val="auto"/>
          <w:spacing w:val="6"/>
          <w:kern w:val="0"/>
          <w:sz w:val="32"/>
          <w:szCs w:val="32"/>
          <w:highlight w:val="none"/>
          <w:lang w:val="en-US" w:eastAsia="zh-CN" w:bidi="ar"/>
        </w:rPr>
        <w:t>，受托方为</w:t>
      </w:r>
      <w:r>
        <w:rPr>
          <w:rFonts w:hint="eastAsia" w:ascii="方正仿宋_GBK" w:hAnsi="方正仿宋_GBK" w:eastAsia="方正仿宋_GBK" w:cs="方正仿宋_GBK"/>
          <w:color w:val="auto"/>
          <w:spacing w:val="6"/>
          <w:kern w:val="0"/>
          <w:sz w:val="32"/>
          <w:szCs w:val="32"/>
          <w:highlight w:val="none"/>
          <w:lang w:val="en-US" w:eastAsia="zh-CN" w:bidi="ar"/>
        </w:rPr>
        <w:t>新疆永信中正项目管理咨询有限公司</w:t>
      </w:r>
      <w:r>
        <w:rPr>
          <w:rFonts w:hint="default" w:ascii="方正仿宋_GBK" w:hAnsi="方正仿宋_GBK" w:eastAsia="方正仿宋_GBK" w:cs="方正仿宋_GBK"/>
          <w:color w:val="auto"/>
          <w:spacing w:val="6"/>
          <w:kern w:val="0"/>
          <w:sz w:val="32"/>
          <w:szCs w:val="32"/>
          <w:highlight w:val="none"/>
          <w:lang w:val="en-US" w:eastAsia="zh-CN" w:bidi="ar"/>
        </w:rPr>
        <w:t>。</w:t>
      </w:r>
      <w:r>
        <w:rPr>
          <w:rFonts w:hint="eastAsia" w:ascii="方正仿宋_GBK" w:hAnsi="方正仿宋_GBK" w:eastAsia="方正仿宋_GBK" w:cs="方正仿宋_GBK"/>
          <w:color w:val="auto"/>
          <w:spacing w:val="6"/>
          <w:kern w:val="0"/>
          <w:sz w:val="32"/>
          <w:szCs w:val="32"/>
          <w:highlight w:val="none"/>
          <w:lang w:val="en-US" w:eastAsia="zh-CN" w:bidi="ar"/>
        </w:rPr>
        <w:t>新疆永信中正项目管理咨询有限公</w:t>
      </w:r>
      <w:bookmarkStart w:id="145" w:name="_Toc3293_WPSOffice_Level2"/>
      <w:r>
        <w:rPr>
          <w:rFonts w:hint="eastAsia" w:ascii="方正仿宋_GBK" w:hAnsi="方正仿宋_GBK" w:eastAsia="方正仿宋_GBK" w:cs="方正仿宋_GBK"/>
          <w:color w:val="auto"/>
          <w:spacing w:val="6"/>
          <w:kern w:val="0"/>
          <w:sz w:val="32"/>
          <w:szCs w:val="32"/>
          <w:highlight w:val="none"/>
          <w:lang w:val="en-US" w:eastAsia="zh-CN" w:bidi="ar"/>
        </w:rPr>
        <w:t>司</w:t>
      </w:r>
      <w:r>
        <w:rPr>
          <w:rFonts w:hint="default" w:ascii="方正仿宋_GBK" w:hAnsi="方正仿宋_GBK" w:eastAsia="方正仿宋_GBK" w:cs="方正仿宋_GBK"/>
          <w:color w:val="auto"/>
          <w:spacing w:val="6"/>
          <w:kern w:val="0"/>
          <w:sz w:val="32"/>
          <w:szCs w:val="32"/>
          <w:highlight w:val="none"/>
          <w:lang w:val="en-US" w:eastAsia="zh-CN" w:bidi="ar"/>
        </w:rPr>
        <w:t>负责完成评</w:t>
      </w:r>
      <w:bookmarkEnd w:id="145"/>
      <w:r>
        <w:rPr>
          <w:rFonts w:hint="default" w:ascii="方正仿宋_GBK" w:hAnsi="方正仿宋_GBK" w:eastAsia="方正仿宋_GBK" w:cs="方正仿宋_GBK"/>
          <w:color w:val="auto"/>
          <w:spacing w:val="6"/>
          <w:kern w:val="0"/>
          <w:sz w:val="32"/>
          <w:szCs w:val="32"/>
          <w:highlight w:val="none"/>
          <w:lang w:val="en-US" w:eastAsia="zh-CN" w:bidi="ar"/>
        </w:rPr>
        <w:t>价工作，公司高度重视此次</w:t>
      </w:r>
      <w:r>
        <w:rPr>
          <w:rFonts w:hint="eastAsia" w:ascii="方正仿宋_GBK" w:hAnsi="方正仿宋_GBK" w:eastAsia="方正仿宋_GBK" w:cs="方正仿宋_GBK"/>
          <w:color w:val="auto"/>
          <w:spacing w:val="6"/>
          <w:kern w:val="0"/>
          <w:sz w:val="32"/>
          <w:szCs w:val="32"/>
          <w:highlight w:val="none"/>
          <w:lang w:val="en-US" w:eastAsia="zh-CN" w:bidi="ar"/>
        </w:rPr>
        <w:t>伽师县财政局</w:t>
      </w:r>
      <w:r>
        <w:rPr>
          <w:rFonts w:hint="default" w:ascii="方正仿宋_GBK" w:hAnsi="方正仿宋_GBK" w:eastAsia="方正仿宋_GBK" w:cs="方正仿宋_GBK"/>
          <w:color w:val="auto"/>
          <w:spacing w:val="6"/>
          <w:kern w:val="0"/>
          <w:sz w:val="32"/>
          <w:szCs w:val="32"/>
          <w:highlight w:val="none"/>
          <w:lang w:val="en-US" w:eastAsia="zh-CN" w:bidi="ar"/>
        </w:rPr>
        <w:t>对重点评价工作的要求，配备专门人力，重</w:t>
      </w:r>
      <w:bookmarkStart w:id="146" w:name="_Toc11913_WPSOffice_Level2"/>
      <w:r>
        <w:rPr>
          <w:rFonts w:hint="default" w:ascii="方正仿宋_GBK" w:hAnsi="方正仿宋_GBK" w:eastAsia="方正仿宋_GBK" w:cs="方正仿宋_GBK"/>
          <w:color w:val="auto"/>
          <w:spacing w:val="6"/>
          <w:kern w:val="0"/>
          <w:sz w:val="32"/>
          <w:szCs w:val="32"/>
          <w:highlight w:val="none"/>
          <w:lang w:val="en-US" w:eastAsia="zh-CN" w:bidi="ar"/>
        </w:rPr>
        <w:t>视质量效益评价。组织人力进行前期</w:t>
      </w:r>
      <w:bookmarkEnd w:id="146"/>
      <w:r>
        <w:rPr>
          <w:rFonts w:hint="default" w:ascii="方正仿宋_GBK" w:hAnsi="方正仿宋_GBK" w:eastAsia="方正仿宋_GBK" w:cs="方正仿宋_GBK"/>
          <w:color w:val="auto"/>
          <w:spacing w:val="6"/>
          <w:kern w:val="0"/>
          <w:sz w:val="32"/>
          <w:szCs w:val="32"/>
          <w:highlight w:val="none"/>
          <w:lang w:val="en-US" w:eastAsia="zh-CN" w:bidi="ar"/>
        </w:rPr>
        <w:t>调查、研究讨论、制定工作方案。具体人员名单如下：</w:t>
      </w:r>
    </w:p>
    <w:p>
      <w:pPr>
        <w:pStyle w:val="18"/>
        <w:keepNext w:val="0"/>
        <w:keepLines w:val="0"/>
        <w:pageBreakBefore w:val="0"/>
        <w:widowControl/>
        <w:kinsoku/>
        <w:wordWrap/>
        <w:overflowPunct/>
        <w:topLinePunct w:val="0"/>
        <w:autoSpaceDE/>
        <w:autoSpaceDN/>
        <w:bidi w:val="0"/>
        <w:adjustRightInd/>
        <w:snapToGrid/>
        <w:spacing w:line="560" w:lineRule="exact"/>
        <w:ind w:firstLine="562" w:firstLineChars="200"/>
        <w:jc w:val="center"/>
        <w:textAlignment w:val="auto"/>
        <w:rPr>
          <w:rFonts w:hint="eastAsia"/>
          <w:lang w:val="en-US" w:eastAsia="zh-CN"/>
        </w:rPr>
      </w:pPr>
      <w:r>
        <w:rPr>
          <w:rFonts w:hint="default" w:ascii="Times New Roman" w:hAnsi="Times New Roman" w:cs="Times New Roman"/>
          <w:b/>
          <w:bCs/>
          <w:color w:val="auto"/>
          <w:sz w:val="28"/>
          <w:szCs w:val="28"/>
          <w:highlight w:val="none"/>
          <w:lang w:bidi="ar"/>
        </w:rPr>
        <w:t>表</w:t>
      </w:r>
      <w:r>
        <w:rPr>
          <w:rFonts w:hint="default" w:ascii="Times New Roman" w:hAnsi="Times New Roman" w:cs="Times New Roman"/>
          <w:b/>
          <w:bCs/>
          <w:color w:val="auto"/>
          <w:sz w:val="28"/>
          <w:szCs w:val="28"/>
          <w:highlight w:val="none"/>
          <w:lang w:val="en-US" w:eastAsia="zh-CN" w:bidi="ar"/>
        </w:rPr>
        <w:t>2</w:t>
      </w:r>
      <w:r>
        <w:rPr>
          <w:rFonts w:hint="default" w:ascii="Times New Roman" w:hAnsi="Times New Roman" w:cs="Times New Roman"/>
          <w:b/>
          <w:bCs/>
          <w:color w:val="auto"/>
          <w:sz w:val="28"/>
          <w:szCs w:val="28"/>
          <w:highlight w:val="none"/>
          <w:lang w:bidi="ar"/>
        </w:rPr>
        <w:t>-</w:t>
      </w:r>
      <w:r>
        <w:rPr>
          <w:rFonts w:hint="default" w:ascii="Times New Roman" w:hAnsi="Times New Roman" w:cs="Times New Roman"/>
          <w:b/>
          <w:bCs/>
          <w:color w:val="auto"/>
          <w:sz w:val="28"/>
          <w:szCs w:val="28"/>
          <w:highlight w:val="none"/>
          <w:lang w:val="en-US" w:eastAsia="zh-CN" w:bidi="ar"/>
        </w:rPr>
        <w:t xml:space="preserve">1 </w:t>
      </w:r>
      <w:r>
        <w:rPr>
          <w:rFonts w:hint="default" w:ascii="Times New Roman" w:hAnsi="Times New Roman" w:cs="Times New Roman"/>
          <w:b/>
          <w:bCs/>
          <w:color w:val="auto"/>
          <w:sz w:val="28"/>
          <w:szCs w:val="28"/>
          <w:highlight w:val="none"/>
          <w:lang w:bidi="ar"/>
        </w:rPr>
        <w:t>评价组组员表</w:t>
      </w:r>
    </w:p>
    <w:bookmarkEnd w:id="97"/>
    <w:bookmarkEnd w:id="98"/>
    <w:bookmarkEnd w:id="99"/>
    <w:bookmarkEnd w:id="100"/>
    <w:bookmarkEnd w:id="101"/>
    <w:bookmarkEnd w:id="102"/>
    <w:bookmarkEnd w:id="103"/>
    <w:bookmarkEnd w:id="104"/>
    <w:bookmarkEnd w:id="105"/>
    <w:bookmarkEnd w:id="106"/>
    <w:bookmarkEnd w:id="107"/>
    <w:tbl>
      <w:tblPr>
        <w:tblStyle w:val="11"/>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077"/>
        <w:gridCol w:w="1648"/>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888"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序号</w:t>
            </w:r>
          </w:p>
        </w:tc>
        <w:tc>
          <w:tcPr>
            <w:tcW w:w="1077"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姓名</w:t>
            </w:r>
          </w:p>
        </w:tc>
        <w:tc>
          <w:tcPr>
            <w:tcW w:w="1648"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本政策中角色</w:t>
            </w:r>
          </w:p>
        </w:tc>
        <w:tc>
          <w:tcPr>
            <w:tcW w:w="4906" w:type="dxa"/>
            <w:tcBorders>
              <w:top w:val="single" w:color="auto" w:sz="4" w:space="0"/>
              <w:left w:val="single" w:color="auto" w:sz="4" w:space="0"/>
              <w:bottom w:val="single" w:color="auto" w:sz="4" w:space="0"/>
              <w:right w:val="single" w:color="auto" w:sz="4" w:space="0"/>
              <w:tl2br w:val="nil"/>
              <w:tr2bl w:val="nil"/>
            </w:tcBorders>
            <w:shd w:val="clear" w:color="auto" w:fill="A6A6A6"/>
            <w:noWrap w:val="0"/>
            <w:vAlign w:val="center"/>
          </w:tcPr>
          <w:p>
            <w:pPr>
              <w:widowControl/>
              <w:jc w:val="center"/>
              <w:rPr>
                <w:rFonts w:hint="default" w:ascii="Times New Roman" w:hAnsi="Times New Roman" w:eastAsia="仿宋_GB2312" w:cs="Times New Roman"/>
                <w:b/>
                <w:color w:val="auto"/>
                <w:kern w:val="0"/>
                <w:sz w:val="22"/>
                <w:highlight w:val="none"/>
              </w:rPr>
            </w:pPr>
            <w:r>
              <w:rPr>
                <w:rFonts w:hint="default" w:ascii="Times New Roman" w:hAnsi="Times New Roman" w:eastAsia="仿宋_GB2312" w:cs="Times New Roman"/>
                <w:b/>
                <w:color w:val="auto"/>
                <w:kern w:val="0"/>
                <w:sz w:val="22"/>
                <w:highlight w:val="none"/>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1</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yellow"/>
                <w:lang w:val="en-US" w:eastAsia="zh-CN"/>
              </w:rPr>
            </w:pPr>
            <w:r>
              <w:rPr>
                <w:rFonts w:hint="eastAsia" w:ascii="Times New Roman" w:hAnsi="Times New Roman" w:eastAsia="仿宋_GB2312" w:cs="Times New Roman"/>
                <w:color w:val="auto"/>
                <w:kern w:val="0"/>
                <w:sz w:val="22"/>
                <w:highlight w:val="none"/>
                <w:lang w:val="en-US"/>
              </w:rPr>
              <w:t>邹燕</w:t>
            </w:r>
          </w:p>
        </w:tc>
        <w:tc>
          <w:tcPr>
            <w:tcW w:w="1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lang w:val="en-US" w:eastAsia="zh-CN"/>
              </w:rPr>
            </w:pPr>
            <w:r>
              <w:rPr>
                <w:rFonts w:hint="default" w:ascii="Times New Roman" w:hAnsi="Times New Roman" w:eastAsia="仿宋_GB2312" w:cs="Times New Roman"/>
                <w:color w:val="auto"/>
                <w:kern w:val="0"/>
                <w:sz w:val="22"/>
                <w:highlight w:val="none"/>
              </w:rPr>
              <w:t>项目</w:t>
            </w:r>
            <w:r>
              <w:rPr>
                <w:rFonts w:hint="default" w:ascii="Times New Roman" w:hAnsi="Times New Roman" w:eastAsia="仿宋_GB2312" w:cs="Times New Roman"/>
                <w:color w:val="auto"/>
                <w:kern w:val="0"/>
                <w:sz w:val="22"/>
                <w:highlight w:val="none"/>
                <w:lang w:val="en-US" w:eastAsia="zh-CN"/>
              </w:rPr>
              <w:t>主评人</w:t>
            </w:r>
          </w:p>
        </w:tc>
        <w:tc>
          <w:tcPr>
            <w:tcW w:w="490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负责绩效评价过程指导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2</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yellow"/>
                <w:lang w:eastAsia="zh-CN"/>
              </w:rPr>
            </w:pPr>
            <w:r>
              <w:rPr>
                <w:rFonts w:hint="eastAsia" w:ascii="Times New Roman" w:hAnsi="Times New Roman" w:eastAsia="仿宋_GB2312" w:cs="Times New Roman"/>
                <w:color w:val="auto"/>
                <w:kern w:val="0"/>
                <w:sz w:val="22"/>
                <w:highlight w:val="none"/>
                <w:lang w:val="en-US"/>
              </w:rPr>
              <w:t>李毅</w:t>
            </w:r>
          </w:p>
        </w:tc>
        <w:tc>
          <w:tcPr>
            <w:tcW w:w="1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项目质控</w:t>
            </w:r>
          </w:p>
        </w:tc>
        <w:tc>
          <w:tcPr>
            <w:tcW w:w="490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负责项目评价方案、项目报告等重点工作内容的质量控制，技术指导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3</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1280"/>
              </w:tabs>
              <w:kinsoku/>
              <w:wordWrap/>
              <w:overflowPunct/>
              <w:topLinePunct/>
              <w:autoSpaceDE/>
              <w:autoSpaceDN/>
              <w:bidi w:val="0"/>
              <w:adjustRightInd w:val="0"/>
              <w:snapToGrid w:val="0"/>
              <w:spacing w:before="0" w:beforeLines="0" w:line="570" w:lineRule="exact"/>
              <w:ind w:firstLine="0" w:firstLineChars="0"/>
              <w:jc w:val="center"/>
              <w:textAlignment w:val="auto"/>
              <w:rPr>
                <w:rFonts w:hint="eastAsia" w:ascii="Times New Roman" w:hAnsi="Times New Roman" w:eastAsia="仿宋_GB2312" w:cs="Times New Roman"/>
                <w:color w:val="auto"/>
                <w:kern w:val="0"/>
                <w:sz w:val="22"/>
                <w:highlight w:val="yellow"/>
                <w:lang w:eastAsia="zh-CN"/>
              </w:rPr>
            </w:pPr>
            <w:r>
              <w:rPr>
                <w:rFonts w:hint="eastAsia" w:ascii="Times New Roman" w:hAnsi="Times New Roman" w:eastAsia="仿宋_GB2312" w:cs="Times New Roman"/>
                <w:color w:val="auto"/>
                <w:kern w:val="0"/>
                <w:sz w:val="22"/>
                <w:highlight w:val="none"/>
                <w:lang w:val="en-US" w:eastAsia="zh-CN"/>
              </w:rPr>
              <w:t>麦迪努尔</w:t>
            </w:r>
          </w:p>
        </w:tc>
        <w:tc>
          <w:tcPr>
            <w:tcW w:w="1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项目经理</w:t>
            </w:r>
          </w:p>
        </w:tc>
        <w:tc>
          <w:tcPr>
            <w:tcW w:w="490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负责对项目实施统筹、资料收集，整理及数据分析、撰写工作方案及评价报告并对评价报告进行负责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4</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tabs>
                <w:tab w:val="left" w:pos="1280"/>
              </w:tabs>
              <w:kinsoku/>
              <w:wordWrap/>
              <w:overflowPunct/>
              <w:topLinePunct/>
              <w:autoSpaceDE/>
              <w:autoSpaceDN/>
              <w:bidi w:val="0"/>
              <w:adjustRightInd w:val="0"/>
              <w:snapToGrid w:val="0"/>
              <w:spacing w:before="0" w:beforeLines="0" w:line="570" w:lineRule="exact"/>
              <w:ind w:firstLine="0" w:firstLineChars="0"/>
              <w:jc w:val="center"/>
              <w:textAlignment w:val="auto"/>
              <w:rPr>
                <w:rFonts w:hint="default" w:ascii="Times New Roman" w:hAnsi="Times New Roman" w:eastAsia="仿宋_GB2312" w:cs="Times New Roman"/>
                <w:color w:val="auto"/>
                <w:kern w:val="0"/>
                <w:sz w:val="22"/>
                <w:highlight w:val="yellow"/>
                <w:lang w:eastAsia="zh-CN"/>
              </w:rPr>
            </w:pPr>
            <w:r>
              <w:rPr>
                <w:rFonts w:hint="eastAsia" w:ascii="Times New Roman" w:hAnsi="Times New Roman" w:eastAsia="仿宋_GB2312" w:cs="Times New Roman"/>
                <w:color w:val="auto"/>
                <w:kern w:val="0"/>
                <w:sz w:val="22"/>
                <w:highlight w:val="none"/>
                <w:lang w:val="en-US" w:eastAsia="zh-CN"/>
              </w:rPr>
              <w:t>阿米那</w:t>
            </w:r>
          </w:p>
        </w:tc>
        <w:tc>
          <w:tcPr>
            <w:tcW w:w="1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490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5</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napToGrid/>
              <w:spacing w:before="0" w:beforeAutospacing="0" w:after="0" w:afterAutospacing="0" w:line="570" w:lineRule="exact"/>
              <w:jc w:val="center"/>
              <w:textAlignment w:val="baseline"/>
              <w:rPr>
                <w:rFonts w:hint="eastAsia" w:ascii="Times New Roman" w:hAnsi="Times New Roman" w:eastAsia="仿宋_GB2312" w:cs="Times New Roman"/>
                <w:color w:val="auto"/>
                <w:kern w:val="0"/>
                <w:sz w:val="22"/>
                <w:highlight w:val="yellow"/>
                <w:lang w:eastAsia="zh-CN"/>
              </w:rPr>
            </w:pPr>
            <w:r>
              <w:rPr>
                <w:rFonts w:hint="eastAsia" w:ascii="Times New Roman" w:hAnsi="Times New Roman" w:eastAsia="仿宋_GB2312" w:cs="Times New Roman"/>
                <w:b w:val="0"/>
                <w:bCs w:val="0"/>
                <w:i w:val="0"/>
                <w:caps w:val="0"/>
                <w:color w:val="000000"/>
                <w:spacing w:val="0"/>
                <w:w w:val="100"/>
                <w:kern w:val="0"/>
                <w:sz w:val="22"/>
                <w:szCs w:val="24"/>
                <w:highlight w:val="none"/>
                <w:lang w:val="en-US" w:eastAsia="zh-CN" w:bidi="ar-SA"/>
              </w:rPr>
              <w:t>祖力皮努尔</w:t>
            </w:r>
          </w:p>
        </w:tc>
        <w:tc>
          <w:tcPr>
            <w:tcW w:w="1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490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负责资料搜集、整理及数据分析等，并协助撰写工作方案及评价报告等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88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6</w:t>
            </w:r>
          </w:p>
        </w:tc>
        <w:tc>
          <w:tcPr>
            <w:tcW w:w="1077"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napToGrid/>
              <w:spacing w:before="0" w:beforeAutospacing="0" w:after="0" w:afterAutospacing="0" w:line="570" w:lineRule="exact"/>
              <w:jc w:val="center"/>
              <w:textAlignment w:val="baseline"/>
              <w:rPr>
                <w:rFonts w:hint="default" w:ascii="Times New Roman" w:hAnsi="Times New Roman" w:eastAsia="仿宋_GB2312" w:cs="Times New Roman"/>
                <w:color w:val="auto"/>
                <w:kern w:val="0"/>
                <w:sz w:val="22"/>
                <w:highlight w:val="yellow"/>
                <w:lang w:val="en-US" w:eastAsia="zh-CN"/>
              </w:rPr>
            </w:pPr>
            <w:r>
              <w:rPr>
                <w:rFonts w:hint="eastAsia" w:ascii="Times New Roman" w:hAnsi="Times New Roman" w:eastAsia="仿宋_GB2312" w:cs="Times New Roman"/>
                <w:b w:val="0"/>
                <w:bCs w:val="0"/>
                <w:i w:val="0"/>
                <w:caps w:val="0"/>
                <w:color w:val="000000"/>
                <w:spacing w:val="0"/>
                <w:w w:val="100"/>
                <w:kern w:val="0"/>
                <w:sz w:val="22"/>
                <w:szCs w:val="24"/>
                <w:highlight w:val="none"/>
                <w:lang w:val="en-US" w:eastAsia="zh-CN" w:bidi="ar-SA"/>
              </w:rPr>
              <w:t>武莹</w:t>
            </w:r>
          </w:p>
        </w:tc>
        <w:tc>
          <w:tcPr>
            <w:tcW w:w="1648"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center"/>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项目助理</w:t>
            </w:r>
          </w:p>
        </w:tc>
        <w:tc>
          <w:tcPr>
            <w:tcW w:w="4906" w:type="dxa"/>
            <w:tcBorders>
              <w:top w:val="single" w:color="auto" w:sz="4" w:space="0"/>
              <w:left w:val="single" w:color="auto" w:sz="4" w:space="0"/>
              <w:bottom w:val="single" w:color="auto" w:sz="4" w:space="0"/>
              <w:right w:val="single" w:color="auto" w:sz="4" w:space="0"/>
              <w:tl2br w:val="nil"/>
              <w:tr2bl w:val="nil"/>
            </w:tcBorders>
            <w:noWrap w:val="0"/>
            <w:vAlign w:val="center"/>
          </w:tcPr>
          <w:p>
            <w:pPr>
              <w:pageBreakBefore w:val="0"/>
              <w:widowControl/>
              <w:kinsoku/>
              <w:wordWrap/>
              <w:bidi w:val="0"/>
              <w:spacing w:line="570" w:lineRule="exact"/>
              <w:jc w:val="left"/>
              <w:rPr>
                <w:rFonts w:hint="default" w:ascii="Times New Roman" w:hAnsi="Times New Roman" w:eastAsia="仿宋_GB2312" w:cs="Times New Roman"/>
                <w:color w:val="auto"/>
                <w:kern w:val="0"/>
                <w:sz w:val="22"/>
                <w:highlight w:val="none"/>
              </w:rPr>
            </w:pPr>
            <w:r>
              <w:rPr>
                <w:rFonts w:hint="default" w:ascii="Times New Roman" w:hAnsi="Times New Roman" w:eastAsia="仿宋_GB2312" w:cs="Times New Roman"/>
                <w:color w:val="auto"/>
                <w:kern w:val="0"/>
                <w:sz w:val="22"/>
                <w:highlight w:val="none"/>
              </w:rPr>
              <w:t>配合公司人员完成社会调研工作</w:t>
            </w:r>
          </w:p>
        </w:tc>
      </w:tr>
    </w:tbl>
    <w:p>
      <w:pPr>
        <w:pStyle w:val="18"/>
        <w:keepNext w:val="0"/>
        <w:keepLines w:val="0"/>
        <w:pageBreakBefore w:val="0"/>
        <w:widowControl/>
        <w:kinsoku/>
        <w:wordWrap/>
        <w:topLinePunct w:val="0"/>
        <w:bidi w:val="0"/>
        <w:snapToGrid/>
        <w:spacing w:line="560" w:lineRule="exact"/>
        <w:ind w:left="0" w:leftChars="0" w:firstLine="643" w:firstLineChars="200"/>
        <w:rPr>
          <w:rFonts w:hint="eastAsia" w:ascii="方正仿宋_GBK" w:hAnsi="方正仿宋_GBK" w:eastAsia="方正仿宋_GBK" w:cs="方正仿宋_GBK"/>
          <w:b/>
          <w:color w:val="auto"/>
          <w:kern w:val="0"/>
          <w:sz w:val="32"/>
          <w:szCs w:val="32"/>
          <w:highlight w:val="none"/>
        </w:rPr>
      </w:pPr>
      <w:bookmarkStart w:id="147" w:name="_Toc6609"/>
      <w:bookmarkStart w:id="148" w:name="_Toc11520"/>
      <w:bookmarkStart w:id="149" w:name="_Toc2515"/>
      <w:bookmarkStart w:id="150" w:name="_Toc14364_WPSOffice_Level3"/>
      <w:bookmarkStart w:id="151" w:name="_Toc30721"/>
      <w:bookmarkStart w:id="152" w:name="_Toc26606"/>
      <w:bookmarkStart w:id="153" w:name="_Toc6988"/>
      <w:bookmarkStart w:id="154" w:name="_Toc29947"/>
      <w:bookmarkStart w:id="155" w:name="_Toc6895"/>
      <w:bookmarkStart w:id="156" w:name="_Toc18993"/>
      <w:bookmarkStart w:id="157" w:name="_Toc286_WPSOffice_Level3"/>
      <w:bookmarkStart w:id="158" w:name="_Toc18424"/>
      <w:bookmarkStart w:id="159" w:name="_Toc28539832"/>
      <w:bookmarkStart w:id="160" w:name="_Toc16341"/>
      <w:bookmarkStart w:id="161" w:name="_Toc1846"/>
      <w:bookmarkStart w:id="162" w:name="_Toc6934"/>
      <w:bookmarkStart w:id="163" w:name="_Toc6281"/>
      <w:bookmarkStart w:id="164" w:name="_Toc11504"/>
      <w:bookmarkStart w:id="165" w:name="_Toc31041"/>
      <w:bookmarkStart w:id="166" w:name="_Toc11150"/>
      <w:bookmarkStart w:id="167" w:name="_Toc31770"/>
      <w:r>
        <w:rPr>
          <w:rFonts w:hint="eastAsia" w:ascii="方正仿宋_GBK" w:hAnsi="方正仿宋_GBK" w:eastAsia="方正仿宋_GBK" w:cs="方正仿宋_GBK"/>
          <w:b/>
          <w:color w:val="auto"/>
          <w:kern w:val="0"/>
          <w:sz w:val="32"/>
          <w:szCs w:val="32"/>
          <w:highlight w:val="none"/>
          <w:lang w:val="en-US" w:eastAsia="zh-CN"/>
        </w:rPr>
        <w:t>2.</w:t>
      </w:r>
      <w:r>
        <w:rPr>
          <w:rFonts w:hint="eastAsia" w:ascii="方正仿宋_GBK" w:hAnsi="方正仿宋_GBK" w:eastAsia="方正仿宋_GBK" w:cs="方正仿宋_GBK"/>
          <w:b/>
          <w:color w:val="auto"/>
          <w:kern w:val="0"/>
          <w:sz w:val="32"/>
          <w:szCs w:val="32"/>
          <w:highlight w:val="none"/>
        </w:rPr>
        <w:t>评价进度</w:t>
      </w:r>
      <w:bookmarkEnd w:id="147"/>
      <w:bookmarkEnd w:id="148"/>
      <w:bookmarkEnd w:id="149"/>
      <w:bookmarkEnd w:id="150"/>
      <w:bookmarkEnd w:id="151"/>
      <w:bookmarkEnd w:id="152"/>
      <w:bookmarkEnd w:id="153"/>
      <w:bookmarkEnd w:id="154"/>
      <w:bookmarkEnd w:id="155"/>
      <w:bookmarkEnd w:id="156"/>
    </w:p>
    <w:p>
      <w:pPr>
        <w:pStyle w:val="18"/>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本次项目的评价期间为20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6</w:t>
      </w:r>
      <w:r>
        <w:rPr>
          <w:rFonts w:hint="eastAsia" w:ascii="方正仿宋_GBK" w:hAnsi="方正仿宋_GBK" w:eastAsia="方正仿宋_GBK" w:cs="方正仿宋_GBK"/>
          <w:color w:val="auto"/>
          <w:sz w:val="32"/>
          <w:szCs w:val="32"/>
          <w:highlight w:val="none"/>
          <w:lang w:bidi="ar"/>
        </w:rPr>
        <w:t>日至20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6</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10日</w:t>
      </w:r>
      <w:r>
        <w:rPr>
          <w:rFonts w:hint="eastAsia" w:ascii="方正仿宋_GBK" w:hAnsi="方正仿宋_GBK" w:eastAsia="方正仿宋_GBK" w:cs="方正仿宋_GBK"/>
          <w:color w:val="auto"/>
          <w:sz w:val="32"/>
          <w:szCs w:val="32"/>
          <w:highlight w:val="none"/>
          <w:lang w:bidi="ar"/>
        </w:rPr>
        <w:t>，具体安排如下：</w:t>
      </w:r>
    </w:p>
    <w:p>
      <w:pPr>
        <w:pStyle w:val="18"/>
        <w:keepNext w:val="0"/>
        <w:keepLines w:val="0"/>
        <w:pageBreakBefore w:val="0"/>
        <w:widowControl/>
        <w:kinsoku/>
        <w:wordWrap/>
        <w:topLinePunct w:val="0"/>
        <w:bidi w:val="0"/>
        <w:snapToGrid/>
        <w:spacing w:line="560" w:lineRule="exact"/>
        <w:ind w:firstLine="643" w:firstLineChars="200"/>
        <w:rPr>
          <w:rFonts w:hint="eastAsia" w:ascii="方正仿宋_GBK" w:hAnsi="方正仿宋_GBK" w:eastAsia="方正仿宋_GBK" w:cs="方正仿宋_GBK"/>
          <w:b/>
          <w:bCs/>
          <w:color w:val="auto"/>
          <w:sz w:val="32"/>
          <w:szCs w:val="32"/>
          <w:highlight w:val="none"/>
          <w:lang w:bidi="ar"/>
        </w:rPr>
      </w:pPr>
      <w:r>
        <w:rPr>
          <w:rFonts w:hint="eastAsia" w:ascii="方正仿宋_GBK" w:hAnsi="方正仿宋_GBK" w:eastAsia="方正仿宋_GBK" w:cs="方正仿宋_GBK"/>
          <w:b/>
          <w:bCs/>
          <w:color w:val="auto"/>
          <w:sz w:val="32"/>
          <w:szCs w:val="32"/>
          <w:highlight w:val="none"/>
          <w:lang w:bidi="ar"/>
        </w:rPr>
        <w:t>（1）方案制定——20</w:t>
      </w:r>
      <w:r>
        <w:rPr>
          <w:rFonts w:hint="eastAsia" w:ascii="方正仿宋_GBK" w:hAnsi="方正仿宋_GBK" w:eastAsia="方正仿宋_GBK" w:cs="方正仿宋_GBK"/>
          <w:b/>
          <w:bCs/>
          <w:color w:val="auto"/>
          <w:sz w:val="32"/>
          <w:szCs w:val="32"/>
          <w:highlight w:val="none"/>
          <w:lang w:val="en-US" w:eastAsia="zh-CN" w:bidi="ar"/>
        </w:rPr>
        <w:t>23</w:t>
      </w:r>
      <w:r>
        <w:rPr>
          <w:rFonts w:hint="eastAsia" w:ascii="方正仿宋_GBK" w:hAnsi="方正仿宋_GBK" w:eastAsia="方正仿宋_GBK" w:cs="方正仿宋_GBK"/>
          <w:b/>
          <w:bCs/>
          <w:color w:val="auto"/>
          <w:sz w:val="32"/>
          <w:szCs w:val="32"/>
          <w:highlight w:val="none"/>
          <w:lang w:bidi="ar"/>
        </w:rPr>
        <w:t>年</w:t>
      </w:r>
      <w:r>
        <w:rPr>
          <w:rFonts w:hint="eastAsia" w:ascii="方正仿宋_GBK" w:hAnsi="方正仿宋_GBK" w:eastAsia="方正仿宋_GBK" w:cs="方正仿宋_GBK"/>
          <w:b/>
          <w:bCs/>
          <w:color w:val="auto"/>
          <w:sz w:val="32"/>
          <w:szCs w:val="32"/>
          <w:highlight w:val="none"/>
          <w:lang w:val="en-US" w:eastAsia="zh-CN" w:bidi="ar"/>
        </w:rPr>
        <w:t>4</w:t>
      </w:r>
      <w:r>
        <w:rPr>
          <w:rFonts w:hint="eastAsia" w:ascii="方正仿宋_GBK" w:hAnsi="方正仿宋_GBK" w:eastAsia="方正仿宋_GBK" w:cs="方正仿宋_GBK"/>
          <w:b/>
          <w:bCs/>
          <w:color w:val="auto"/>
          <w:sz w:val="32"/>
          <w:szCs w:val="32"/>
          <w:highlight w:val="none"/>
          <w:lang w:bidi="ar"/>
        </w:rPr>
        <w:t>月</w:t>
      </w:r>
      <w:r>
        <w:rPr>
          <w:rFonts w:hint="eastAsia" w:ascii="方正仿宋_GBK" w:hAnsi="方正仿宋_GBK" w:eastAsia="方正仿宋_GBK" w:cs="方正仿宋_GBK"/>
          <w:b/>
          <w:bCs/>
          <w:color w:val="auto"/>
          <w:sz w:val="32"/>
          <w:szCs w:val="32"/>
          <w:highlight w:val="none"/>
          <w:lang w:val="en-US" w:eastAsia="zh-CN" w:bidi="ar"/>
        </w:rPr>
        <w:t>6</w:t>
      </w:r>
      <w:r>
        <w:rPr>
          <w:rFonts w:hint="eastAsia" w:ascii="方正仿宋_GBK" w:hAnsi="方正仿宋_GBK" w:eastAsia="方正仿宋_GBK" w:cs="方正仿宋_GBK"/>
          <w:b/>
          <w:bCs/>
          <w:color w:val="auto"/>
          <w:sz w:val="32"/>
          <w:szCs w:val="32"/>
          <w:highlight w:val="none"/>
          <w:lang w:bidi="ar"/>
        </w:rPr>
        <w:t>日前</w:t>
      </w:r>
    </w:p>
    <w:p>
      <w:pPr>
        <w:pStyle w:val="18"/>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受</w:t>
      </w:r>
      <w:r>
        <w:rPr>
          <w:rFonts w:hint="eastAsia" w:ascii="方正仿宋_GBK" w:hAnsi="方正仿宋_GBK" w:eastAsia="方正仿宋_GBK" w:cs="方正仿宋_GBK"/>
          <w:color w:val="auto"/>
          <w:sz w:val="32"/>
          <w:szCs w:val="32"/>
          <w:highlight w:val="none"/>
          <w:lang w:val="en-US" w:eastAsia="zh-CN" w:bidi="ar"/>
        </w:rPr>
        <w:t>伽师县财政局</w:t>
      </w:r>
      <w:r>
        <w:rPr>
          <w:rFonts w:hint="eastAsia" w:ascii="方正仿宋_GBK" w:hAnsi="方正仿宋_GBK" w:eastAsia="方正仿宋_GBK" w:cs="方正仿宋_GBK"/>
          <w:color w:val="auto"/>
          <w:sz w:val="32"/>
          <w:szCs w:val="32"/>
          <w:highlight w:val="none"/>
          <w:lang w:bidi="ar"/>
        </w:rPr>
        <w:t>委托后，对</w:t>
      </w:r>
      <w:r>
        <w:rPr>
          <w:rFonts w:hint="eastAsia" w:ascii="方正仿宋_GBK" w:hAnsi="方正仿宋_GBK" w:eastAsia="方正仿宋_GBK" w:cs="方正仿宋_GBK"/>
          <w:color w:val="auto"/>
          <w:sz w:val="32"/>
          <w:szCs w:val="32"/>
          <w:highlight w:val="none"/>
          <w:lang w:val="en-US" w:eastAsia="zh-CN" w:bidi="ar"/>
        </w:rPr>
        <w:t>项目</w:t>
      </w:r>
      <w:r>
        <w:rPr>
          <w:rFonts w:hint="eastAsia" w:ascii="方正仿宋_GBK" w:hAnsi="方正仿宋_GBK" w:eastAsia="方正仿宋_GBK" w:cs="方正仿宋_GBK"/>
          <w:color w:val="auto"/>
          <w:sz w:val="32"/>
          <w:szCs w:val="32"/>
          <w:highlight w:val="none"/>
          <w:lang w:bidi="ar"/>
        </w:rPr>
        <w:t>资金</w:t>
      </w:r>
      <w:r>
        <w:rPr>
          <w:rFonts w:hint="eastAsia" w:ascii="方正仿宋_GBK" w:hAnsi="方正仿宋_GBK" w:eastAsia="方正仿宋_GBK" w:cs="方正仿宋_GBK"/>
          <w:color w:val="auto"/>
          <w:sz w:val="32"/>
          <w:szCs w:val="32"/>
          <w:highlight w:val="none"/>
          <w:lang w:val="en-US" w:eastAsia="zh-CN" w:bidi="ar"/>
        </w:rPr>
        <w:t>管理和使用情况</w:t>
      </w:r>
      <w:r>
        <w:rPr>
          <w:rFonts w:hint="eastAsia" w:ascii="方正仿宋_GBK" w:hAnsi="方正仿宋_GBK" w:eastAsia="方正仿宋_GBK" w:cs="方正仿宋_GBK"/>
          <w:color w:val="auto"/>
          <w:sz w:val="32"/>
          <w:szCs w:val="32"/>
          <w:highlight w:val="none"/>
          <w:lang w:bidi="ar"/>
        </w:rPr>
        <w:t>进行调研，与</w:t>
      </w:r>
      <w:r>
        <w:rPr>
          <w:rFonts w:hint="eastAsia" w:ascii="方正仿宋_GBK" w:hAnsi="方正仿宋_GBK" w:eastAsia="方正仿宋_GBK" w:cs="方正仿宋_GBK"/>
          <w:color w:val="auto"/>
          <w:sz w:val="32"/>
          <w:szCs w:val="32"/>
          <w:highlight w:val="none"/>
          <w:lang w:val="en-US" w:eastAsia="zh-CN" w:bidi="ar"/>
        </w:rPr>
        <w:t>伽师县自然资源局</w:t>
      </w:r>
      <w:r>
        <w:rPr>
          <w:rFonts w:hint="eastAsia" w:ascii="方正仿宋_GBK" w:hAnsi="方正仿宋_GBK" w:eastAsia="方正仿宋_GBK" w:cs="方正仿宋_GBK"/>
          <w:color w:val="auto"/>
          <w:sz w:val="32"/>
          <w:szCs w:val="32"/>
          <w:highlight w:val="none"/>
          <w:lang w:bidi="ar"/>
        </w:rPr>
        <w:t>沟通，收集相关资料，了解专项资金的内容、操作流程、管理机制、资金使用、产出和效果等情况，根据</w:t>
      </w:r>
      <w:r>
        <w:rPr>
          <w:rFonts w:hint="eastAsia" w:ascii="方正仿宋_GBK" w:hAnsi="方正仿宋_GBK" w:eastAsia="方正仿宋_GBK" w:cs="方正仿宋_GBK"/>
          <w:color w:val="auto"/>
          <w:sz w:val="32"/>
          <w:szCs w:val="32"/>
          <w:highlight w:val="none"/>
          <w:lang w:val="en-US" w:eastAsia="zh-CN" w:bidi="ar"/>
        </w:rPr>
        <w:t>项目</w:t>
      </w:r>
      <w:r>
        <w:rPr>
          <w:rFonts w:hint="eastAsia" w:ascii="方正仿宋_GBK" w:hAnsi="方正仿宋_GBK" w:eastAsia="方正仿宋_GBK" w:cs="方正仿宋_GBK"/>
          <w:color w:val="auto"/>
          <w:sz w:val="32"/>
          <w:szCs w:val="32"/>
          <w:highlight w:val="none"/>
          <w:lang w:bidi="ar"/>
        </w:rPr>
        <w:t>资金实际情况和绩效管理要求制定绩效评价工作方案。</w:t>
      </w:r>
    </w:p>
    <w:p>
      <w:pPr>
        <w:pStyle w:val="18"/>
        <w:keepNext w:val="0"/>
        <w:keepLines w:val="0"/>
        <w:pageBreakBefore w:val="0"/>
        <w:widowControl/>
        <w:kinsoku/>
        <w:wordWrap/>
        <w:topLinePunct w:val="0"/>
        <w:bidi w:val="0"/>
        <w:snapToGrid/>
        <w:spacing w:line="560" w:lineRule="exact"/>
        <w:ind w:firstLine="643" w:firstLineChars="200"/>
        <w:rPr>
          <w:rFonts w:hint="eastAsia" w:ascii="方正仿宋_GBK" w:hAnsi="方正仿宋_GBK" w:eastAsia="方正仿宋_GBK" w:cs="方正仿宋_GBK"/>
          <w:b/>
          <w:bCs/>
          <w:color w:val="auto"/>
          <w:sz w:val="32"/>
          <w:szCs w:val="32"/>
          <w:highlight w:val="none"/>
          <w:lang w:bidi="ar"/>
        </w:rPr>
      </w:pPr>
      <w:r>
        <w:rPr>
          <w:rFonts w:hint="eastAsia" w:ascii="方正仿宋_GBK" w:hAnsi="方正仿宋_GBK" w:eastAsia="方正仿宋_GBK" w:cs="方正仿宋_GBK"/>
          <w:b/>
          <w:bCs/>
          <w:color w:val="auto"/>
          <w:sz w:val="32"/>
          <w:szCs w:val="32"/>
          <w:highlight w:val="none"/>
          <w:lang w:bidi="ar"/>
        </w:rPr>
        <w:t>（2）评价实施阶段——20</w:t>
      </w:r>
      <w:r>
        <w:rPr>
          <w:rFonts w:hint="eastAsia" w:ascii="方正仿宋_GBK" w:hAnsi="方正仿宋_GBK" w:eastAsia="方正仿宋_GBK" w:cs="方正仿宋_GBK"/>
          <w:b/>
          <w:bCs/>
          <w:color w:val="auto"/>
          <w:sz w:val="32"/>
          <w:szCs w:val="32"/>
          <w:highlight w:val="none"/>
          <w:lang w:val="en-US" w:eastAsia="zh-CN" w:bidi="ar"/>
        </w:rPr>
        <w:t>23</w:t>
      </w:r>
      <w:r>
        <w:rPr>
          <w:rFonts w:hint="eastAsia" w:ascii="方正仿宋_GBK" w:hAnsi="方正仿宋_GBK" w:eastAsia="方正仿宋_GBK" w:cs="方正仿宋_GBK"/>
          <w:b/>
          <w:bCs/>
          <w:color w:val="auto"/>
          <w:sz w:val="32"/>
          <w:szCs w:val="32"/>
          <w:highlight w:val="none"/>
          <w:lang w:bidi="ar"/>
        </w:rPr>
        <w:t>年</w:t>
      </w:r>
      <w:r>
        <w:rPr>
          <w:rFonts w:hint="eastAsia" w:ascii="方正仿宋_GBK" w:hAnsi="方正仿宋_GBK" w:eastAsia="方正仿宋_GBK" w:cs="方正仿宋_GBK"/>
          <w:b/>
          <w:bCs/>
          <w:color w:val="auto"/>
          <w:sz w:val="32"/>
          <w:szCs w:val="32"/>
          <w:highlight w:val="none"/>
          <w:lang w:val="en-US" w:eastAsia="zh-CN" w:bidi="ar"/>
        </w:rPr>
        <w:t>5</w:t>
      </w:r>
      <w:r>
        <w:rPr>
          <w:rFonts w:hint="eastAsia" w:ascii="方正仿宋_GBK" w:hAnsi="方正仿宋_GBK" w:eastAsia="方正仿宋_GBK" w:cs="方正仿宋_GBK"/>
          <w:b/>
          <w:bCs/>
          <w:color w:val="auto"/>
          <w:sz w:val="32"/>
          <w:szCs w:val="32"/>
          <w:highlight w:val="none"/>
          <w:lang w:bidi="ar"/>
        </w:rPr>
        <w:t>月</w:t>
      </w:r>
      <w:r>
        <w:rPr>
          <w:rFonts w:hint="eastAsia" w:ascii="方正仿宋_GBK" w:hAnsi="方正仿宋_GBK" w:eastAsia="方正仿宋_GBK" w:cs="方正仿宋_GBK"/>
          <w:b/>
          <w:bCs/>
          <w:color w:val="auto"/>
          <w:sz w:val="32"/>
          <w:szCs w:val="32"/>
          <w:highlight w:val="none"/>
          <w:lang w:val="en-US" w:eastAsia="zh-CN" w:bidi="ar"/>
        </w:rPr>
        <w:t>20</w:t>
      </w:r>
      <w:r>
        <w:rPr>
          <w:rFonts w:hint="eastAsia" w:ascii="方正仿宋_GBK" w:hAnsi="方正仿宋_GBK" w:eastAsia="方正仿宋_GBK" w:cs="方正仿宋_GBK"/>
          <w:b/>
          <w:bCs/>
          <w:color w:val="auto"/>
          <w:sz w:val="32"/>
          <w:szCs w:val="32"/>
          <w:highlight w:val="none"/>
          <w:lang w:bidi="ar"/>
        </w:rPr>
        <w:t>日前</w:t>
      </w:r>
    </w:p>
    <w:p>
      <w:pPr>
        <w:pStyle w:val="18"/>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数据采集（20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4</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15</w:t>
      </w:r>
      <w:r>
        <w:rPr>
          <w:rFonts w:hint="eastAsia" w:ascii="方正仿宋_GBK" w:hAnsi="方正仿宋_GBK" w:eastAsia="方正仿宋_GBK" w:cs="方正仿宋_GBK"/>
          <w:color w:val="auto"/>
          <w:sz w:val="32"/>
          <w:szCs w:val="32"/>
          <w:highlight w:val="none"/>
          <w:lang w:bidi="ar"/>
        </w:rPr>
        <w:t>日前）。将基础表发送至</w:t>
      </w:r>
      <w:r>
        <w:rPr>
          <w:rFonts w:hint="eastAsia" w:ascii="方正仿宋_GBK" w:hAnsi="方正仿宋_GBK" w:eastAsia="方正仿宋_GBK" w:cs="方正仿宋_GBK"/>
          <w:color w:val="auto"/>
          <w:sz w:val="32"/>
          <w:szCs w:val="32"/>
          <w:highlight w:val="none"/>
          <w:lang w:val="en-US" w:eastAsia="zh-CN" w:bidi="ar"/>
        </w:rPr>
        <w:t>伽师县财政局相关处室</w:t>
      </w:r>
      <w:r>
        <w:rPr>
          <w:rFonts w:hint="eastAsia" w:ascii="方正仿宋_GBK" w:hAnsi="方正仿宋_GBK" w:eastAsia="方正仿宋_GBK" w:cs="方正仿宋_GBK"/>
          <w:color w:val="auto"/>
          <w:sz w:val="32"/>
          <w:szCs w:val="32"/>
          <w:highlight w:val="none"/>
          <w:lang w:bidi="ar"/>
        </w:rPr>
        <w:t>按照预算绩效管理要求填报相关数据并加盖公章。</w:t>
      </w:r>
    </w:p>
    <w:p>
      <w:pPr>
        <w:pStyle w:val="18"/>
        <w:keepNext w:val="0"/>
        <w:keepLines w:val="0"/>
        <w:pageBreakBefore w:val="0"/>
        <w:widowControl/>
        <w:kinsoku/>
        <w:wordWrap/>
        <w:topLinePunct w:val="0"/>
        <w:bidi w:val="0"/>
        <w:snapToGrid/>
        <w:spacing w:line="560" w:lineRule="exact"/>
        <w:ind w:firstLine="640" w:firstLineChars="200"/>
        <w:rPr>
          <w:rFonts w:hint="eastAsia" w:ascii="方正仿宋_GBK" w:hAnsi="方正仿宋_GBK" w:eastAsia="方正仿宋_GBK" w:cs="方正仿宋_GBK"/>
          <w:color w:val="auto"/>
          <w:sz w:val="32"/>
          <w:szCs w:val="32"/>
          <w:highlight w:val="none"/>
          <w:lang w:bidi="ar"/>
        </w:rPr>
      </w:pPr>
      <w:r>
        <w:rPr>
          <w:rFonts w:hint="eastAsia" w:ascii="方正仿宋_GBK" w:hAnsi="方正仿宋_GBK" w:eastAsia="方正仿宋_GBK" w:cs="方正仿宋_GBK"/>
          <w:color w:val="auto"/>
          <w:sz w:val="32"/>
          <w:szCs w:val="32"/>
          <w:highlight w:val="none"/>
          <w:lang w:bidi="ar"/>
        </w:rPr>
        <w:t>实地调研（20</w:t>
      </w:r>
      <w:r>
        <w:rPr>
          <w:rFonts w:hint="eastAsia" w:ascii="方正仿宋_GBK" w:hAnsi="方正仿宋_GBK" w:eastAsia="方正仿宋_GBK" w:cs="方正仿宋_GBK"/>
          <w:color w:val="auto"/>
          <w:sz w:val="32"/>
          <w:szCs w:val="32"/>
          <w:highlight w:val="none"/>
          <w:lang w:val="en-US" w:eastAsia="zh-CN" w:bidi="ar"/>
        </w:rPr>
        <w:t>23</w:t>
      </w:r>
      <w:r>
        <w:rPr>
          <w:rFonts w:hint="eastAsia" w:ascii="方正仿宋_GBK" w:hAnsi="方正仿宋_GBK" w:eastAsia="方正仿宋_GBK" w:cs="方正仿宋_GBK"/>
          <w:color w:val="auto"/>
          <w:sz w:val="32"/>
          <w:szCs w:val="32"/>
          <w:highlight w:val="none"/>
          <w:lang w:bidi="ar"/>
        </w:rPr>
        <w:t>年</w:t>
      </w:r>
      <w:r>
        <w:rPr>
          <w:rFonts w:hint="eastAsia" w:ascii="方正仿宋_GBK" w:hAnsi="方正仿宋_GBK" w:eastAsia="方正仿宋_GBK" w:cs="方正仿宋_GBK"/>
          <w:color w:val="auto"/>
          <w:sz w:val="32"/>
          <w:szCs w:val="32"/>
          <w:highlight w:val="none"/>
          <w:lang w:val="en-US" w:eastAsia="zh-CN" w:bidi="ar"/>
        </w:rPr>
        <w:t>5</w:t>
      </w:r>
      <w:r>
        <w:rPr>
          <w:rFonts w:hint="eastAsia" w:ascii="方正仿宋_GBK" w:hAnsi="方正仿宋_GBK" w:eastAsia="方正仿宋_GBK" w:cs="方正仿宋_GBK"/>
          <w:color w:val="auto"/>
          <w:sz w:val="32"/>
          <w:szCs w:val="32"/>
          <w:highlight w:val="none"/>
          <w:lang w:bidi="ar"/>
        </w:rPr>
        <w:t>月</w:t>
      </w:r>
      <w:r>
        <w:rPr>
          <w:rFonts w:hint="eastAsia" w:ascii="方正仿宋_GBK" w:hAnsi="方正仿宋_GBK" w:eastAsia="方正仿宋_GBK" w:cs="方正仿宋_GBK"/>
          <w:color w:val="auto"/>
          <w:sz w:val="32"/>
          <w:szCs w:val="32"/>
          <w:highlight w:val="none"/>
          <w:lang w:val="en-US" w:eastAsia="zh-CN" w:bidi="ar"/>
        </w:rPr>
        <w:t>20</w:t>
      </w:r>
      <w:r>
        <w:rPr>
          <w:rFonts w:hint="eastAsia" w:ascii="方正仿宋_GBK" w:hAnsi="方正仿宋_GBK" w:eastAsia="方正仿宋_GBK" w:cs="方正仿宋_GBK"/>
          <w:color w:val="auto"/>
          <w:sz w:val="32"/>
          <w:szCs w:val="32"/>
          <w:highlight w:val="none"/>
          <w:lang w:bidi="ar"/>
        </w:rPr>
        <w:t>日前）。根据方案，对预算</w:t>
      </w:r>
      <w:r>
        <w:rPr>
          <w:rFonts w:hint="eastAsia" w:ascii="方正仿宋_GBK" w:hAnsi="方正仿宋_GBK" w:eastAsia="方正仿宋_GBK" w:cs="方正仿宋_GBK"/>
          <w:color w:val="auto"/>
          <w:sz w:val="32"/>
          <w:szCs w:val="32"/>
          <w:highlight w:val="none"/>
          <w:lang w:val="en-US" w:eastAsia="zh-CN" w:bidi="ar"/>
        </w:rPr>
        <w:t>单位</w:t>
      </w:r>
      <w:r>
        <w:rPr>
          <w:rFonts w:hint="eastAsia" w:ascii="方正仿宋_GBK" w:hAnsi="方正仿宋_GBK" w:eastAsia="方正仿宋_GBK" w:cs="方正仿宋_GBK"/>
          <w:color w:val="auto"/>
          <w:sz w:val="32"/>
          <w:szCs w:val="32"/>
          <w:highlight w:val="none"/>
          <w:lang w:bidi="ar"/>
        </w:rPr>
        <w:t>，相关</w:t>
      </w:r>
      <w:r>
        <w:rPr>
          <w:rFonts w:hint="eastAsia" w:ascii="方正仿宋_GBK" w:hAnsi="方正仿宋_GBK" w:eastAsia="方正仿宋_GBK" w:cs="方正仿宋_GBK"/>
          <w:color w:val="auto"/>
          <w:sz w:val="32"/>
          <w:szCs w:val="32"/>
          <w:highlight w:val="none"/>
          <w:lang w:eastAsia="zh-Hans" w:bidi="ar"/>
        </w:rPr>
        <w:t>负责人</w:t>
      </w:r>
      <w:r>
        <w:rPr>
          <w:rFonts w:hint="eastAsia" w:ascii="方正仿宋_GBK" w:hAnsi="方正仿宋_GBK" w:eastAsia="方正仿宋_GBK" w:cs="方正仿宋_GBK"/>
          <w:color w:val="auto"/>
          <w:sz w:val="32"/>
          <w:szCs w:val="32"/>
          <w:highlight w:val="none"/>
          <w:lang w:bidi="ar"/>
        </w:rPr>
        <w:t>进行访谈，并对其填报的数据进行复核。同时，对受益</w:t>
      </w:r>
      <w:r>
        <w:rPr>
          <w:rFonts w:hint="eastAsia" w:ascii="方正仿宋_GBK" w:hAnsi="方正仿宋_GBK" w:eastAsia="方正仿宋_GBK" w:cs="方正仿宋_GBK"/>
          <w:color w:val="auto"/>
          <w:sz w:val="32"/>
          <w:szCs w:val="32"/>
          <w:highlight w:val="none"/>
          <w:lang w:val="en-US" w:eastAsia="zh-CN" w:bidi="ar"/>
        </w:rPr>
        <w:t>对象</w:t>
      </w:r>
      <w:r>
        <w:rPr>
          <w:rFonts w:hint="eastAsia" w:ascii="方正仿宋_GBK" w:hAnsi="方正仿宋_GBK" w:eastAsia="方正仿宋_GBK" w:cs="方正仿宋_GBK"/>
          <w:color w:val="auto"/>
          <w:sz w:val="32"/>
          <w:szCs w:val="32"/>
          <w:highlight w:val="none"/>
          <w:lang w:bidi="ar"/>
        </w:rPr>
        <w:t>进行满意度问卷调查。</w:t>
      </w:r>
      <w:r>
        <w:rPr>
          <w:rFonts w:hint="eastAsia" w:ascii="方正仿宋_GBK" w:hAnsi="方正仿宋_GBK" w:eastAsia="方正仿宋_GBK" w:cs="方正仿宋_GBK"/>
          <w:color w:val="auto"/>
          <w:sz w:val="32"/>
          <w:szCs w:val="32"/>
          <w:highlight w:val="none"/>
          <w:lang w:eastAsia="zh-CN" w:bidi="ar"/>
        </w:rPr>
        <w:t>项目共发放问卷调查</w:t>
      </w:r>
      <w:r>
        <w:rPr>
          <w:rFonts w:hint="eastAsia" w:ascii="方正仿宋_GBK" w:hAnsi="方正仿宋_GBK" w:eastAsia="方正仿宋_GBK" w:cs="方正仿宋_GBK"/>
          <w:color w:val="auto"/>
          <w:sz w:val="32"/>
          <w:szCs w:val="32"/>
          <w:highlight w:val="none"/>
          <w:lang w:val="en-US" w:eastAsia="zh-CN" w:bidi="ar"/>
        </w:rPr>
        <w:t>229份，最终收回229份。</w:t>
      </w:r>
      <w:r>
        <w:rPr>
          <w:rFonts w:hint="eastAsia" w:ascii="方正仿宋_GBK" w:hAnsi="方正仿宋_GBK" w:eastAsia="方正仿宋_GBK" w:cs="方正仿宋_GBK"/>
          <w:color w:val="auto"/>
          <w:sz w:val="32"/>
          <w:szCs w:val="32"/>
          <w:highlight w:val="none"/>
          <w:lang w:bidi="ar"/>
        </w:rPr>
        <w:t>调研结束后，对相关材料及数据进行分析整理。按照设立的评价指标、标准、权重、方法实施评价，并形成评价结论。</w:t>
      </w:r>
    </w:p>
    <w:p>
      <w:pPr>
        <w:keepNext w:val="0"/>
        <w:keepLines w:val="0"/>
        <w:pageBreakBefore w:val="0"/>
        <w:widowControl/>
        <w:kinsoku/>
        <w:wordWrap/>
        <w:topLinePunct w:val="0"/>
        <w:bidi w:val="0"/>
        <w:snapToGrid/>
        <w:spacing w:line="560" w:lineRule="exact"/>
        <w:ind w:firstLine="643" w:firstLineChars="200"/>
        <w:rPr>
          <w:rFonts w:hint="eastAsia" w:ascii="方正仿宋_GBK" w:hAnsi="方正仿宋_GBK" w:eastAsia="方正仿宋_GBK" w:cs="方正仿宋_GBK"/>
          <w:b/>
          <w:bCs/>
          <w:color w:val="auto"/>
          <w:kern w:val="0"/>
          <w:sz w:val="32"/>
          <w:szCs w:val="32"/>
          <w:highlight w:val="none"/>
          <w:lang w:bidi="ar"/>
        </w:rPr>
      </w:pPr>
      <w:r>
        <w:rPr>
          <w:rFonts w:hint="eastAsia" w:ascii="方正仿宋_GBK" w:hAnsi="方正仿宋_GBK" w:eastAsia="方正仿宋_GBK" w:cs="方正仿宋_GBK"/>
          <w:b/>
          <w:bCs/>
          <w:color w:val="auto"/>
          <w:kern w:val="0"/>
          <w:sz w:val="32"/>
          <w:szCs w:val="32"/>
          <w:highlight w:val="none"/>
          <w:lang w:bidi="ar"/>
        </w:rPr>
        <w:t>（3）报告撰写阶段</w:t>
      </w:r>
      <w:r>
        <w:rPr>
          <w:rFonts w:hint="eastAsia" w:ascii="方正仿宋_GBK" w:hAnsi="方正仿宋_GBK" w:eastAsia="方正仿宋_GBK" w:cs="方正仿宋_GBK"/>
          <w:b/>
          <w:bCs/>
          <w:color w:val="auto"/>
          <w:sz w:val="32"/>
          <w:szCs w:val="32"/>
          <w:highlight w:val="none"/>
          <w:lang w:bidi="ar"/>
        </w:rPr>
        <w:t>——</w:t>
      </w:r>
      <w:r>
        <w:rPr>
          <w:rFonts w:hint="eastAsia" w:ascii="方正仿宋_GBK" w:hAnsi="方正仿宋_GBK" w:eastAsia="方正仿宋_GBK" w:cs="方正仿宋_GBK"/>
          <w:b/>
          <w:bCs/>
          <w:color w:val="auto"/>
          <w:kern w:val="0"/>
          <w:sz w:val="32"/>
          <w:szCs w:val="32"/>
          <w:highlight w:val="none"/>
          <w:lang w:bidi="ar"/>
        </w:rPr>
        <w:t>20</w:t>
      </w:r>
      <w:r>
        <w:rPr>
          <w:rFonts w:hint="eastAsia" w:ascii="方正仿宋_GBK" w:hAnsi="方正仿宋_GBK" w:eastAsia="方正仿宋_GBK" w:cs="方正仿宋_GBK"/>
          <w:b/>
          <w:bCs/>
          <w:color w:val="auto"/>
          <w:kern w:val="0"/>
          <w:sz w:val="32"/>
          <w:szCs w:val="32"/>
          <w:highlight w:val="none"/>
          <w:lang w:val="en-US" w:eastAsia="zh-CN" w:bidi="ar"/>
        </w:rPr>
        <w:t>23</w:t>
      </w:r>
      <w:r>
        <w:rPr>
          <w:rFonts w:hint="eastAsia" w:ascii="方正仿宋_GBK" w:hAnsi="方正仿宋_GBK" w:eastAsia="方正仿宋_GBK" w:cs="方正仿宋_GBK"/>
          <w:b/>
          <w:bCs/>
          <w:color w:val="auto"/>
          <w:kern w:val="0"/>
          <w:sz w:val="32"/>
          <w:szCs w:val="32"/>
          <w:highlight w:val="none"/>
          <w:lang w:bidi="ar"/>
        </w:rPr>
        <w:t>年</w:t>
      </w:r>
      <w:r>
        <w:rPr>
          <w:rFonts w:hint="eastAsia" w:ascii="方正仿宋_GBK" w:hAnsi="方正仿宋_GBK" w:eastAsia="方正仿宋_GBK" w:cs="方正仿宋_GBK"/>
          <w:b/>
          <w:bCs/>
          <w:color w:val="auto"/>
          <w:kern w:val="0"/>
          <w:sz w:val="32"/>
          <w:szCs w:val="32"/>
          <w:highlight w:val="none"/>
          <w:lang w:val="en-US" w:eastAsia="zh-CN" w:bidi="ar"/>
        </w:rPr>
        <w:t>6</w:t>
      </w:r>
      <w:r>
        <w:rPr>
          <w:rFonts w:hint="eastAsia" w:ascii="方正仿宋_GBK" w:hAnsi="方正仿宋_GBK" w:eastAsia="方正仿宋_GBK" w:cs="方正仿宋_GBK"/>
          <w:b/>
          <w:bCs/>
          <w:color w:val="auto"/>
          <w:kern w:val="0"/>
          <w:sz w:val="32"/>
          <w:szCs w:val="32"/>
          <w:highlight w:val="none"/>
          <w:lang w:bidi="ar"/>
        </w:rPr>
        <w:t>月</w:t>
      </w:r>
      <w:r>
        <w:rPr>
          <w:rFonts w:hint="eastAsia" w:ascii="方正仿宋_GBK" w:hAnsi="方正仿宋_GBK" w:eastAsia="方正仿宋_GBK" w:cs="方正仿宋_GBK"/>
          <w:b/>
          <w:bCs/>
          <w:color w:val="auto"/>
          <w:kern w:val="0"/>
          <w:sz w:val="32"/>
          <w:szCs w:val="32"/>
          <w:highlight w:val="none"/>
          <w:lang w:val="en-US" w:eastAsia="zh-CN" w:bidi="ar"/>
        </w:rPr>
        <w:t>10</w:t>
      </w:r>
      <w:r>
        <w:rPr>
          <w:rFonts w:hint="eastAsia" w:ascii="方正仿宋_GBK" w:hAnsi="方正仿宋_GBK" w:eastAsia="方正仿宋_GBK" w:cs="方正仿宋_GBK"/>
          <w:b/>
          <w:bCs/>
          <w:color w:val="auto"/>
          <w:kern w:val="0"/>
          <w:sz w:val="32"/>
          <w:szCs w:val="32"/>
          <w:highlight w:val="none"/>
          <w:lang w:bidi="ar"/>
        </w:rPr>
        <w:t>日前</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bidi="ar"/>
        </w:rPr>
      </w:pPr>
      <w:r>
        <w:rPr>
          <w:rFonts w:hint="eastAsia" w:ascii="方正仿宋_GBK" w:hAnsi="方正仿宋_GBK" w:eastAsia="方正仿宋_GBK" w:cs="方正仿宋_GBK"/>
          <w:color w:val="auto"/>
          <w:kern w:val="0"/>
          <w:sz w:val="32"/>
          <w:szCs w:val="32"/>
          <w:highlight w:val="none"/>
          <w:lang w:bidi="ar"/>
        </w:rPr>
        <w:t>撰写评价报告（20</w:t>
      </w:r>
      <w:r>
        <w:rPr>
          <w:rFonts w:hint="eastAsia" w:ascii="方正仿宋_GBK" w:hAnsi="方正仿宋_GBK" w:eastAsia="方正仿宋_GBK" w:cs="方正仿宋_GBK"/>
          <w:color w:val="auto"/>
          <w:kern w:val="0"/>
          <w:sz w:val="32"/>
          <w:szCs w:val="32"/>
          <w:highlight w:val="none"/>
          <w:lang w:val="en-US" w:eastAsia="zh-CN" w:bidi="ar"/>
        </w:rPr>
        <w:t>23</w:t>
      </w:r>
      <w:r>
        <w:rPr>
          <w:rFonts w:hint="eastAsia" w:ascii="方正仿宋_GBK" w:hAnsi="方正仿宋_GBK" w:eastAsia="方正仿宋_GBK" w:cs="方正仿宋_GBK"/>
          <w:color w:val="auto"/>
          <w:kern w:val="0"/>
          <w:sz w:val="32"/>
          <w:szCs w:val="32"/>
          <w:highlight w:val="none"/>
          <w:lang w:bidi="ar"/>
        </w:rPr>
        <w:t>年</w:t>
      </w:r>
      <w:r>
        <w:rPr>
          <w:rFonts w:hint="eastAsia" w:ascii="方正仿宋_GBK" w:hAnsi="方正仿宋_GBK" w:eastAsia="方正仿宋_GBK" w:cs="方正仿宋_GBK"/>
          <w:color w:val="auto"/>
          <w:kern w:val="0"/>
          <w:sz w:val="32"/>
          <w:szCs w:val="32"/>
          <w:highlight w:val="none"/>
          <w:lang w:val="en-US" w:eastAsia="zh-CN" w:bidi="ar"/>
        </w:rPr>
        <w:t>6</w:t>
      </w:r>
      <w:r>
        <w:rPr>
          <w:rFonts w:hint="eastAsia" w:ascii="方正仿宋_GBK" w:hAnsi="方正仿宋_GBK" w:eastAsia="方正仿宋_GBK" w:cs="方正仿宋_GBK"/>
          <w:color w:val="auto"/>
          <w:kern w:val="0"/>
          <w:sz w:val="32"/>
          <w:szCs w:val="32"/>
          <w:highlight w:val="none"/>
          <w:lang w:bidi="ar"/>
        </w:rPr>
        <w:t>月</w:t>
      </w:r>
      <w:r>
        <w:rPr>
          <w:rFonts w:hint="eastAsia" w:ascii="方正仿宋_GBK" w:hAnsi="方正仿宋_GBK" w:eastAsia="方正仿宋_GBK" w:cs="方正仿宋_GBK"/>
          <w:color w:val="auto"/>
          <w:kern w:val="0"/>
          <w:sz w:val="32"/>
          <w:szCs w:val="32"/>
          <w:highlight w:val="none"/>
          <w:lang w:val="en-US" w:eastAsia="zh-CN" w:bidi="ar"/>
        </w:rPr>
        <w:t>10</w:t>
      </w:r>
      <w:r>
        <w:rPr>
          <w:rFonts w:hint="eastAsia" w:ascii="方正仿宋_GBK" w:hAnsi="方正仿宋_GBK" w:eastAsia="方正仿宋_GBK" w:cs="方正仿宋_GBK"/>
          <w:color w:val="auto"/>
          <w:kern w:val="0"/>
          <w:sz w:val="32"/>
          <w:szCs w:val="32"/>
          <w:highlight w:val="none"/>
          <w:lang w:bidi="ar"/>
        </w:rPr>
        <w:t>日前）。项目评价组根据绩效评价的原理，对收集的数据汇总和分析，撰写绩效评价报告，形成绩效评价报告初稿，征求项目实施单位意见，双方意见达成一致后在规定时间内上报</w:t>
      </w:r>
      <w:r>
        <w:rPr>
          <w:rFonts w:hint="eastAsia" w:ascii="方正仿宋_GBK" w:hAnsi="方正仿宋_GBK" w:eastAsia="方正仿宋_GBK" w:cs="方正仿宋_GBK"/>
          <w:color w:val="auto"/>
          <w:kern w:val="0"/>
          <w:sz w:val="32"/>
          <w:szCs w:val="32"/>
          <w:highlight w:val="none"/>
          <w:lang w:eastAsia="zh-CN" w:bidi="ar"/>
        </w:rPr>
        <w:t>伽师县</w:t>
      </w:r>
      <w:r>
        <w:rPr>
          <w:rFonts w:hint="eastAsia" w:ascii="方正仿宋_GBK" w:hAnsi="方正仿宋_GBK" w:eastAsia="方正仿宋_GBK" w:cs="方正仿宋_GBK"/>
          <w:color w:val="auto"/>
          <w:kern w:val="0"/>
          <w:sz w:val="32"/>
          <w:szCs w:val="32"/>
          <w:highlight w:val="none"/>
          <w:lang w:bidi="ar"/>
        </w:rPr>
        <w:t>财政局</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bidi="ar"/>
        </w:rPr>
        <w:t>并根据伽师县财政局的安排与单位沟通确认。</w:t>
      </w:r>
    </w:p>
    <w:p>
      <w:pPr>
        <w:keepNext w:val="0"/>
        <w:keepLines w:val="0"/>
        <w:pageBreakBefore w:val="0"/>
        <w:widowControl/>
        <w:kinsoku/>
        <w:wordWrap/>
        <w:topLinePunct w:val="0"/>
        <w:bidi w:val="0"/>
        <w:snapToGrid/>
        <w:spacing w:line="570" w:lineRule="exact"/>
        <w:ind w:firstLine="643" w:firstLineChars="200"/>
        <w:jc w:val="both"/>
        <w:rPr>
          <w:rFonts w:hint="eastAsia" w:ascii="方正仿宋_GBK" w:hAnsi="方正仿宋_GBK" w:eastAsia="方正仿宋_GBK" w:cs="方正仿宋_GBK"/>
          <w:color w:val="auto"/>
          <w:kern w:val="0"/>
          <w:sz w:val="32"/>
          <w:szCs w:val="32"/>
          <w:highlight w:val="none"/>
          <w:lang w:eastAsia="zh-Hans" w:bidi="ar"/>
        </w:rPr>
      </w:pPr>
      <w:r>
        <w:rPr>
          <w:rFonts w:hint="eastAsia" w:ascii="方正仿宋_GBK" w:hAnsi="方正仿宋_GBK" w:eastAsia="方正仿宋_GBK" w:cs="方正仿宋_GBK"/>
          <w:b/>
          <w:bCs/>
          <w:color w:val="auto"/>
          <w:kern w:val="0"/>
          <w:sz w:val="32"/>
          <w:szCs w:val="32"/>
          <w:highlight w:val="none"/>
          <w:lang w:eastAsia="zh-Hans" w:bidi="ar"/>
        </w:rPr>
        <w:t>（4）报告评审修改阶段：2023年7月19日——2023年7月24日</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color w:val="auto"/>
          <w:kern w:val="0"/>
          <w:sz w:val="32"/>
          <w:szCs w:val="32"/>
          <w:highlight w:val="none"/>
          <w:lang w:eastAsia="zh-Hans" w:bidi="ar"/>
        </w:rPr>
      </w:pPr>
      <w:r>
        <w:rPr>
          <w:rFonts w:hint="eastAsia" w:ascii="方正仿宋_GBK" w:hAnsi="方正仿宋_GBK" w:eastAsia="方正仿宋_GBK" w:cs="方正仿宋_GBK"/>
          <w:color w:val="auto"/>
          <w:kern w:val="0"/>
          <w:sz w:val="32"/>
          <w:szCs w:val="32"/>
          <w:highlight w:val="none"/>
          <w:lang w:eastAsia="zh-Hans" w:bidi="ar"/>
        </w:rPr>
        <w:t>财政局牵头组织人大</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w:t>
      </w:r>
      <w:r>
        <w:rPr>
          <w:rFonts w:hint="eastAsia" w:ascii="方正仿宋_GBK" w:hAnsi="方正仿宋_GBK" w:eastAsia="方正仿宋_GBK" w:cs="方正仿宋_GBK"/>
          <w:color w:val="auto"/>
          <w:kern w:val="0"/>
          <w:sz w:val="32"/>
          <w:szCs w:val="32"/>
          <w:highlight w:val="none"/>
          <w:lang w:eastAsia="zh-CN" w:bidi="ar"/>
        </w:rPr>
        <w:t>政协委员、审计部门代表、</w:t>
      </w:r>
      <w:r>
        <w:rPr>
          <w:rFonts w:hint="eastAsia" w:ascii="方正仿宋_GBK" w:hAnsi="方正仿宋_GBK" w:eastAsia="方正仿宋_GBK" w:cs="方正仿宋_GBK"/>
          <w:color w:val="auto"/>
          <w:kern w:val="0"/>
          <w:sz w:val="32"/>
          <w:szCs w:val="32"/>
          <w:highlight w:val="none"/>
          <w:lang w:eastAsia="zh-Hans" w:bidi="ar"/>
        </w:rPr>
        <w:t>财政部门</w:t>
      </w:r>
      <w:r>
        <w:rPr>
          <w:rFonts w:hint="eastAsia" w:ascii="方正仿宋_GBK" w:hAnsi="方正仿宋_GBK" w:eastAsia="方正仿宋_GBK" w:cs="方正仿宋_GBK"/>
          <w:color w:val="auto"/>
          <w:kern w:val="0"/>
          <w:sz w:val="32"/>
          <w:szCs w:val="32"/>
          <w:highlight w:val="none"/>
          <w:lang w:eastAsia="zh-CN" w:bidi="ar"/>
        </w:rPr>
        <w:t>代表、</w:t>
      </w:r>
      <w:r>
        <w:rPr>
          <w:rFonts w:hint="eastAsia" w:ascii="方正仿宋_GBK" w:hAnsi="方正仿宋_GBK" w:eastAsia="方正仿宋_GBK" w:cs="方正仿宋_GBK"/>
          <w:color w:val="auto"/>
          <w:kern w:val="0"/>
          <w:sz w:val="32"/>
          <w:szCs w:val="32"/>
          <w:highlight w:val="none"/>
          <w:lang w:eastAsia="zh-Hans" w:bidi="ar"/>
        </w:rPr>
        <w:t>绩效评价专家</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行业专家</w:t>
      </w:r>
      <w:r>
        <w:rPr>
          <w:rFonts w:hint="eastAsia" w:ascii="方正仿宋_GBK" w:hAnsi="方正仿宋_GBK" w:eastAsia="方正仿宋_GBK" w:cs="方正仿宋_GBK"/>
          <w:color w:val="auto"/>
          <w:kern w:val="0"/>
          <w:sz w:val="32"/>
          <w:szCs w:val="32"/>
          <w:highlight w:val="none"/>
          <w:lang w:eastAsia="zh-CN" w:bidi="ar"/>
        </w:rPr>
        <w:t>、被评价领域行业专家</w:t>
      </w:r>
      <w:r>
        <w:rPr>
          <w:rFonts w:hint="eastAsia" w:ascii="方正仿宋_GBK" w:hAnsi="方正仿宋_GBK" w:eastAsia="方正仿宋_GBK" w:cs="方正仿宋_GBK"/>
          <w:color w:val="auto"/>
          <w:kern w:val="0"/>
          <w:sz w:val="32"/>
          <w:szCs w:val="32"/>
          <w:highlight w:val="none"/>
          <w:lang w:eastAsia="zh-Hans" w:bidi="ar"/>
        </w:rPr>
        <w:t>以及第三方机构代表开展财政绩效评价报告评审会议。绩效评价工作小组根据评审建议逐条修改报告并报专家评审组组长</w:t>
      </w:r>
      <w:r>
        <w:rPr>
          <w:rFonts w:hint="eastAsia" w:ascii="方正仿宋_GBK" w:hAnsi="方正仿宋_GBK" w:eastAsia="方正仿宋_GBK" w:cs="方正仿宋_GBK"/>
          <w:color w:val="auto"/>
          <w:kern w:val="0"/>
          <w:sz w:val="32"/>
          <w:szCs w:val="32"/>
          <w:highlight w:val="none"/>
          <w:lang w:eastAsia="zh-CN" w:bidi="ar"/>
        </w:rPr>
        <w:t>、</w:t>
      </w:r>
      <w:r>
        <w:rPr>
          <w:rFonts w:hint="eastAsia" w:ascii="方正仿宋_GBK" w:hAnsi="方正仿宋_GBK" w:eastAsia="方正仿宋_GBK" w:cs="方正仿宋_GBK"/>
          <w:color w:val="auto"/>
          <w:kern w:val="0"/>
          <w:sz w:val="32"/>
          <w:szCs w:val="32"/>
          <w:highlight w:val="none"/>
          <w:lang w:eastAsia="zh-Hans" w:bidi="ar"/>
        </w:rPr>
        <w:t>绩效评价</w:t>
      </w:r>
      <w:r>
        <w:rPr>
          <w:rFonts w:hint="eastAsia" w:ascii="方正仿宋_GBK" w:hAnsi="方正仿宋_GBK" w:eastAsia="方正仿宋_GBK" w:cs="方正仿宋_GBK"/>
          <w:color w:val="auto"/>
          <w:kern w:val="0"/>
          <w:sz w:val="32"/>
          <w:szCs w:val="32"/>
          <w:highlight w:val="none"/>
          <w:lang w:eastAsia="zh-CN" w:bidi="ar"/>
        </w:rPr>
        <w:t>股</w:t>
      </w:r>
      <w:r>
        <w:rPr>
          <w:rFonts w:hint="eastAsia" w:ascii="方正仿宋_GBK" w:hAnsi="方正仿宋_GBK" w:eastAsia="方正仿宋_GBK" w:cs="方正仿宋_GBK"/>
          <w:color w:val="auto"/>
          <w:kern w:val="0"/>
          <w:sz w:val="32"/>
          <w:szCs w:val="32"/>
          <w:highlight w:val="none"/>
          <w:lang w:eastAsia="zh-Hans" w:bidi="ar"/>
        </w:rPr>
        <w:t>审核。</w:t>
      </w:r>
    </w:p>
    <w:p>
      <w:pPr>
        <w:keepNext w:val="0"/>
        <w:keepLines w:val="0"/>
        <w:pageBreakBefore w:val="0"/>
        <w:widowControl/>
        <w:kinsoku/>
        <w:wordWrap/>
        <w:topLinePunct w:val="0"/>
        <w:bidi w:val="0"/>
        <w:snapToGrid/>
        <w:spacing w:line="570" w:lineRule="exact"/>
        <w:ind w:firstLine="643" w:firstLineChars="200"/>
        <w:jc w:val="both"/>
        <w:rPr>
          <w:rFonts w:hint="eastAsia" w:ascii="方正仿宋_GBK" w:hAnsi="方正仿宋_GBK" w:eastAsia="方正仿宋_GBK" w:cs="方正仿宋_GBK"/>
          <w:b/>
          <w:bCs/>
          <w:color w:val="auto"/>
          <w:kern w:val="0"/>
          <w:sz w:val="32"/>
          <w:szCs w:val="32"/>
          <w:highlight w:val="none"/>
          <w:lang w:eastAsia="zh-CN" w:bidi="ar"/>
        </w:rPr>
      </w:pPr>
      <w:r>
        <w:rPr>
          <w:rFonts w:hint="eastAsia" w:ascii="方正仿宋_GBK" w:hAnsi="方正仿宋_GBK" w:eastAsia="方正仿宋_GBK" w:cs="方正仿宋_GBK"/>
          <w:b/>
          <w:bCs/>
          <w:color w:val="auto"/>
          <w:kern w:val="0"/>
          <w:sz w:val="32"/>
          <w:szCs w:val="32"/>
          <w:highlight w:val="none"/>
          <w:lang w:eastAsia="zh-Hans" w:bidi="ar"/>
        </w:rPr>
        <w:t>3.专家评审意见</w:t>
      </w:r>
      <w:r>
        <w:rPr>
          <w:rFonts w:hint="eastAsia" w:ascii="方正仿宋_GBK" w:hAnsi="方正仿宋_GBK" w:eastAsia="方正仿宋_GBK" w:cs="方正仿宋_GBK"/>
          <w:b/>
          <w:bCs/>
          <w:color w:val="auto"/>
          <w:kern w:val="0"/>
          <w:sz w:val="32"/>
          <w:szCs w:val="32"/>
          <w:highlight w:val="none"/>
          <w:lang w:eastAsia="zh-CN" w:bidi="ar"/>
        </w:rPr>
        <w:t>及沟通情况</w:t>
      </w:r>
      <w:bookmarkEnd w:id="157"/>
    </w:p>
    <w:p>
      <w:pPr>
        <w:pStyle w:val="4"/>
        <w:ind w:firstLine="640" w:firstLineChars="200"/>
        <w:rPr>
          <w:rFonts w:hint="eastAsia" w:ascii="方正仿宋_GBK" w:hAnsi="方正仿宋_GBK" w:eastAsia="方正仿宋_GBK" w:cs="方正仿宋_GBK"/>
          <w:b w:val="0"/>
          <w:bCs w:val="0"/>
          <w:kern w:val="0"/>
          <w:sz w:val="32"/>
          <w:szCs w:val="32"/>
          <w:highlight w:val="none"/>
          <w:lang w:val="en-US" w:eastAsia="zh-CN" w:bidi="ar"/>
        </w:rPr>
      </w:pPr>
      <w:r>
        <w:rPr>
          <w:rFonts w:hint="eastAsia" w:ascii="方正仿宋_GBK" w:hAnsi="方正仿宋_GBK" w:eastAsia="方正仿宋_GBK" w:cs="方正仿宋_GBK"/>
          <w:b w:val="0"/>
          <w:bCs w:val="0"/>
          <w:kern w:val="0"/>
          <w:sz w:val="32"/>
          <w:szCs w:val="32"/>
          <w:highlight w:val="none"/>
          <w:lang w:val="en-US" w:eastAsia="zh-CN" w:bidi="ar"/>
        </w:rPr>
        <w:t>根据专家评审组针对该项目提出的：1.资金表述不清晰，未表述预算安排、资金来源；2.项目管理情况不符等问题进行了修改，重新描述了资金基本情况、预算安排、资金来源、项目管理情况等；</w:t>
      </w:r>
    </w:p>
    <w:p>
      <w:pPr>
        <w:keepNext w:val="0"/>
        <w:keepLines w:val="0"/>
        <w:pageBreakBefore w:val="0"/>
        <w:widowControl/>
        <w:kinsoku/>
        <w:wordWrap/>
        <w:topLinePunct w:val="0"/>
        <w:bidi w:val="0"/>
        <w:snapToGrid/>
        <w:spacing w:line="570" w:lineRule="exact"/>
        <w:ind w:firstLine="640" w:firstLineChars="200"/>
        <w:jc w:val="both"/>
        <w:rPr>
          <w:rFonts w:hint="eastAsia" w:ascii="方正仿宋_GBK" w:hAnsi="方正仿宋_GBK" w:eastAsia="方正仿宋_GBK" w:cs="方正仿宋_GBK"/>
          <w:b w:val="0"/>
          <w:bCs w:val="0"/>
          <w:kern w:val="0"/>
          <w:sz w:val="32"/>
          <w:szCs w:val="32"/>
          <w:highlight w:val="none"/>
          <w:lang w:val="en-US" w:eastAsia="zh-Hans" w:bidi="ar"/>
        </w:rPr>
      </w:pPr>
      <w:r>
        <w:rPr>
          <w:rFonts w:hint="eastAsia" w:ascii="方正仿宋_GBK" w:hAnsi="方正仿宋_GBK" w:eastAsia="方正仿宋_GBK" w:cs="方正仿宋_GBK"/>
          <w:b w:val="0"/>
          <w:bCs w:val="0"/>
          <w:kern w:val="0"/>
          <w:sz w:val="32"/>
          <w:szCs w:val="32"/>
          <w:highlight w:val="none"/>
          <w:lang w:val="en-US" w:eastAsia="zh-CN" w:bidi="ar"/>
        </w:rPr>
        <w:t>将修改无误的报告反馈单位，由单位审核后签署《报告确认函》，将由主评人签字确认的报告定稿交财政局绩效股。</w:t>
      </w:r>
    </w:p>
    <w:bookmarkEnd w:id="158"/>
    <w:bookmarkEnd w:id="159"/>
    <w:bookmarkEnd w:id="160"/>
    <w:bookmarkEnd w:id="161"/>
    <w:bookmarkEnd w:id="162"/>
    <w:bookmarkEnd w:id="163"/>
    <w:bookmarkEnd w:id="164"/>
    <w:bookmarkEnd w:id="165"/>
    <w:bookmarkEnd w:id="166"/>
    <w:bookmarkEnd w:id="167"/>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baseline"/>
        <w:outlineLvl w:val="0"/>
        <w:rPr>
          <w:rFonts w:hint="eastAsia" w:ascii="方正黑体_GBK" w:hAnsi="方正黑体_GBK" w:eastAsia="方正黑体_GBK" w:cs="方正黑体_GBK"/>
          <w:b w:val="0"/>
          <w:bCs/>
          <w:color w:val="auto"/>
          <w:kern w:val="0"/>
          <w:sz w:val="32"/>
          <w:szCs w:val="32"/>
          <w:highlight w:val="none"/>
          <w:lang w:eastAsia="zh-CN"/>
        </w:rPr>
      </w:pPr>
      <w:bookmarkStart w:id="168" w:name="_Toc20216"/>
      <w:bookmarkStart w:id="169" w:name="_Toc22557_WPSOffice_Level1"/>
      <w:bookmarkStart w:id="170" w:name="_Toc13705_WPSOffice_Level1"/>
      <w:r>
        <w:rPr>
          <w:rFonts w:hint="eastAsia" w:ascii="方正黑体_GBK" w:hAnsi="方正黑体_GBK" w:eastAsia="方正黑体_GBK" w:cs="方正黑体_GBK"/>
          <w:b w:val="0"/>
          <w:bCs/>
          <w:color w:val="auto"/>
          <w:kern w:val="0"/>
          <w:sz w:val="32"/>
          <w:szCs w:val="32"/>
          <w:highlight w:val="none"/>
        </w:rPr>
        <w:t>三、</w:t>
      </w:r>
      <w:bookmarkEnd w:id="168"/>
      <w:r>
        <w:rPr>
          <w:rFonts w:hint="eastAsia" w:ascii="方正黑体_GBK" w:hAnsi="方正黑体_GBK" w:eastAsia="方正黑体_GBK" w:cs="方正黑体_GBK"/>
          <w:b w:val="0"/>
          <w:bCs/>
          <w:sz w:val="32"/>
          <w:szCs w:val="32"/>
        </w:rPr>
        <w:t>综合评价情况及评价结论</w:t>
      </w:r>
      <w:bookmarkEnd w:id="169"/>
      <w:bookmarkEnd w:id="170"/>
    </w:p>
    <w:p>
      <w:pPr>
        <w:pStyle w:val="27"/>
        <w:pageBreakBefore w:val="0"/>
        <w:kinsoku/>
        <w:wordWrap/>
        <w:topLinePunct w:val="0"/>
        <w:autoSpaceDE/>
        <w:bidi w:val="0"/>
        <w:spacing w:before="0" w:after="0" w:line="560" w:lineRule="exact"/>
        <w:ind w:left="480" w:leftChars="200" w:firstLine="0" w:firstLineChars="0"/>
        <w:rPr>
          <w:rFonts w:hint="eastAsia" w:ascii="方正楷体_GBK" w:hAnsi="方正楷体_GBK" w:eastAsia="方正楷体_GBK" w:cs="方正楷体_GBK"/>
          <w:b/>
          <w:bCs/>
          <w:color w:val="auto"/>
          <w:sz w:val="32"/>
          <w:highlight w:val="none"/>
        </w:rPr>
      </w:pPr>
      <w:bookmarkStart w:id="171" w:name="_Toc19213_WPSOffice_Level2"/>
      <w:bookmarkStart w:id="172" w:name="_Toc68364665"/>
      <w:bookmarkStart w:id="173" w:name="_Toc9697_WPSOffice_Level2"/>
      <w:r>
        <w:rPr>
          <w:rFonts w:hint="eastAsia" w:ascii="方正楷体_GBK" w:hAnsi="方正楷体_GBK" w:eastAsia="方正楷体_GBK" w:cs="方正楷体_GBK"/>
          <w:b/>
          <w:bCs/>
          <w:color w:val="auto"/>
          <w:sz w:val="32"/>
          <w:highlight w:val="none"/>
        </w:rPr>
        <w:t>（一）综合</w:t>
      </w:r>
      <w:bookmarkStart w:id="174" w:name="_Toc2727_WPSOffice_Level3"/>
      <w:r>
        <w:rPr>
          <w:rFonts w:hint="eastAsia" w:ascii="方正楷体_GBK" w:hAnsi="方正楷体_GBK" w:eastAsia="方正楷体_GBK" w:cs="方正楷体_GBK"/>
          <w:b/>
          <w:bCs/>
          <w:color w:val="auto"/>
          <w:sz w:val="32"/>
          <w:highlight w:val="none"/>
        </w:rPr>
        <w:t>评价情况</w:t>
      </w:r>
      <w:bookmarkEnd w:id="171"/>
      <w:bookmarkEnd w:id="172"/>
      <w:bookmarkEnd w:id="173"/>
    </w:p>
    <w:bookmarkEnd w:id="174"/>
    <w:p>
      <w:pPr>
        <w:pageBreakBefore w:val="0"/>
        <w:kinsoku/>
        <w:wordWrap/>
        <w:topLinePunct w:val="0"/>
        <w:autoSpaceDE/>
        <w:autoSpaceDN/>
        <w:bidi w:val="0"/>
        <w:spacing w:line="570" w:lineRule="exact"/>
        <w:ind w:firstLine="640" w:firstLineChars="200"/>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rPr>
        <w:t>经评价组通过实地调研</w:t>
      </w:r>
      <w:r>
        <w:rPr>
          <w:rFonts w:hint="eastAsia" w:ascii="方正仿宋_GBK" w:hAnsi="方正仿宋_GBK" w:eastAsia="方正仿宋_GBK" w:cs="方正仿宋_GBK"/>
          <w:color w:val="auto"/>
          <w:sz w:val="32"/>
          <w:szCs w:val="32"/>
          <w:highlight w:val="none"/>
          <w:lang w:eastAsia="zh-CN"/>
        </w:rPr>
        <w:t>、数据分析、访谈及</w:t>
      </w:r>
      <w:r>
        <w:rPr>
          <w:rFonts w:hint="eastAsia" w:ascii="方正仿宋_GBK" w:hAnsi="方正仿宋_GBK" w:eastAsia="方正仿宋_GBK" w:cs="方正仿宋_GBK"/>
          <w:color w:val="auto"/>
          <w:sz w:val="32"/>
          <w:szCs w:val="32"/>
          <w:highlight w:val="none"/>
        </w:rPr>
        <w:t>问卷调查法等方式，根据绩效评价方案确定的指标体系及评分标准，对“</w:t>
      </w:r>
      <w:r>
        <w:rPr>
          <w:rFonts w:hint="eastAsia" w:ascii="方正仿宋_GBK" w:hAnsi="方正仿宋_GBK" w:eastAsia="方正仿宋_GBK" w:cs="方正仿宋_GBK"/>
          <w:color w:val="auto"/>
          <w:sz w:val="32"/>
          <w:szCs w:val="32"/>
          <w:highlight w:val="none"/>
          <w:lang w:eastAsia="zh-CN"/>
        </w:rPr>
        <w:t>伽师县克孜勒博依生态综合整治工程（现代农业产业园）项目</w:t>
      </w:r>
      <w:r>
        <w:rPr>
          <w:rFonts w:hint="eastAsia" w:ascii="方正仿宋_GBK" w:hAnsi="方正仿宋_GBK" w:eastAsia="方正仿宋_GBK" w:cs="方正仿宋_GBK"/>
          <w:color w:val="auto"/>
          <w:sz w:val="32"/>
          <w:szCs w:val="32"/>
          <w:highlight w:val="none"/>
        </w:rPr>
        <w:t>”绩效进行客观评价，</w:t>
      </w:r>
      <w:r>
        <w:rPr>
          <w:rFonts w:hint="eastAsia" w:ascii="方正仿宋_GBK" w:hAnsi="方正仿宋_GBK" w:eastAsia="方正仿宋_GBK" w:cs="方正仿宋_GBK"/>
          <w:color w:val="auto"/>
          <w:sz w:val="32"/>
          <w:szCs w:val="32"/>
          <w:highlight w:val="none"/>
          <w:lang w:eastAsia="zh-CN"/>
        </w:rPr>
        <w:t>该项目共设置绩效目标</w:t>
      </w:r>
      <w:r>
        <w:rPr>
          <w:rFonts w:hint="eastAsia" w:ascii="方正仿宋_GBK" w:hAnsi="方正仿宋_GBK" w:eastAsia="方正仿宋_GBK" w:cs="方正仿宋_GBK"/>
          <w:color w:val="auto"/>
          <w:sz w:val="32"/>
          <w:szCs w:val="32"/>
          <w:highlight w:val="none"/>
          <w:lang w:val="en-US" w:eastAsia="zh-CN"/>
        </w:rPr>
        <w:t>21个，实现目标20个，完成率95.24%。项目决策指标共设置6个，满分指标5个，得分率83.33%；项目过程指标共设置5个，满分指标5个，得分率100%；项目产出指标共设置7个，满分指标7个，得分率100%；项目效益指标共设置3个，满分指标3个，得分率100%。该项目组织比较规范，完成情况良好，大部分指标实现了预期目标。</w:t>
      </w:r>
    </w:p>
    <w:p>
      <w:pPr>
        <w:pageBreakBefore w:val="0"/>
        <w:kinsoku/>
        <w:wordWrap/>
        <w:topLinePunct w:val="0"/>
        <w:autoSpaceDE/>
        <w:bidi w:val="0"/>
        <w:spacing w:line="570" w:lineRule="exact"/>
        <w:ind w:firstLine="643" w:firstLineChars="200"/>
        <w:rPr>
          <w:rFonts w:hint="eastAsia" w:ascii="方正楷体_GBK" w:hAnsi="方正楷体_GBK" w:eastAsia="方正楷体_GBK" w:cs="方正楷体_GBK"/>
          <w:b/>
          <w:bCs/>
          <w:color w:val="auto"/>
          <w:sz w:val="32"/>
          <w:szCs w:val="32"/>
          <w:highlight w:val="none"/>
          <w:lang w:eastAsia="zh-CN"/>
        </w:rPr>
      </w:pPr>
      <w:bookmarkStart w:id="175" w:name="_Toc14836_WPSOffice_Level2"/>
      <w:bookmarkStart w:id="176" w:name="_Toc11422_WPSOffice_Level2"/>
      <w:bookmarkStart w:id="177" w:name="_Toc18526_WPSOffice_Level2"/>
      <w:r>
        <w:rPr>
          <w:rFonts w:hint="eastAsia" w:ascii="方正楷体_GBK" w:hAnsi="方正楷体_GBK" w:eastAsia="方正楷体_GBK" w:cs="方正楷体_GBK"/>
          <w:b/>
          <w:bCs/>
          <w:color w:val="auto"/>
          <w:sz w:val="32"/>
          <w:szCs w:val="32"/>
          <w:highlight w:val="none"/>
          <w:lang w:eastAsia="zh-CN"/>
        </w:rPr>
        <w:t>（二）综合评价结论</w:t>
      </w:r>
      <w:bookmarkEnd w:id="175"/>
      <w:bookmarkEnd w:id="176"/>
      <w:bookmarkEnd w:id="177"/>
    </w:p>
    <w:p>
      <w:pPr>
        <w:pStyle w:val="18"/>
        <w:keepNext w:val="0"/>
        <w:keepLines w:val="0"/>
        <w:pageBreakBefore w:val="0"/>
        <w:widowControl/>
        <w:kinsoku/>
        <w:wordWrap/>
        <w:overflowPunct/>
        <w:topLinePunct w:val="0"/>
        <w:autoSpaceDE/>
        <w:autoSpaceDN/>
        <w:bidi w:val="0"/>
        <w:adjustRightInd/>
        <w:snapToGrid/>
        <w:spacing w:line="570" w:lineRule="exact"/>
        <w:ind w:left="0" w:leftChars="0" w:firstLine="640" w:firstLineChars="200"/>
        <w:jc w:val="both"/>
        <w:textAlignment w:val="auto"/>
        <w:rPr>
          <w:rFonts w:hint="default" w:ascii="Times New Roman" w:hAnsi="Times New Roman" w:cs="Times New Roman"/>
          <w:b/>
          <w:color w:val="auto"/>
          <w:sz w:val="32"/>
          <w:szCs w:val="32"/>
          <w:highlight w:val="none"/>
        </w:rPr>
      </w:pPr>
      <w:r>
        <w:rPr>
          <w:rFonts w:hint="eastAsia" w:ascii="方正仿宋_GBK" w:hAnsi="方正仿宋_GBK" w:eastAsia="方正仿宋_GBK" w:cs="方正仿宋_GBK"/>
          <w:color w:val="auto"/>
          <w:sz w:val="32"/>
          <w:szCs w:val="32"/>
          <w:highlight w:val="none"/>
        </w:rPr>
        <w:t>依据《中共中央国务院关于全面实施预算绩效管理的意见》、《项目支出绩效评价管理办法》（财预〔2020〕10号）以及《关于进一步加强和规范喀什地区项目支出“全过程”预算绩效管理结果应用的通知》（喀地财绩〔2022〕2号）文件，绩效评价总分设置为100分，划分为四档：90（含）-100分为“优”、80（含）-90分为“良”、70（含）-80分为“中”、70分以下为“差”。</w:t>
      </w:r>
      <w:r>
        <w:rPr>
          <w:rFonts w:hint="eastAsia" w:ascii="方正仿宋_GBK" w:hAnsi="方正仿宋_GBK" w:eastAsia="方正仿宋_GBK" w:cs="方正仿宋_GBK"/>
          <w:color w:val="auto"/>
          <w:sz w:val="32"/>
          <w:szCs w:val="32"/>
          <w:highlight w:val="none"/>
          <w:lang w:eastAsia="zh-CN"/>
        </w:rPr>
        <w:t>该项目</w:t>
      </w:r>
      <w:r>
        <w:rPr>
          <w:rFonts w:hint="eastAsia" w:ascii="方正仿宋_GBK" w:hAnsi="方正仿宋_GBK" w:eastAsia="方正仿宋_GBK" w:cs="方正仿宋_GBK"/>
          <w:color w:val="auto"/>
          <w:sz w:val="32"/>
          <w:szCs w:val="32"/>
          <w:highlight w:val="none"/>
        </w:rPr>
        <w:t>最终评分结果为</w:t>
      </w:r>
      <w:r>
        <w:rPr>
          <w:rFonts w:hint="eastAsia" w:ascii="方正仿宋_GBK" w:hAnsi="方正仿宋_GBK" w:eastAsia="方正仿宋_GBK" w:cs="方正仿宋_GBK"/>
          <w:color w:val="auto"/>
          <w:sz w:val="32"/>
          <w:szCs w:val="32"/>
          <w:highlight w:val="none"/>
          <w:lang w:val="en-US" w:eastAsia="zh-CN"/>
        </w:rPr>
        <w:t>98.8</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，评定等级为“优”</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评价</w:t>
      </w:r>
      <w:r>
        <w:rPr>
          <w:rFonts w:hint="eastAsia" w:ascii="方正仿宋_GBK" w:hAnsi="方正仿宋_GBK" w:eastAsia="方正仿宋_GBK" w:cs="方正仿宋_GBK"/>
          <w:color w:val="auto"/>
          <w:sz w:val="32"/>
          <w:szCs w:val="32"/>
          <w:highlight w:val="none"/>
        </w:rPr>
        <w:t>得分情况详见表3-1。</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评分过程详见附件</w:t>
      </w:r>
      <w:r>
        <w:rPr>
          <w:rFonts w:hint="eastAsia" w:ascii="方正仿宋_GBK" w:hAnsi="方正仿宋_GBK" w:eastAsia="方正仿宋_GBK" w:cs="方正仿宋_GBK"/>
          <w:color w:val="auto"/>
          <w:sz w:val="32"/>
          <w:szCs w:val="32"/>
          <w:highlight w:val="none"/>
          <w:lang w:val="en-US" w:eastAsia="zh-CN"/>
        </w:rPr>
        <w:t>2</w:t>
      </w:r>
      <w:r>
        <w:rPr>
          <w:rFonts w:hint="eastAsia" w:ascii="方正仿宋_GBK" w:hAnsi="方正仿宋_GBK" w:eastAsia="方正仿宋_GBK" w:cs="方正仿宋_GBK"/>
          <w:color w:val="auto"/>
          <w:sz w:val="32"/>
          <w:szCs w:val="32"/>
          <w:highlight w:val="none"/>
          <w:lang w:eastAsia="zh-CN"/>
        </w:rPr>
        <w:t>）。</w:t>
      </w:r>
    </w:p>
    <w:p>
      <w:pPr>
        <w:pStyle w:val="18"/>
        <w:keepNext w:val="0"/>
        <w:keepLines w:val="0"/>
        <w:pageBreakBefore w:val="0"/>
        <w:widowControl/>
        <w:kinsoku/>
        <w:wordWrap/>
        <w:overflowPunct/>
        <w:topLinePunct w:val="0"/>
        <w:autoSpaceDE/>
        <w:autoSpaceDN/>
        <w:bidi w:val="0"/>
        <w:adjustRightInd/>
        <w:snapToGrid/>
        <w:spacing w:line="560" w:lineRule="exact"/>
        <w:ind w:firstLine="643" w:firstLineChars="200"/>
        <w:jc w:val="center"/>
        <w:textAlignment w:val="auto"/>
        <w:rPr>
          <w:rFonts w:hint="eastAsia" w:ascii="方正仿宋_GBK" w:hAnsi="方正仿宋_GBK" w:eastAsia="方正仿宋_GBK" w:cs="方正仿宋_GBK"/>
          <w:b/>
          <w:color w:val="auto"/>
          <w:sz w:val="32"/>
          <w:szCs w:val="32"/>
          <w:highlight w:val="none"/>
        </w:rPr>
      </w:pPr>
      <w:bookmarkStart w:id="178" w:name="_Toc29312_WPSOffice_Level2"/>
      <w:bookmarkStart w:id="179" w:name="_Toc25107_WPSOffice_Level2"/>
      <w:bookmarkStart w:id="180" w:name="_Toc10648_WPSOffice_Level2"/>
      <w:bookmarkStart w:id="181" w:name="_Toc16076_WPSOffice_Level2"/>
      <w:bookmarkStart w:id="182" w:name="_Toc4653_WPSOffice_Level2"/>
      <w:r>
        <w:rPr>
          <w:rFonts w:hint="eastAsia" w:ascii="方正仿宋_GBK" w:hAnsi="方正仿宋_GBK" w:eastAsia="方正仿宋_GBK" w:cs="方正仿宋_GBK"/>
          <w:b/>
          <w:color w:val="auto"/>
          <w:sz w:val="32"/>
          <w:szCs w:val="32"/>
          <w:highlight w:val="none"/>
        </w:rPr>
        <w:t>表3-1 项目指标得分情况汇总表</w:t>
      </w:r>
      <w:bookmarkEnd w:id="178"/>
      <w:bookmarkEnd w:id="179"/>
      <w:bookmarkEnd w:id="180"/>
      <w:bookmarkEnd w:id="181"/>
      <w:bookmarkEnd w:id="182"/>
    </w:p>
    <w:tbl>
      <w:tblPr>
        <w:tblStyle w:val="11"/>
        <w:tblW w:w="851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83"/>
        <w:gridCol w:w="2166"/>
        <w:gridCol w:w="1858"/>
        <w:gridCol w:w="2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single" w:color="auto" w:sz="4" w:space="0"/>
              <w:left w:val="single" w:color="auto" w:sz="4" w:space="0"/>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一级指标</w:t>
            </w:r>
          </w:p>
        </w:tc>
        <w:tc>
          <w:tcPr>
            <w:tcW w:w="2166"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权重分</w:t>
            </w:r>
          </w:p>
        </w:tc>
        <w:tc>
          <w:tcPr>
            <w:tcW w:w="1858"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w:t>
            </w:r>
          </w:p>
        </w:tc>
        <w:tc>
          <w:tcPr>
            <w:tcW w:w="2012" w:type="dxa"/>
            <w:tcBorders>
              <w:top w:val="single" w:color="auto" w:sz="4" w:space="0"/>
              <w:left w:val="nil"/>
              <w:bottom w:val="single" w:color="auto" w:sz="4" w:space="0"/>
              <w:right w:val="single" w:color="auto" w:sz="4" w:space="0"/>
            </w:tcBorders>
            <w:shd w:val="clear" w:color="000000" w:fill="BEBEBE"/>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rPr>
            </w:pPr>
            <w:r>
              <w:rPr>
                <w:rFonts w:hint="default" w:ascii="Times New Roman" w:hAnsi="Times New Roman" w:eastAsia="仿宋_GB2312" w:cs="Times New Roman"/>
                <w:color w:val="auto"/>
                <w:sz w:val="22"/>
                <w:highlight w:val="none"/>
              </w:rPr>
              <w:t>项目决策</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18.8</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过程</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eastAsia" w:ascii="Times New Roman" w:hAnsi="Times New Roman" w:eastAsia="仿宋_GB2312" w:cs="Times New Roman"/>
                <w:color w:val="auto"/>
                <w:sz w:val="22"/>
                <w:highlight w:val="none"/>
                <w:lang w:eastAsia="zh-CN"/>
              </w:rPr>
            </w:pPr>
            <w:r>
              <w:rPr>
                <w:rFonts w:hint="default" w:ascii="Times New Roman" w:hAnsi="Times New Roman" w:eastAsia="仿宋_GB2312" w:cs="Times New Roman"/>
                <w:color w:val="auto"/>
                <w:sz w:val="22"/>
                <w:highlight w:val="none"/>
              </w:rPr>
              <w:t>项目</w:t>
            </w:r>
            <w:r>
              <w:rPr>
                <w:rFonts w:hint="eastAsia" w:ascii="Times New Roman" w:hAnsi="Times New Roman" w:eastAsia="仿宋_GB2312" w:cs="Times New Roman"/>
                <w:color w:val="auto"/>
                <w:sz w:val="22"/>
                <w:highlight w:val="none"/>
                <w:lang w:eastAsia="zh-CN"/>
              </w:rPr>
              <w:t>产出</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40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40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eastAsia" w:ascii="Times New Roman" w:hAnsi="Times New Roman" w:eastAsia="仿宋_GB2312" w:cs="Times New Roman"/>
                <w:color w:val="auto"/>
                <w:sz w:val="22"/>
                <w:highlight w:val="none"/>
                <w:lang w:eastAsia="zh-CN"/>
              </w:rPr>
            </w:pPr>
            <w:r>
              <w:rPr>
                <w:rFonts w:hint="eastAsia" w:ascii="Times New Roman" w:hAnsi="Times New Roman" w:eastAsia="仿宋_GB2312" w:cs="Times New Roman"/>
                <w:color w:val="auto"/>
                <w:sz w:val="22"/>
                <w:highlight w:val="none"/>
                <w:lang w:eastAsia="zh-CN"/>
              </w:rPr>
              <w:t>项目效益</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20</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2483" w:type="dxa"/>
            <w:tcBorders>
              <w:top w:val="nil"/>
              <w:left w:val="single" w:color="auto" w:sz="4" w:space="0"/>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b/>
                <w:bCs/>
                <w:color w:val="auto"/>
                <w:sz w:val="22"/>
                <w:highlight w:val="none"/>
              </w:rPr>
            </w:pPr>
            <w:r>
              <w:rPr>
                <w:rFonts w:hint="default" w:ascii="Times New Roman" w:hAnsi="Times New Roman" w:eastAsia="仿宋_GB2312" w:cs="Times New Roman"/>
                <w:b/>
                <w:bCs/>
                <w:color w:val="auto"/>
                <w:sz w:val="22"/>
                <w:highlight w:val="none"/>
              </w:rPr>
              <w:t>合计</w:t>
            </w:r>
          </w:p>
        </w:tc>
        <w:tc>
          <w:tcPr>
            <w:tcW w:w="2166"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100</w:t>
            </w:r>
          </w:p>
        </w:tc>
        <w:tc>
          <w:tcPr>
            <w:tcW w:w="1858"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98.8</w:t>
            </w:r>
          </w:p>
        </w:tc>
        <w:tc>
          <w:tcPr>
            <w:tcW w:w="2012" w:type="dxa"/>
            <w:tcBorders>
              <w:top w:val="nil"/>
              <w:left w:val="nil"/>
              <w:bottom w:val="single" w:color="auto" w:sz="4" w:space="0"/>
              <w:right w:val="single" w:color="auto" w:sz="4" w:space="0"/>
            </w:tcBorders>
            <w:noWrap w:val="0"/>
            <w:vAlign w:val="center"/>
          </w:tcPr>
          <w:p>
            <w:pPr>
              <w:pageBreakBefore w:val="0"/>
              <w:kinsoku/>
              <w:wordWrap/>
              <w:bidi w:val="0"/>
              <w:spacing w:line="570" w:lineRule="exact"/>
              <w:jc w:val="center"/>
              <w:rPr>
                <w:rFonts w:hint="default" w:ascii="Times New Roman" w:hAnsi="Times New Roman" w:eastAsia="仿宋_GB2312" w:cs="Times New Roman"/>
                <w:color w:val="auto"/>
                <w:sz w:val="22"/>
                <w:highlight w:val="none"/>
                <w:lang w:val="en-US" w:eastAsia="zh-CN"/>
              </w:rPr>
            </w:pPr>
            <w:r>
              <w:rPr>
                <w:rFonts w:hint="eastAsia" w:ascii="Times New Roman" w:hAnsi="Times New Roman" w:eastAsia="仿宋_GB2312" w:cs="Times New Roman"/>
                <w:color w:val="auto"/>
                <w:sz w:val="22"/>
                <w:highlight w:val="none"/>
                <w:lang w:val="en-US" w:eastAsia="zh-CN"/>
              </w:rPr>
              <w:t>98.8%</w:t>
            </w:r>
          </w:p>
        </w:tc>
      </w:tr>
    </w:tbl>
    <w:p>
      <w:pPr>
        <w:pStyle w:val="16"/>
        <w:keepNext w:val="0"/>
        <w:keepLines w:val="0"/>
        <w:pageBreakBefore w:val="0"/>
        <w:widowControl/>
        <w:kinsoku/>
        <w:wordWrap/>
        <w:overflowPunct/>
        <w:topLinePunct w:val="0"/>
        <w:autoSpaceDE/>
        <w:autoSpaceDN/>
        <w:bidi w:val="0"/>
        <w:adjustRightInd/>
        <w:snapToGrid/>
        <w:spacing w:line="560" w:lineRule="exact"/>
        <w:ind w:left="0" w:leftChars="0" w:firstLine="0" w:firstLineChars="0"/>
        <w:textAlignment w:val="auto"/>
        <w:rPr>
          <w:rFonts w:hint="eastAsia" w:ascii="方正仿宋_GBK" w:hAnsi="方正仿宋_GBK" w:eastAsia="方正仿宋_GBK" w:cs="方正仿宋_GBK"/>
          <w:color w:val="auto"/>
          <w:sz w:val="32"/>
          <w:szCs w:val="32"/>
          <w:highlight w:val="none"/>
          <w:lang w:val="en-US" w:eastAsia="zh-CN"/>
        </w:rPr>
      </w:pP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outlineLvl w:val="0"/>
        <w:rPr>
          <w:rFonts w:hint="eastAsia" w:ascii="方正黑体_GBK" w:hAnsi="方正黑体_GBK" w:eastAsia="方正黑体_GBK" w:cs="方正黑体_GBK"/>
          <w:b w:val="0"/>
          <w:bCs/>
          <w:color w:val="auto"/>
          <w:kern w:val="0"/>
          <w:sz w:val="32"/>
          <w:szCs w:val="32"/>
          <w:highlight w:val="none"/>
        </w:rPr>
      </w:pPr>
      <w:bookmarkStart w:id="183" w:name="_Toc1020_WPSOffice_Level1"/>
      <w:bookmarkStart w:id="184" w:name="_Toc28255"/>
      <w:bookmarkStart w:id="185" w:name="_Toc4254_WPSOffice_Level1"/>
      <w:bookmarkStart w:id="186" w:name="_Toc14995_WPSOffice_Level1"/>
      <w:r>
        <w:rPr>
          <w:rFonts w:hint="eastAsia" w:ascii="方正黑体_GBK" w:hAnsi="方正黑体_GBK" w:eastAsia="方正黑体_GBK" w:cs="方正黑体_GBK"/>
          <w:b w:val="0"/>
          <w:bCs/>
          <w:color w:val="auto"/>
          <w:kern w:val="0"/>
          <w:sz w:val="32"/>
          <w:szCs w:val="32"/>
          <w:highlight w:val="none"/>
        </w:rPr>
        <w:t>四、绩效评价</w:t>
      </w:r>
      <w:r>
        <w:rPr>
          <w:rFonts w:hint="eastAsia" w:ascii="方正黑体_GBK" w:hAnsi="方正黑体_GBK" w:eastAsia="方正黑体_GBK" w:cs="方正黑体_GBK"/>
          <w:b w:val="0"/>
          <w:bCs/>
          <w:color w:val="auto"/>
          <w:kern w:val="0"/>
          <w:sz w:val="32"/>
          <w:szCs w:val="32"/>
          <w:highlight w:val="none"/>
          <w:lang w:eastAsia="zh-CN"/>
        </w:rPr>
        <w:t>指标</w:t>
      </w:r>
      <w:r>
        <w:rPr>
          <w:rFonts w:hint="eastAsia" w:ascii="方正黑体_GBK" w:hAnsi="方正黑体_GBK" w:eastAsia="方正黑体_GBK" w:cs="方正黑体_GBK"/>
          <w:b w:val="0"/>
          <w:bCs/>
          <w:color w:val="auto"/>
          <w:kern w:val="0"/>
          <w:sz w:val="32"/>
          <w:szCs w:val="32"/>
          <w:highlight w:val="none"/>
        </w:rPr>
        <w:t>分析</w:t>
      </w:r>
      <w:bookmarkEnd w:id="183"/>
      <w:bookmarkEnd w:id="184"/>
      <w:bookmarkEnd w:id="185"/>
      <w:bookmarkEnd w:id="186"/>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187" w:name="_Toc6972"/>
      <w:bookmarkStart w:id="188" w:name="_Toc26838_WPSOffice_Level2"/>
      <w:bookmarkStart w:id="189" w:name="_Toc15450_WPSOffice_Level2"/>
      <w:bookmarkStart w:id="190" w:name="_Toc4229_WPSOffice_Level2"/>
      <w:r>
        <w:rPr>
          <w:rFonts w:hint="eastAsia" w:ascii="方正楷体_GBK" w:hAnsi="方正楷体_GBK" w:eastAsia="方正楷体_GBK" w:cs="方正楷体_GBK"/>
          <w:b/>
          <w:bCs w:val="0"/>
          <w:color w:val="auto"/>
          <w:kern w:val="0"/>
          <w:sz w:val="32"/>
          <w:szCs w:val="32"/>
          <w:highlight w:val="none"/>
        </w:rPr>
        <w:t>（一）</w:t>
      </w:r>
      <w:bookmarkEnd w:id="187"/>
      <w:r>
        <w:rPr>
          <w:rFonts w:hint="eastAsia" w:ascii="方正楷体_GBK" w:hAnsi="方正楷体_GBK" w:eastAsia="方正楷体_GBK" w:cs="方正楷体_GBK"/>
          <w:b/>
          <w:bCs w:val="0"/>
          <w:color w:val="auto"/>
          <w:kern w:val="0"/>
          <w:sz w:val="32"/>
          <w:szCs w:val="32"/>
          <w:highlight w:val="none"/>
          <w:lang w:val="en-US" w:eastAsia="zh-CN"/>
        </w:rPr>
        <w:t>项目决策情况</w:t>
      </w:r>
      <w:bookmarkEnd w:id="188"/>
      <w:bookmarkEnd w:id="189"/>
      <w:bookmarkEnd w:id="190"/>
    </w:p>
    <w:p>
      <w:pPr>
        <w:pageBreakBefore w:val="0"/>
        <w:kinsoku/>
        <w:wordWrap/>
        <w:overflowPunct w:val="0"/>
        <w:topLinePunct w:val="0"/>
        <w:autoSpaceDE/>
        <w:bidi w:val="0"/>
        <w:spacing w:line="570" w:lineRule="exact"/>
        <w:ind w:firstLine="640" w:firstLineChars="200"/>
        <w:contextualSpacing/>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项目决策类指标包括项目立项、绩效目标和资金投入三方面的内容，由6个三级指标构成，权重分为20分，实际得分</w:t>
      </w:r>
      <w:r>
        <w:rPr>
          <w:rFonts w:hint="eastAsia" w:ascii="方正仿宋_GBK" w:hAnsi="方正仿宋_GBK" w:eastAsia="方正仿宋_GBK" w:cs="方正仿宋_GBK"/>
          <w:color w:val="auto"/>
          <w:sz w:val="32"/>
          <w:szCs w:val="32"/>
          <w:highlight w:val="none"/>
          <w:lang w:val="en-US" w:eastAsia="zh-CN"/>
        </w:rPr>
        <w:t>18.8</w:t>
      </w:r>
      <w:r>
        <w:rPr>
          <w:rFonts w:hint="eastAsia" w:ascii="方正仿宋_GBK" w:hAnsi="方正仿宋_GBK" w:eastAsia="方正仿宋_GBK" w:cs="方正仿宋_GBK"/>
          <w:color w:val="auto"/>
          <w:sz w:val="32"/>
          <w:szCs w:val="32"/>
          <w:highlight w:val="none"/>
        </w:rPr>
        <w:t>分，得分率为</w:t>
      </w:r>
      <w:r>
        <w:rPr>
          <w:rFonts w:hint="eastAsia" w:ascii="方正仿宋_GBK" w:hAnsi="方正仿宋_GBK" w:eastAsia="方正仿宋_GBK" w:cs="方正仿宋_GBK"/>
          <w:color w:val="auto"/>
          <w:sz w:val="32"/>
          <w:szCs w:val="32"/>
          <w:highlight w:val="none"/>
          <w:lang w:val="en-US" w:eastAsia="zh-CN"/>
        </w:rPr>
        <w:t>94</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，各指标业绩值和绩效分值如下表所示：</w:t>
      </w:r>
    </w:p>
    <w:p>
      <w:pPr>
        <w:pageBreakBefore w:val="0"/>
        <w:kinsoku/>
        <w:wordWrap/>
        <w:overflowPunct w:val="0"/>
        <w:topLinePunct w:val="0"/>
        <w:autoSpaceDE/>
        <w:bidi w:val="0"/>
        <w:spacing w:line="570" w:lineRule="exact"/>
        <w:contextualSpacing/>
        <w:jc w:val="center"/>
        <w:rPr>
          <w:rFonts w:hint="default" w:ascii="Times New Roman" w:hAnsi="Times New Roman" w:eastAsia="仿宋_GB2312" w:cs="Times New Roman"/>
          <w:color w:val="auto"/>
          <w:kern w:val="0"/>
          <w:sz w:val="32"/>
          <w:szCs w:val="32"/>
          <w:highlight w:val="none"/>
        </w:rPr>
      </w:pPr>
      <w:r>
        <w:rPr>
          <w:rFonts w:hint="eastAsia" w:ascii="方正仿宋_GBK" w:hAnsi="方正仿宋_GBK" w:eastAsia="方正仿宋_GBK" w:cs="方正仿宋_GBK"/>
          <w:color w:val="auto"/>
          <w:sz w:val="32"/>
          <w:szCs w:val="32"/>
          <w:highlight w:val="none"/>
          <w:lang w:eastAsia="zh-CN"/>
        </w:rPr>
        <w:t>表4-1：项目决策类指标及分值</w:t>
      </w:r>
    </w:p>
    <w:tbl>
      <w:tblPr>
        <w:tblStyle w:val="11"/>
        <w:tblW w:w="8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543"/>
        <w:gridCol w:w="2176"/>
        <w:gridCol w:w="2175"/>
        <w:gridCol w:w="787"/>
        <w:gridCol w:w="787"/>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0" w:hRule="atLeast"/>
        </w:trPr>
        <w:tc>
          <w:tcPr>
            <w:tcW w:w="1543"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一级指标</w:t>
            </w:r>
          </w:p>
        </w:tc>
        <w:tc>
          <w:tcPr>
            <w:tcW w:w="2176"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二级指标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三级指标</w:t>
            </w:r>
          </w:p>
        </w:tc>
        <w:tc>
          <w:tcPr>
            <w:tcW w:w="78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标杆值</w:t>
            </w:r>
          </w:p>
        </w:tc>
        <w:tc>
          <w:tcPr>
            <w:tcW w:w="787"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业绩值</w:t>
            </w:r>
          </w:p>
        </w:tc>
        <w:tc>
          <w:tcPr>
            <w:tcW w:w="629" w:type="dxa"/>
            <w:tcBorders>
              <w:top w:val="single" w:color="000000" w:sz="4" w:space="0"/>
              <w:left w:val="single" w:color="000000" w:sz="4" w:space="0"/>
              <w:bottom w:val="single" w:color="000000" w:sz="4" w:space="0"/>
              <w:right w:val="single" w:color="000000" w:sz="4" w:space="0"/>
            </w:tcBorders>
            <w:shd w:val="clear" w:color="auto" w:fill="A4A4A4" w:themeFill="background1" w:themeFillShade="A5"/>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auto"/>
                <w:sz w:val="22"/>
                <w:szCs w:val="22"/>
                <w:highlight w:val="none"/>
                <w:u w:val="none"/>
              </w:rPr>
            </w:pPr>
            <w:r>
              <w:rPr>
                <w:rFonts w:hint="eastAsia" w:ascii="宋体" w:hAnsi="宋体" w:eastAsia="宋体" w:cs="宋体"/>
                <w:b/>
                <w:i w:val="0"/>
                <w:color w:val="auto"/>
                <w:kern w:val="0"/>
                <w:sz w:val="22"/>
                <w:szCs w:val="22"/>
                <w:highlight w:val="none"/>
                <w:u w:val="none"/>
                <w:lang w:val="en-US" w:eastAsia="zh-CN" w:bidi="ar"/>
              </w:rPr>
              <w:t>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6" w:hRule="atLeast"/>
        </w:trPr>
        <w:tc>
          <w:tcPr>
            <w:tcW w:w="154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A项目决策（20）</w:t>
            </w: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A1项目立项（10）</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A101立项依据充分性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充分</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充分</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A102立项程序规范性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规范</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规范</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A2绩效目标（5）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A201绩效目标合理性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A202绩效指标明确性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明确</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明确</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A3资金投入（5）</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A301预算编制科学性</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科学</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科学</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6" w:hRule="atLeast"/>
        </w:trPr>
        <w:tc>
          <w:tcPr>
            <w:tcW w:w="154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6"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17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A302资金分配合理性</w:t>
            </w:r>
          </w:p>
        </w:tc>
        <w:tc>
          <w:tcPr>
            <w:tcW w:w="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78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合理</w:t>
            </w:r>
          </w:p>
        </w:tc>
        <w:tc>
          <w:tcPr>
            <w:tcW w:w="62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95" w:hRule="atLeast"/>
        </w:trPr>
        <w:tc>
          <w:tcPr>
            <w:tcW w:w="589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78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18.8</w:t>
            </w:r>
          </w:p>
        </w:tc>
      </w:tr>
    </w:tbl>
    <w:p>
      <w:pPr>
        <w:pStyle w:val="16"/>
        <w:keepNext w:val="0"/>
        <w:keepLines w:val="0"/>
        <w:pageBreakBefore w:val="0"/>
        <w:widowControl/>
        <w:kinsoku/>
        <w:wordWrap/>
        <w:overflowPunct/>
        <w:topLinePunct w:val="0"/>
        <w:autoSpaceDE/>
        <w:autoSpaceDN/>
        <w:bidi w:val="0"/>
        <w:adjustRightInd/>
        <w:snapToGrid/>
        <w:spacing w:line="560" w:lineRule="exact"/>
        <w:ind w:firstLine="664" w:firstLineChars="200"/>
        <w:textAlignment w:val="auto"/>
        <w:rPr>
          <w:rFonts w:hint="eastAsia" w:ascii="方正仿宋_GBK" w:hAnsi="方正仿宋_GBK" w:eastAsia="方正仿宋_GBK" w:cs="方正仿宋_GBK"/>
          <w:color w:val="auto"/>
          <w:sz w:val="32"/>
          <w:szCs w:val="32"/>
          <w:highlight w:val="none"/>
          <w:lang w:val="en-US" w:eastAsia="zh-CN"/>
        </w:rPr>
      </w:pPr>
    </w:p>
    <w:p>
      <w:pPr>
        <w:pStyle w:val="16"/>
        <w:keepNext w:val="0"/>
        <w:keepLines w:val="0"/>
        <w:pageBreakBefore w:val="0"/>
        <w:widowControl/>
        <w:kinsoku/>
        <w:wordWrap/>
        <w:overflowPunct/>
        <w:topLinePunct w:val="0"/>
        <w:autoSpaceDE/>
        <w:autoSpaceDN/>
        <w:bidi w:val="0"/>
        <w:adjustRightInd/>
        <w:snapToGrid/>
        <w:spacing w:line="560" w:lineRule="exact"/>
        <w:ind w:firstLine="667" w:firstLineChars="200"/>
        <w:textAlignment w:val="auto"/>
        <w:rPr>
          <w:rFonts w:hint="eastAsia" w:ascii="方正仿宋_GBK" w:hAnsi="方正仿宋_GBK" w:eastAsia="方正仿宋_GBK" w:cs="方正仿宋_GBK"/>
          <w:color w:val="auto"/>
          <w:sz w:val="32"/>
          <w:szCs w:val="32"/>
          <w:highlight w:val="none"/>
          <w:lang w:val="en-US" w:eastAsia="zh-CN"/>
        </w:rPr>
      </w:pPr>
      <w:bookmarkStart w:id="191" w:name="_Toc10328_WPSOffice_Level3"/>
      <w:r>
        <w:rPr>
          <w:rFonts w:hint="eastAsia" w:ascii="方正仿宋_GBK" w:hAnsi="方正仿宋_GBK" w:eastAsia="方正仿宋_GBK" w:cs="方正仿宋_GBK"/>
          <w:b/>
          <w:bCs/>
          <w:color w:val="auto"/>
          <w:kern w:val="0"/>
          <w:sz w:val="32"/>
          <w:szCs w:val="32"/>
          <w:highlight w:val="none"/>
          <w:lang w:val="en-US" w:eastAsia="zh-CN" w:bidi="ar"/>
        </w:rPr>
        <w:t>（1）A101</w:t>
      </w:r>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立项依据充分性：</w:t>
      </w:r>
      <w:bookmarkEnd w:id="19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评价，本项目立项符合国家法律法规、国民经济发展规划和相关政策：《关于伽师县2022年地区财政衔接资金项目计划的批复》（伽乡振领项目〔2022〕03号）《关于伽师县伽师县克孜勒博依生态综合整治项目实施方案的批复》（伽发改投资〔2021〕253号）。项目立项与伽师县自然资源局的部门职责范围相符，属于部门履职所需；本项目属于公共财政支持范围，符合中央、地方事权支出责任划分原则。项目提供的产品和服务符合针对当前国家、行业的现实需求，项目提供的产品和服务针对所在区域经济发展的实际问题和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bookmarkStart w:id="192" w:name="_Toc6523_WPSOffice_Level3"/>
      <w:r>
        <w:rPr>
          <w:rFonts w:hint="eastAsia" w:ascii="方正仿宋_GBK" w:hAnsi="方正仿宋_GBK" w:eastAsia="方正仿宋_GBK" w:cs="方正仿宋_GBK"/>
          <w:b/>
          <w:bCs/>
          <w:color w:val="auto"/>
          <w:kern w:val="0"/>
          <w:sz w:val="32"/>
          <w:szCs w:val="32"/>
          <w:highlight w:val="none"/>
          <w:lang w:val="en-US" w:eastAsia="zh-CN" w:bidi="ar"/>
        </w:rPr>
        <w:t>（2）A102立项程序规范性：</w:t>
      </w:r>
      <w:bookmarkEnd w:id="19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评价，本项目按要求完成可研及立项批复：《伽师县克孜勒博依生态综合整治项目可行性研究报告》；《关于伽师县伽师县克孜勒博依生态综合整治项目实施方案》的批复；按要求取得环境影响报告书、审图合格证、建设项目选址意见书、建设用地规划许可证、施工许可证、开工报告；按要求编制“一案两书”：《伽师县克孜勒博依生态综合整治项目实施方案》《伽师县克孜勒博依镇生态综合整治项目收益与融资自求平衡专项债券财务评价报告》《伽师县克孜勒博依镇生态综合整治项目收益与融资自求平衡专项债法律意见书》；项目按照要求进行事前绩效评估工作：《伽师县克孜勒博依生态综合整治工程事前绩效评估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6"/>
        <w:pageBreakBefore w:val="0"/>
        <w:numPr>
          <w:ilvl w:val="0"/>
          <w:numId w:val="0"/>
        </w:numPr>
        <w:kinsoku/>
        <w:wordWrap/>
        <w:bidi w:val="0"/>
        <w:spacing w:line="570" w:lineRule="exact"/>
        <w:ind w:firstLine="643" w:firstLineChars="200"/>
        <w:rPr>
          <w:rFonts w:hint="eastAsia" w:ascii="方正仿宋_GBK" w:hAnsi="方正仿宋_GBK" w:eastAsia="方正仿宋_GBK" w:cs="方正仿宋_GBK"/>
          <w:b w:val="0"/>
          <w:bCs w:val="0"/>
          <w:color w:val="auto"/>
          <w:kern w:val="0"/>
          <w:sz w:val="32"/>
          <w:szCs w:val="32"/>
          <w:highlight w:val="none"/>
          <w:lang w:val="en-US" w:eastAsia="zh-CN" w:bidi="ar"/>
        </w:rPr>
      </w:pPr>
      <w:bookmarkStart w:id="193" w:name="_Toc24969_WPSOffice_Level3"/>
      <w:r>
        <w:rPr>
          <w:rFonts w:hint="eastAsia" w:ascii="方正仿宋_GBK" w:hAnsi="方正仿宋_GBK" w:eastAsia="方正仿宋_GBK" w:cs="方正仿宋_GBK"/>
          <w:b/>
          <w:bCs/>
          <w:color w:val="auto"/>
          <w:kern w:val="0"/>
          <w:sz w:val="32"/>
          <w:szCs w:val="32"/>
          <w:highlight w:val="none"/>
          <w:lang w:val="en-US" w:eastAsia="zh-CN" w:bidi="ar"/>
        </w:rPr>
        <w:t>（3）A201项目目标合理性</w:t>
      </w:r>
      <w:bookmarkEnd w:id="193"/>
    </w:p>
    <w:p>
      <w:pPr>
        <w:autoSpaceDE/>
        <w:autoSpaceDN/>
        <w:spacing w:line="560" w:lineRule="exact"/>
        <w:ind w:firstLine="640" w:firstLineChars="200"/>
        <w:jc w:val="both"/>
        <w:rPr>
          <w:rFonts w:hint="eastAsia" w:ascii="方正仿宋_GBK" w:hAnsi="方正仿宋_GBK" w:eastAsia="方正仿宋_GBK" w:cs="方正仿宋_GBK"/>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经评价，该项目由伽师县自然资源局</w:t>
      </w:r>
      <w:r>
        <w:rPr>
          <w:rFonts w:hint="eastAsia" w:ascii="方正仿宋_GBK" w:hAnsi="方正仿宋_GBK" w:eastAsia="方正仿宋_GBK" w:cs="方正仿宋_GBK"/>
          <w:color w:val="auto"/>
          <w:kern w:val="0"/>
          <w:sz w:val="32"/>
          <w:szCs w:val="32"/>
          <w:highlight w:val="none"/>
          <w:lang w:val="en-US" w:eastAsia="zh-CN" w:bidi="ar"/>
        </w:rPr>
        <w:t>编制了绩效目标表；项目绩效目标设定为实施现代农业产业园的建设等，项目绩效目标与实际工作内容具有相关性；项目预期产出效益和效果符合正常的业绩水平；绩效目标中资金额与确定的项目投资额匹配。</w:t>
      </w:r>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该项指标满分为2分，根据评分标准得2分。</w:t>
      </w:r>
    </w:p>
    <w:p>
      <w:pPr>
        <w:pageBreakBefore w:val="0"/>
        <w:numPr>
          <w:ilvl w:val="0"/>
          <w:numId w:val="0"/>
        </w:numPr>
        <w:kinsoku/>
        <w:wordWrap/>
        <w:topLinePunct w:val="0"/>
        <w:autoSpaceDE/>
        <w:bidi w:val="0"/>
        <w:spacing w:line="570" w:lineRule="exact"/>
        <w:ind w:leftChars="200"/>
        <w:rPr>
          <w:rFonts w:hint="eastAsia" w:ascii="方正仿宋_GBK" w:hAnsi="方正仿宋_GBK" w:eastAsia="方正仿宋_GBK" w:cs="方正仿宋_GBK"/>
          <w:b/>
          <w:bCs/>
          <w:color w:val="auto"/>
          <w:sz w:val="32"/>
          <w:szCs w:val="32"/>
          <w:highlight w:val="none"/>
        </w:rPr>
      </w:pPr>
      <w:bookmarkStart w:id="194" w:name="_Toc1837_WPSOffice_Level3"/>
      <w:r>
        <w:rPr>
          <w:rFonts w:hint="eastAsia" w:ascii="方正仿宋_GBK" w:hAnsi="方正仿宋_GBK" w:eastAsia="方正仿宋_GBK" w:cs="方正仿宋_GBK"/>
          <w:b/>
          <w:bCs/>
          <w:color w:val="auto"/>
          <w:sz w:val="32"/>
          <w:szCs w:val="32"/>
          <w:highlight w:val="none"/>
          <w:lang w:val="en-US" w:eastAsia="zh-CN"/>
        </w:rPr>
        <w:t>（4）A202</w:t>
      </w:r>
      <w:r>
        <w:rPr>
          <w:rFonts w:hint="eastAsia" w:ascii="方正仿宋_GBK" w:hAnsi="方正仿宋_GBK" w:eastAsia="方正仿宋_GBK" w:cs="方正仿宋_GBK"/>
          <w:b/>
          <w:bCs/>
          <w:color w:val="auto"/>
          <w:sz w:val="32"/>
          <w:szCs w:val="32"/>
          <w:highlight w:val="none"/>
        </w:rPr>
        <w:t>绩效指标明确性：</w:t>
      </w:r>
      <w:bookmarkEnd w:id="194"/>
    </w:p>
    <w:p>
      <w:pPr>
        <w:pStyle w:val="2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bidi="ar"/>
        </w:rPr>
        <w:t>经评价，</w:t>
      </w: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项目单位能将项目绩效目标细化分解为具体绩效评价指标，并且通过清晰、可衡量的指标值予以体现，设定的指标值基本能与项目计划数相对应。但仍发现部分指标设置存在不合理、不明确的问题，其绩效指标问题如下：项目属于基建工程类项目，未按照《自治区分行业分领域共性项目绩效指标体系》去设置绩效目标。质量指标缺少“项目设计变更率、项目资金支付率”；成本指标缺少“项目预算控制率”。时效指标“项目按计划开工时间≤1月、项目按计划完工时间≤12月”，对于定性指标，指标值不应再设置区间符号。该项目可持续影响指标设置为“可持续建设时间，指标值为1年”，指标设置错误，该指标不属于可持续影响指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color w:val="auto"/>
          <w:sz w:val="32"/>
          <w:szCs w:val="32"/>
          <w:highlight w:val="none"/>
          <w:lang w:val="en-US" w:eastAsia="zh-CN"/>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该项指标满分为3分，根据评分标准得1.8分。</w:t>
      </w:r>
    </w:p>
    <w:p>
      <w:pPr>
        <w:pageBreakBefore w:val="0"/>
        <w:numPr>
          <w:ilvl w:val="0"/>
          <w:numId w:val="4"/>
        </w:numPr>
        <w:kinsoku/>
        <w:wordWrap/>
        <w:topLinePunct w:val="0"/>
        <w:autoSpaceDE/>
        <w:bidi w:val="0"/>
        <w:spacing w:line="570" w:lineRule="exact"/>
        <w:ind w:left="77" w:leftChars="0" w:firstLine="643" w:firstLineChars="0"/>
        <w:rPr>
          <w:rFonts w:hint="eastAsia" w:ascii="方正仿宋_GBK" w:hAnsi="方正仿宋_GBK" w:eastAsia="方正仿宋_GBK" w:cs="方正仿宋_GBK"/>
          <w:b/>
          <w:bCs/>
          <w:color w:val="auto"/>
          <w:sz w:val="32"/>
          <w:szCs w:val="32"/>
          <w:highlight w:val="none"/>
        </w:rPr>
      </w:pPr>
      <w:bookmarkStart w:id="195" w:name="_Toc27720_WPSOffice_Level3"/>
      <w:r>
        <w:rPr>
          <w:rFonts w:hint="eastAsia" w:ascii="方正仿宋_GBK" w:hAnsi="方正仿宋_GBK" w:eastAsia="方正仿宋_GBK" w:cs="方正仿宋_GBK"/>
          <w:b/>
          <w:bCs/>
          <w:color w:val="auto"/>
          <w:sz w:val="32"/>
          <w:szCs w:val="32"/>
          <w:highlight w:val="none"/>
          <w:lang w:val="en-US" w:eastAsia="zh-CN"/>
        </w:rPr>
        <w:t>A301</w:t>
      </w:r>
      <w:r>
        <w:rPr>
          <w:rFonts w:hint="eastAsia" w:ascii="方正仿宋_GBK" w:hAnsi="方正仿宋_GBK" w:eastAsia="方正仿宋_GBK" w:cs="方正仿宋_GBK"/>
          <w:b/>
          <w:bCs/>
          <w:color w:val="auto"/>
          <w:sz w:val="32"/>
          <w:szCs w:val="32"/>
          <w:highlight w:val="none"/>
        </w:rPr>
        <w:t>预算编制科学性：</w:t>
      </w:r>
      <w:bookmarkEnd w:id="195"/>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jc w:val="both"/>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color w:val="auto"/>
          <w:sz w:val="32"/>
          <w:szCs w:val="32"/>
          <w:highlight w:val="none"/>
          <w:lang w:val="en-US" w:eastAsia="zh-CN"/>
        </w:rPr>
        <w:t>①该项目预算申请内容为：</w:t>
      </w:r>
      <w:r>
        <w:rPr>
          <w:rFonts w:hint="eastAsia" w:ascii="方正仿宋_GBK" w:hAnsi="方正仿宋_GBK" w:eastAsia="方正仿宋_GBK" w:cs="方正仿宋_GBK"/>
          <w:b w:val="0"/>
          <w:bCs/>
          <w:color w:val="auto"/>
          <w:kern w:val="0"/>
          <w:sz w:val="32"/>
          <w:szCs w:val="32"/>
          <w:highlight w:val="none"/>
          <w:lang w:val="en-US" w:eastAsia="zh-CN" w:bidi="ar"/>
        </w:rPr>
        <w:t>用于</w:t>
      </w:r>
      <w:r>
        <w:rPr>
          <w:rFonts w:hint="eastAsia" w:ascii="方正仿宋_GBK" w:hAnsi="方正仿宋_GBK" w:eastAsia="方正仿宋_GBK" w:cs="方正仿宋_GBK"/>
          <w:color w:val="auto"/>
          <w:sz w:val="32"/>
          <w:szCs w:val="32"/>
        </w:rPr>
        <w:t>伽师县克孜勒博依镇</w:t>
      </w:r>
      <w:r>
        <w:rPr>
          <w:rFonts w:hint="eastAsia" w:ascii="方正仿宋_GBK" w:hAnsi="方正仿宋_GBK" w:eastAsia="方正仿宋_GBK" w:cs="方正仿宋_GBK"/>
          <w:color w:val="auto"/>
          <w:sz w:val="32"/>
          <w:szCs w:val="32"/>
          <w:lang w:val="en-US" w:eastAsia="zh-CN"/>
        </w:rPr>
        <w:t>坎迪尔勒克（19）村24113.43亩土地平整及高效节水、排碱渠、电路等配套附属工程，</w:t>
      </w:r>
      <w:r>
        <w:rPr>
          <w:rFonts w:hint="eastAsia" w:ascii="方正仿宋_GBK" w:hAnsi="方正仿宋_GBK" w:eastAsia="方正仿宋_GBK" w:cs="方正仿宋_GBK"/>
          <w:b w:val="0"/>
          <w:bCs/>
          <w:color w:val="auto"/>
          <w:kern w:val="0"/>
          <w:sz w:val="32"/>
          <w:szCs w:val="32"/>
          <w:highlight w:val="none"/>
          <w:lang w:val="en-US" w:eastAsia="zh-CN" w:bidi="ar"/>
        </w:rPr>
        <w:t>根据项目实施方案显示，预算内容与实施方案中项目内容匹配。</w:t>
      </w:r>
    </w:p>
    <w:p>
      <w:pPr>
        <w:pageBreakBefore w:val="0"/>
        <w:numPr>
          <w:ilvl w:val="0"/>
          <w:numId w:val="0"/>
        </w:numPr>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②该项目预算确定的项目投资总额为8821.67万元，与项目实施方案中测算的资金需求一致，预算确定的资金与工作任务较匹配。</w:t>
      </w:r>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该项指标满分为2分，根据评分标准得2分。</w:t>
      </w:r>
    </w:p>
    <w:p>
      <w:pPr>
        <w:pageBreakBefore w:val="0"/>
        <w:numPr>
          <w:ilvl w:val="0"/>
          <w:numId w:val="4"/>
        </w:numPr>
        <w:kinsoku/>
        <w:wordWrap/>
        <w:topLinePunct w:val="0"/>
        <w:autoSpaceDE/>
        <w:bidi w:val="0"/>
        <w:spacing w:line="570" w:lineRule="exact"/>
        <w:ind w:left="77" w:leftChars="0" w:firstLine="643" w:firstLineChars="0"/>
        <w:rPr>
          <w:rFonts w:hint="eastAsia" w:ascii="方正仿宋_GBK" w:hAnsi="方正仿宋_GBK" w:eastAsia="方正仿宋_GBK" w:cs="方正仿宋_GBK"/>
          <w:b/>
          <w:bCs/>
          <w:color w:val="auto"/>
          <w:sz w:val="32"/>
          <w:szCs w:val="32"/>
          <w:highlight w:val="none"/>
        </w:rPr>
      </w:pPr>
      <w:bookmarkStart w:id="196" w:name="_Toc3214_WPSOffice_Level3"/>
      <w:r>
        <w:rPr>
          <w:rFonts w:hint="eastAsia" w:ascii="方正仿宋_GBK" w:hAnsi="方正仿宋_GBK" w:eastAsia="方正仿宋_GBK" w:cs="方正仿宋_GBK"/>
          <w:b/>
          <w:bCs/>
          <w:color w:val="auto"/>
          <w:sz w:val="32"/>
          <w:szCs w:val="32"/>
          <w:highlight w:val="none"/>
          <w:lang w:val="en-US" w:eastAsia="zh-CN"/>
        </w:rPr>
        <w:t>A302</w:t>
      </w:r>
      <w:r>
        <w:rPr>
          <w:rFonts w:hint="eastAsia" w:ascii="方正仿宋_GBK" w:hAnsi="方正仿宋_GBK" w:eastAsia="方正仿宋_GBK" w:cs="方正仿宋_GBK"/>
          <w:b/>
          <w:bCs/>
          <w:color w:val="auto"/>
          <w:sz w:val="32"/>
          <w:szCs w:val="32"/>
          <w:highlight w:val="none"/>
        </w:rPr>
        <w:t>资金分配合理性：</w:t>
      </w:r>
      <w:bookmarkEnd w:id="196"/>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经评价，本项目预算资金分配依据充分；根据关于</w:t>
      </w: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《关于拨付伽师县2022年克孜勒博依生态综合整治工程（现代农业产业园）项目直达资金的通知》（伽财扶字</w:t>
      </w: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〔2022〕</w:t>
      </w: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7号）《关于下达2022年自治区地方政府债券（新增专项债券）伽师县克孜勒博依生态综合整治项目指标到位的通知》（伽财债</w:t>
      </w: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〔2022〕</w:t>
      </w: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9号）《关于下达2022年自治区第四批地方政府债券（新增专项债券）伽师县克孜勒博依生态综合整治项目指标到位的通知》（伽财债〔2022〕13号）文件资金分配额度合理，与项目单位或地方实际相适应。</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sz w:val="32"/>
          <w:szCs w:val="32"/>
          <w:lang w:val="en-US" w:eastAsia="zh-CN"/>
        </w:rPr>
      </w:pPr>
      <w:r>
        <w:rPr>
          <w:rStyle w:val="14"/>
          <w:rFonts w:hint="eastAsia" w:ascii="方正仿宋_GBK" w:hAnsi="方正仿宋_GBK" w:eastAsia="方正仿宋_GBK" w:cs="方正仿宋_GBK"/>
          <w:b w:val="0"/>
          <w:i w:val="0"/>
          <w:caps w:val="0"/>
          <w:color w:val="auto"/>
          <w:spacing w:val="0"/>
          <w:w w:val="100"/>
          <w:kern w:val="0"/>
          <w:sz w:val="32"/>
          <w:szCs w:val="32"/>
          <w:lang w:val="en-US" w:eastAsia="zh-CN" w:bidi="ar-SA"/>
        </w:rPr>
        <w:t>该项指标满分为3分，根据评分标准得3分。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left"/>
        <w:textAlignment w:val="auto"/>
        <w:outlineLvl w:val="2"/>
        <w:rPr>
          <w:rFonts w:hint="eastAsia" w:ascii="方正楷体_GBK" w:hAnsi="方正楷体_GBK" w:eastAsia="方正楷体_GBK" w:cs="方正楷体_GBK"/>
          <w:b/>
          <w:bCs/>
          <w:color w:val="auto"/>
          <w:kern w:val="0"/>
          <w:sz w:val="32"/>
          <w:szCs w:val="32"/>
          <w:highlight w:val="none"/>
          <w:lang w:val="en-US" w:eastAsia="zh-CN"/>
        </w:rPr>
      </w:pPr>
      <w:bookmarkStart w:id="197" w:name="_Toc30477_WPSOffice_Level2"/>
      <w:bookmarkStart w:id="198" w:name="_Toc13569_WPSOffice_Level2"/>
      <w:bookmarkStart w:id="199" w:name="_Toc20543_WPSOffice_Level2"/>
      <w:r>
        <w:rPr>
          <w:rFonts w:hint="eastAsia" w:ascii="方正楷体_GBK" w:hAnsi="方正楷体_GBK" w:eastAsia="方正楷体_GBK" w:cs="方正楷体_GBK"/>
          <w:b/>
          <w:bCs/>
          <w:color w:val="auto"/>
          <w:kern w:val="0"/>
          <w:sz w:val="32"/>
          <w:szCs w:val="32"/>
          <w:highlight w:val="none"/>
          <w:lang w:val="en-US" w:eastAsia="zh-CN" w:bidi="ar"/>
        </w:rPr>
        <w:t>（二）项目过程情况</w:t>
      </w:r>
      <w:bookmarkEnd w:id="197"/>
      <w:bookmarkEnd w:id="198"/>
      <w:bookmarkEnd w:id="199"/>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项目过程类指标包括资金管理和组织实施两方面的内容，由5个三级指标构成，权重分为</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分，实际得分</w:t>
      </w:r>
      <w:r>
        <w:rPr>
          <w:rFonts w:hint="eastAsia" w:ascii="方正仿宋_GBK" w:hAnsi="方正仿宋_GBK" w:eastAsia="方正仿宋_GBK" w:cs="方正仿宋_GBK"/>
          <w:color w:val="auto"/>
          <w:sz w:val="32"/>
          <w:szCs w:val="32"/>
          <w:highlight w:val="none"/>
          <w:lang w:val="en-US" w:eastAsia="zh-CN"/>
        </w:rPr>
        <w:t>20</w:t>
      </w:r>
      <w:r>
        <w:rPr>
          <w:rFonts w:hint="eastAsia" w:ascii="方正仿宋_GBK" w:hAnsi="方正仿宋_GBK" w:eastAsia="方正仿宋_GBK" w:cs="方正仿宋_GBK"/>
          <w:color w:val="auto"/>
          <w:sz w:val="32"/>
          <w:szCs w:val="32"/>
          <w:highlight w:val="none"/>
        </w:rPr>
        <w:t>分，得分率为</w:t>
      </w:r>
      <w:r>
        <w:rPr>
          <w:rFonts w:hint="eastAsia" w:ascii="方正仿宋_GBK" w:hAnsi="方正仿宋_GBK" w:eastAsia="方正仿宋_GBK" w:cs="方正仿宋_GBK"/>
          <w:color w:val="auto"/>
          <w:sz w:val="32"/>
          <w:szCs w:val="32"/>
          <w:highlight w:val="none"/>
          <w:lang w:val="en-US" w:eastAsia="zh-CN"/>
        </w:rPr>
        <w:t>100%</w:t>
      </w:r>
      <w:r>
        <w:rPr>
          <w:rFonts w:hint="eastAsia" w:ascii="方正仿宋_GBK" w:hAnsi="方正仿宋_GBK" w:eastAsia="方正仿宋_GBK" w:cs="方正仿宋_GBK"/>
          <w:color w:val="auto"/>
          <w:sz w:val="32"/>
          <w:szCs w:val="32"/>
          <w:highlight w:val="none"/>
        </w:rPr>
        <w:t>。各指标业绩值和绩效分值如下表所示</w:t>
      </w:r>
    </w:p>
    <w:p>
      <w:pPr>
        <w:pageBreakBefore w:val="0"/>
        <w:kinsoku/>
        <w:wordWrap/>
        <w:topLinePunct w:val="0"/>
        <w:autoSpaceDE/>
        <w:bidi w:val="0"/>
        <w:spacing w:line="570" w:lineRule="exact"/>
        <w:jc w:val="center"/>
        <w:rPr>
          <w:rFonts w:hint="eastAsia"/>
          <w:lang w:val="en-US" w:eastAsia="zh-CN"/>
        </w:rPr>
      </w:pPr>
      <w:r>
        <w:rPr>
          <w:rFonts w:hint="eastAsia" w:ascii="方正仿宋_GBK" w:hAnsi="方正仿宋_GBK" w:eastAsia="方正仿宋_GBK" w:cs="方正仿宋_GBK"/>
          <w:color w:val="auto"/>
          <w:sz w:val="32"/>
          <w:szCs w:val="32"/>
          <w:highlight w:val="none"/>
        </w:rPr>
        <w:t>表4-2：项目过程类指标及分值</w:t>
      </w:r>
    </w:p>
    <w:tbl>
      <w:tblPr>
        <w:tblStyle w:val="11"/>
        <w:tblW w:w="9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603"/>
        <w:gridCol w:w="1950"/>
        <w:gridCol w:w="2368"/>
        <w:gridCol w:w="790"/>
        <w:gridCol w:w="790"/>
        <w:gridCol w:w="632"/>
        <w:gridCol w:w="632"/>
        <w:gridCol w:w="6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60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一级指标</w:t>
            </w:r>
          </w:p>
        </w:tc>
        <w:tc>
          <w:tcPr>
            <w:tcW w:w="195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二级指标</w:t>
            </w:r>
          </w:p>
        </w:tc>
        <w:tc>
          <w:tcPr>
            <w:tcW w:w="2368"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三级指标</w:t>
            </w:r>
          </w:p>
        </w:tc>
        <w:tc>
          <w:tcPr>
            <w:tcW w:w="79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标杆值</w:t>
            </w:r>
          </w:p>
        </w:tc>
        <w:tc>
          <w:tcPr>
            <w:tcW w:w="790"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业绩值</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权重</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实际得分</w:t>
            </w:r>
          </w:p>
        </w:tc>
        <w:tc>
          <w:tcPr>
            <w:tcW w:w="63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8" w:hRule="atLeast"/>
        </w:trPr>
        <w:tc>
          <w:tcPr>
            <w:tcW w:w="1603"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B项目过程（20）</w:t>
            </w:r>
          </w:p>
        </w:tc>
        <w:tc>
          <w:tcPr>
            <w:tcW w:w="19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B1资金管理（15）</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B101资金到位率</w:t>
            </w:r>
          </w:p>
        </w:tc>
        <w:tc>
          <w:tcPr>
            <w:tcW w:w="7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7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48"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B102预算执行率</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100</w:t>
            </w:r>
            <w:r>
              <w:rPr>
                <w:rFonts w:hint="eastAsia" w:ascii="宋体" w:hAnsi="宋体" w:eastAsia="宋体" w:cs="宋体"/>
                <w:b/>
                <w:i w:val="0"/>
                <w:color w:val="000000"/>
                <w:kern w:val="0"/>
                <w:sz w:val="22"/>
                <w:szCs w:val="22"/>
                <w:highlight w:val="none"/>
                <w:u w:val="none"/>
                <w:lang w:val="en-US" w:eastAsia="zh-CN" w:bidi="ar"/>
              </w:rPr>
              <w:t>%</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b/>
                <w:i w:val="0"/>
                <w:color w:val="000000"/>
                <w:sz w:val="22"/>
                <w:szCs w:val="22"/>
                <w:highlight w:val="none"/>
                <w:u w:val="none"/>
                <w:lang w:val="en-US"/>
              </w:rPr>
            </w:pPr>
            <w:r>
              <w:rPr>
                <w:rFonts w:hint="eastAsia" w:ascii="宋体" w:hAnsi="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100</w:t>
            </w:r>
            <w:r>
              <w:rPr>
                <w:rFonts w:hint="eastAsia" w:ascii="宋体" w:hAnsi="宋体" w:eastAsia="宋体" w:cs="宋体"/>
                <w:b/>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B103资金使用合规性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合规</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合规</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5</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B2组织实施（5）</w:t>
            </w:r>
          </w:p>
        </w:tc>
        <w:tc>
          <w:tcPr>
            <w:tcW w:w="23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B201管理制度健全性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健全</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健全</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2</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7" w:hRule="atLeast"/>
        </w:trPr>
        <w:tc>
          <w:tcPr>
            <w:tcW w:w="1603"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195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23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B202制度执行有效性</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有效</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3</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cs="宋体"/>
                <w:b/>
                <w:i w:val="0"/>
                <w:color w:val="000000"/>
                <w:kern w:val="0"/>
                <w:sz w:val="22"/>
                <w:szCs w:val="22"/>
                <w:highlight w:val="none"/>
                <w:u w:val="none"/>
                <w:lang w:val="en-US" w:eastAsia="zh-CN" w:bidi="ar"/>
              </w:rPr>
              <w:t>100</w:t>
            </w:r>
            <w:r>
              <w:rPr>
                <w:rFonts w:hint="eastAsia" w:ascii="宋体" w:hAnsi="宋体" w:eastAsia="宋体" w:cs="宋体"/>
                <w:b/>
                <w:i w:val="0"/>
                <w:color w:val="000000"/>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7" w:hRule="atLeast"/>
        </w:trPr>
        <w:tc>
          <w:tcPr>
            <w:tcW w:w="59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合计</w:t>
            </w: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b/>
                <w:i w:val="0"/>
                <w:color w:val="000000"/>
                <w:sz w:val="22"/>
                <w:szCs w:val="22"/>
                <w:highlight w:val="none"/>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default" w:ascii="宋体" w:hAnsi="宋体" w:eastAsia="宋体" w:cs="宋体"/>
                <w:b/>
                <w:i w:val="0"/>
                <w:color w:val="000000"/>
                <w:sz w:val="22"/>
                <w:szCs w:val="22"/>
                <w:highlight w:val="none"/>
                <w:u w:val="none"/>
                <w:lang w:val="en-US" w:eastAsia="zh-CN"/>
              </w:rPr>
            </w:pPr>
            <w:r>
              <w:rPr>
                <w:rFonts w:hint="eastAsia" w:ascii="宋体" w:hAnsi="宋体" w:eastAsia="宋体" w:cs="宋体"/>
                <w:b/>
                <w:i w:val="0"/>
                <w:color w:val="000000"/>
                <w:sz w:val="22"/>
                <w:szCs w:val="22"/>
                <w:highlight w:val="none"/>
                <w:u w:val="none"/>
                <w:lang w:val="en-US" w:eastAsia="zh-CN"/>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20</w:t>
            </w:r>
          </w:p>
        </w:tc>
        <w:tc>
          <w:tcPr>
            <w:tcW w:w="6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default" w:ascii="宋体" w:hAnsi="宋体" w:eastAsia="宋体" w:cs="宋体"/>
                <w:b/>
                <w:i w:val="0"/>
                <w:color w:val="000000"/>
                <w:sz w:val="22"/>
                <w:szCs w:val="22"/>
                <w:highlight w:val="none"/>
                <w:u w:val="none"/>
                <w:lang w:val="en-US" w:eastAsia="zh-CN"/>
              </w:rPr>
            </w:pPr>
            <w:r>
              <w:rPr>
                <w:rFonts w:hint="eastAsia" w:ascii="宋体" w:hAnsi="宋体" w:cs="宋体"/>
                <w:b/>
                <w:i w:val="0"/>
                <w:color w:val="000000"/>
                <w:sz w:val="22"/>
                <w:szCs w:val="22"/>
                <w:highlight w:val="none"/>
                <w:u w:val="none"/>
                <w:lang w:val="en-US" w:eastAsia="zh-CN"/>
              </w:rPr>
              <w:t>100</w:t>
            </w:r>
            <w:r>
              <w:rPr>
                <w:rFonts w:hint="eastAsia" w:ascii="宋体" w:hAnsi="宋体" w:eastAsia="宋体" w:cs="宋体"/>
                <w:b/>
                <w:i w:val="0"/>
                <w:color w:val="000000"/>
                <w:sz w:val="22"/>
                <w:szCs w:val="22"/>
                <w:highlight w:val="none"/>
                <w:u w:val="none"/>
                <w:lang w:val="en-US" w:eastAsia="zh-CN"/>
              </w:rPr>
              <w:t>%</w:t>
            </w:r>
          </w:p>
        </w:tc>
      </w:tr>
    </w:tbl>
    <w:p>
      <w:pPr>
        <w:pStyle w:val="19"/>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textAlignment w:val="auto"/>
        <w:rPr>
          <w:rFonts w:hint="default" w:ascii="Times New Roman" w:hAnsi="Times New Roman" w:eastAsia="仿宋_GB2312" w:cs="Times New Roman"/>
          <w:color w:val="auto"/>
          <w:kern w:val="0"/>
          <w:sz w:val="32"/>
          <w:szCs w:val="32"/>
          <w:highlight w:val="none"/>
        </w:rPr>
      </w:pPr>
      <w:bookmarkStart w:id="200" w:name="_Toc703"/>
      <w:bookmarkStart w:id="201" w:name="_Toc2026_WPSOffice_Level3"/>
      <w:r>
        <w:rPr>
          <w:rFonts w:hint="eastAsia" w:ascii="方正仿宋_GBK" w:hAnsi="方正仿宋_GBK" w:eastAsia="方正仿宋_GBK" w:cs="方正仿宋_GBK"/>
          <w:b/>
          <w:bCs w:val="0"/>
          <w:color w:val="auto"/>
          <w:kern w:val="0"/>
          <w:sz w:val="32"/>
          <w:szCs w:val="32"/>
          <w:highlight w:val="none"/>
          <w:lang w:val="en-US" w:eastAsia="zh-CN"/>
        </w:rPr>
        <w:t>（1）</w:t>
      </w:r>
      <w:bookmarkEnd w:id="200"/>
      <w:r>
        <w:rPr>
          <w:rFonts w:hint="eastAsia" w:ascii="方正仿宋_GBK" w:hAnsi="方正仿宋_GBK" w:eastAsia="方正仿宋_GBK" w:cs="方正仿宋_GBK"/>
          <w:b/>
          <w:bCs w:val="0"/>
          <w:color w:val="auto"/>
          <w:kern w:val="0"/>
          <w:sz w:val="32"/>
          <w:szCs w:val="32"/>
          <w:highlight w:val="none"/>
          <w:lang w:val="en-US" w:eastAsia="zh-CN"/>
        </w:rPr>
        <w:t>B101</w:t>
      </w:r>
      <w:r>
        <w:rPr>
          <w:rStyle w:val="21"/>
          <w:rFonts w:hint="eastAsia" w:ascii="方正仿宋_GBK" w:hAnsi="方正仿宋_GBK" w:eastAsia="方正仿宋_GBK" w:cs="方正仿宋_GBK"/>
          <w:b/>
          <w:bCs w:val="0"/>
          <w:color w:val="auto"/>
          <w:sz w:val="32"/>
          <w:szCs w:val="32"/>
          <w:highlight w:val="none"/>
          <w:lang w:eastAsia="zh-CN"/>
        </w:rPr>
        <w:t>资金到位率</w:t>
      </w:r>
      <w:bookmarkEnd w:id="201"/>
      <w:r>
        <w:rPr>
          <w:rStyle w:val="21"/>
          <w:rFonts w:hint="eastAsia" w:ascii="方正仿宋_GBK" w:hAnsi="方正仿宋_GBK" w:eastAsia="方正仿宋_GBK" w:cs="方正仿宋_GBK"/>
          <w:b/>
          <w:bCs w:val="0"/>
          <w:color w:val="auto"/>
          <w:sz w:val="32"/>
          <w:szCs w:val="32"/>
          <w:highlight w:val="none"/>
          <w:lang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b w:val="0"/>
          <w:bCs w:val="0"/>
          <w:color w:val="auto"/>
          <w:sz w:val="32"/>
          <w:szCs w:val="32"/>
          <w:highlight w:val="none"/>
          <w:lang w:eastAsia="zh-CN"/>
        </w:rPr>
        <w:t>该</w:t>
      </w:r>
      <w:r>
        <w:rPr>
          <w:rFonts w:hint="eastAsia" w:ascii="方正仿宋_GBK" w:hAnsi="方正仿宋_GBK" w:eastAsia="方正仿宋_GBK" w:cs="方正仿宋_GBK"/>
          <w:b w:val="0"/>
          <w:bCs w:val="0"/>
          <w:color w:val="auto"/>
          <w:sz w:val="32"/>
          <w:szCs w:val="32"/>
          <w:highlight w:val="none"/>
        </w:rPr>
        <w:t>项目</w:t>
      </w:r>
      <w:r>
        <w:rPr>
          <w:rFonts w:hint="eastAsia" w:ascii="方正仿宋_GBK" w:hAnsi="方正仿宋_GBK" w:eastAsia="方正仿宋_GBK" w:cs="方正仿宋_GBK"/>
          <w:b w:val="0"/>
          <w:bCs w:val="0"/>
          <w:color w:val="auto"/>
          <w:sz w:val="32"/>
          <w:szCs w:val="32"/>
          <w:highlight w:val="none"/>
          <w:lang w:eastAsia="zh-CN"/>
        </w:rPr>
        <w:t>根据</w:t>
      </w:r>
      <w:r>
        <w:rPr>
          <w:rFonts w:hint="eastAsia" w:ascii="方正仿宋_GBK" w:hAnsi="方正仿宋_GBK" w:eastAsia="方正仿宋_GBK" w:cs="方正仿宋_GBK"/>
          <w:b w:val="0"/>
          <w:bCs w:val="0"/>
          <w:color w:val="auto"/>
          <w:sz w:val="32"/>
          <w:szCs w:val="32"/>
          <w:highlight w:val="none"/>
          <w:lang w:val="en-US" w:eastAsia="zh-CN"/>
        </w:rPr>
        <w:t>《关于提前下达2022年中央财政衔接推进乡村振兴补助资金预算的通知》《喀地财扶（2021）9号</w:t>
      </w:r>
      <w:r>
        <w:rPr>
          <w:rFonts w:hint="eastAsia" w:ascii="方正仿宋_GBK" w:hAnsi="方正仿宋_GBK" w:eastAsia="方正仿宋_GBK" w:cs="方正仿宋_GBK"/>
          <w:b w:val="0"/>
          <w:bCs w:val="0"/>
          <w:color w:val="auto"/>
          <w:kern w:val="0"/>
          <w:sz w:val="32"/>
          <w:szCs w:val="32"/>
          <w:highlight w:val="none"/>
          <w:u w:val="none"/>
          <w:shd w:val="clear" w:color="auto" w:fill="auto"/>
          <w:lang w:val="en-US" w:eastAsia="zh-CN" w:bidi="zh-TW"/>
        </w:rPr>
        <w:t>文件</w:t>
      </w:r>
      <w:r>
        <w:rPr>
          <w:rFonts w:hint="eastAsia" w:ascii="方正仿宋_GBK" w:hAnsi="方正仿宋_GBK" w:eastAsia="方正仿宋_GBK" w:cs="方正仿宋_GBK"/>
          <w:b w:val="0"/>
          <w:bCs w:val="0"/>
          <w:color w:val="auto"/>
          <w:sz w:val="32"/>
          <w:szCs w:val="32"/>
          <w:highlight w:val="none"/>
        </w:rPr>
        <w:t>预算安排总额为</w:t>
      </w:r>
      <w:r>
        <w:rPr>
          <w:rFonts w:hint="eastAsia" w:ascii="方正仿宋_GBK" w:hAnsi="方正仿宋_GBK" w:eastAsia="方正仿宋_GBK" w:cs="方正仿宋_GBK"/>
          <w:b w:val="0"/>
          <w:bCs w:val="0"/>
          <w:color w:val="auto"/>
          <w:sz w:val="32"/>
          <w:szCs w:val="32"/>
          <w:highlight w:val="none"/>
          <w:lang w:val="en-US" w:eastAsia="zh-CN"/>
        </w:rPr>
        <w:t>8821.67</w:t>
      </w:r>
      <w:r>
        <w:rPr>
          <w:rFonts w:hint="eastAsia" w:ascii="方正仿宋_GBK" w:hAnsi="方正仿宋_GBK" w:eastAsia="方正仿宋_GBK" w:cs="方正仿宋_GBK"/>
          <w:b w:val="0"/>
          <w:bCs w:val="0"/>
          <w:color w:val="auto"/>
          <w:sz w:val="32"/>
          <w:szCs w:val="32"/>
          <w:highlight w:val="none"/>
        </w:rPr>
        <w:t>万元，实际到位</w:t>
      </w:r>
      <w:r>
        <w:rPr>
          <w:rFonts w:hint="eastAsia" w:ascii="方正仿宋_GBK" w:hAnsi="方正仿宋_GBK" w:eastAsia="方正仿宋_GBK" w:cs="方正仿宋_GBK"/>
          <w:b w:val="0"/>
          <w:bCs w:val="0"/>
          <w:color w:val="auto"/>
          <w:sz w:val="32"/>
          <w:szCs w:val="32"/>
          <w:highlight w:val="none"/>
          <w:lang w:val="en-US" w:eastAsia="zh-CN"/>
        </w:rPr>
        <w:t>8821.67</w:t>
      </w:r>
      <w:r>
        <w:rPr>
          <w:rFonts w:hint="eastAsia" w:ascii="方正仿宋_GBK" w:hAnsi="方正仿宋_GBK" w:eastAsia="方正仿宋_GBK" w:cs="方正仿宋_GBK"/>
          <w:b w:val="0"/>
          <w:bCs w:val="0"/>
          <w:color w:val="auto"/>
          <w:sz w:val="32"/>
          <w:szCs w:val="32"/>
          <w:highlight w:val="none"/>
        </w:rPr>
        <w:t>万元，资金到位率100%。</w:t>
      </w:r>
      <w:r>
        <w:rPr>
          <w:rFonts w:hint="eastAsia" w:ascii="方正仿宋_GBK" w:hAnsi="方正仿宋_GBK" w:eastAsia="方正仿宋_GBK" w:cs="方正仿宋_GBK"/>
          <w:bCs w:val="0"/>
          <w:kern w:val="0"/>
          <w:sz w:val="32"/>
          <w:szCs w:val="32"/>
          <w:highlight w:val="none"/>
          <w:lang w:val="en-US" w:eastAsia="zh-CN" w:bidi="ar-SA"/>
        </w:rPr>
        <w:t>资金到位率=（实际到位资金/预算资金）×100%=（8821.67万元/8821.67万元）×100%=100%，</w:t>
      </w:r>
      <w:r>
        <w:rPr>
          <w:rFonts w:hint="eastAsia" w:ascii="方正仿宋_GBK" w:hAnsi="方正仿宋_GBK" w:eastAsia="方正仿宋_GBK" w:cs="方正仿宋_GBK"/>
          <w:color w:val="auto"/>
          <w:sz w:val="32"/>
          <w:szCs w:val="32"/>
          <w:highlight w:val="none"/>
        </w:rPr>
        <w:t>财政资金足额拨付到位</w:t>
      </w:r>
      <w:r>
        <w:rPr>
          <w:rFonts w:hint="eastAsia" w:ascii="方正仿宋_GBK" w:hAnsi="方正仿宋_GBK" w:eastAsia="方正仿宋_GBK" w:cs="方正仿宋_GBK"/>
          <w:color w:val="auto"/>
          <w:sz w:val="32"/>
          <w:szCs w:val="32"/>
          <w:highlight w:val="none"/>
          <w:lang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2"/>
        <w:rPr>
          <w:rFonts w:hint="eastAsia" w:ascii="方正黑体_GBK" w:hAnsi="方正黑体_GBK" w:eastAsia="方正黑体_GBK" w:cs="方正黑体_GBK"/>
          <w:b w:val="0"/>
          <w:bCs/>
          <w:color w:val="auto"/>
          <w:kern w:val="0"/>
          <w:sz w:val="32"/>
          <w:szCs w:val="32"/>
          <w:highlight w:val="none"/>
        </w:rPr>
      </w:pPr>
      <w:r>
        <w:rPr>
          <w:rFonts w:hint="eastAsia" w:ascii="方正仿宋_GBK" w:hAnsi="方正仿宋_GBK" w:eastAsia="方正仿宋_GBK" w:cs="方正仿宋_GBK"/>
          <w:color w:val="auto"/>
          <w:sz w:val="32"/>
          <w:szCs w:val="32"/>
          <w:highlight w:val="none"/>
        </w:rPr>
        <w:t>该指标满分为</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根据评分标准得</w:t>
      </w:r>
      <w:r>
        <w:rPr>
          <w:rFonts w:hint="eastAsia" w:ascii="方正仿宋_GBK" w:hAnsi="方正仿宋_GBK" w:eastAsia="方正仿宋_GBK" w:cs="方正仿宋_GBK"/>
          <w:color w:val="auto"/>
          <w:sz w:val="32"/>
          <w:szCs w:val="32"/>
          <w:highlight w:val="none"/>
          <w:lang w:val="en-US" w:eastAsia="zh-CN"/>
        </w:rPr>
        <w:t>5</w:t>
      </w:r>
      <w:r>
        <w:rPr>
          <w:rFonts w:hint="eastAsia" w:ascii="方正仿宋_GBK" w:hAnsi="方正仿宋_GBK" w:eastAsia="方正仿宋_GBK" w:cs="方正仿宋_GBK"/>
          <w:color w:val="auto"/>
          <w:sz w:val="32"/>
          <w:szCs w:val="32"/>
          <w:highlight w:val="none"/>
        </w:rPr>
        <w:t>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bookmarkStart w:id="202" w:name="_Toc24701_WPSOffice_Level3"/>
      <w:r>
        <w:rPr>
          <w:rFonts w:hint="eastAsia" w:ascii="方正仿宋_GBK" w:hAnsi="方正仿宋_GBK" w:eastAsia="方正仿宋_GBK" w:cs="方正仿宋_GBK"/>
          <w:b/>
          <w:bCs/>
          <w:color w:val="auto"/>
          <w:kern w:val="0"/>
          <w:sz w:val="32"/>
          <w:szCs w:val="32"/>
          <w:highlight w:val="none"/>
          <w:lang w:val="en-US" w:eastAsia="zh-CN" w:bidi="ar"/>
        </w:rPr>
        <w:t>（2）B102预算执行率</w:t>
      </w:r>
      <w:bookmarkEnd w:id="202"/>
      <w:r>
        <w:rPr>
          <w:rFonts w:hint="eastAsia" w:ascii="方正仿宋_GBK" w:hAnsi="方正仿宋_GBK" w:eastAsia="方正仿宋_GBK" w:cs="方正仿宋_GBK"/>
          <w:b/>
          <w:bCs/>
          <w:color w:val="auto"/>
          <w:kern w:val="0"/>
          <w:sz w:val="32"/>
          <w:szCs w:val="32"/>
          <w:highlight w:val="none"/>
          <w:lang w:val="en-US" w:eastAsia="zh-CN" w:bidi="ar"/>
        </w:rPr>
        <w:t>：</w:t>
      </w:r>
    </w:p>
    <w:p>
      <w:pPr>
        <w:pStyle w:val="22"/>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根据单位提供的《国库集中支付凭证》支出数据，得出该项目实际支出资金为8821.67万元，预算执行率=（实际支出资金/实际到位金额）×100%=8821.67万元/8821.67万元×100%，执行率100%，根据评分标准，该指标得5分。</w:t>
      </w:r>
    </w:p>
    <w:p>
      <w:pPr>
        <w:pStyle w:val="22"/>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bookmarkStart w:id="203" w:name="_Toc6464_WPSOffice_Level3"/>
      <w:r>
        <w:rPr>
          <w:rFonts w:hint="eastAsia" w:ascii="方正仿宋_GBK" w:hAnsi="方正仿宋_GBK" w:eastAsia="方正仿宋_GBK" w:cs="方正仿宋_GBK"/>
          <w:b/>
          <w:bCs/>
          <w:color w:val="auto"/>
          <w:kern w:val="0"/>
          <w:sz w:val="32"/>
          <w:szCs w:val="32"/>
          <w:highlight w:val="none"/>
          <w:lang w:val="en-US" w:eastAsia="zh-CN" w:bidi="ar"/>
        </w:rPr>
        <w:t>（3）B103资金使用合规性</w:t>
      </w:r>
      <w:bookmarkEnd w:id="203"/>
      <w:r>
        <w:rPr>
          <w:rFonts w:hint="eastAsia" w:ascii="方正仿宋_GBK" w:hAnsi="方正仿宋_GBK" w:eastAsia="方正仿宋_GBK" w:cs="方正仿宋_GBK"/>
          <w:b/>
          <w:bCs/>
          <w:color w:val="auto"/>
          <w:kern w:val="0"/>
          <w:sz w:val="32"/>
          <w:szCs w:val="32"/>
          <w:highlight w:val="none"/>
          <w:lang w:val="en-US" w:eastAsia="zh-CN" w:bidi="ar"/>
        </w:rPr>
        <w:t>：</w:t>
      </w:r>
    </w:p>
    <w:p>
      <w:pPr>
        <w:pStyle w:val="22"/>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①该项目资金使用符合国家财经法规、《政府会计制度》、以及《伽师县自然资源局财务管理制度》。</w:t>
      </w:r>
    </w:p>
    <w:p>
      <w:pPr>
        <w:pStyle w:val="22"/>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②项目预算资金8821.67万元，</w:t>
      </w:r>
      <w:r>
        <w:rPr>
          <w:rFonts w:hint="eastAsia" w:ascii="方正仿宋_GBK" w:hAnsi="方正仿宋_GBK" w:eastAsia="方正仿宋_GBK" w:cs="方正仿宋_GBK"/>
          <w:b w:val="0"/>
          <w:bCs/>
          <w:color w:val="auto"/>
          <w:kern w:val="0"/>
          <w:sz w:val="32"/>
          <w:szCs w:val="32"/>
          <w:highlight w:val="none"/>
          <w:lang w:val="en-US" w:eastAsia="zh-CN" w:bidi="ar"/>
        </w:rPr>
        <w:t>用于</w:t>
      </w:r>
      <w:r>
        <w:rPr>
          <w:rFonts w:hint="eastAsia" w:ascii="方正仿宋_GBK" w:hAnsi="方正仿宋_GBK" w:eastAsia="方正仿宋_GBK" w:cs="方正仿宋_GBK"/>
          <w:color w:val="auto"/>
          <w:sz w:val="32"/>
          <w:szCs w:val="32"/>
        </w:rPr>
        <w:t>伽师县克孜勒博依镇</w:t>
      </w:r>
      <w:r>
        <w:rPr>
          <w:rFonts w:hint="eastAsia" w:ascii="方正仿宋_GBK" w:hAnsi="方正仿宋_GBK" w:eastAsia="方正仿宋_GBK" w:cs="方正仿宋_GBK"/>
          <w:color w:val="auto"/>
          <w:sz w:val="32"/>
          <w:szCs w:val="32"/>
          <w:lang w:val="en-US" w:eastAsia="zh-CN"/>
        </w:rPr>
        <w:t>坎迪尔勒克（19）村24113.43亩土地平整及高效节水、排碱渠、电路等配套附属工程</w:t>
      </w:r>
      <w:r>
        <w:rPr>
          <w:rFonts w:hint="eastAsia" w:ascii="方正仿宋_GBK" w:hAnsi="方正仿宋_GBK" w:eastAsia="方正仿宋_GBK" w:cs="方正仿宋_GBK"/>
          <w:b w:val="0"/>
          <w:bCs w:val="0"/>
          <w:color w:val="auto"/>
          <w:kern w:val="0"/>
          <w:sz w:val="32"/>
          <w:szCs w:val="32"/>
          <w:highlight w:val="none"/>
          <w:lang w:val="en-US" w:eastAsia="zh-CN" w:bidi="ar"/>
        </w:rPr>
        <w:t>，项目资金使用符合项目预算。</w:t>
      </w:r>
    </w:p>
    <w:p>
      <w:pPr>
        <w:pStyle w:val="22"/>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③该项目不存在截留、挤占、挪用、虚列支出等情况。</w:t>
      </w:r>
    </w:p>
    <w:p>
      <w:pPr>
        <w:pStyle w:val="22"/>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④该项目资金的拨付有完整的审批程序和手续。</w:t>
      </w:r>
    </w:p>
    <w:p>
      <w:pPr>
        <w:pStyle w:val="22"/>
        <w:keepNext w:val="0"/>
        <w:keepLines w:val="0"/>
        <w:pageBreakBefore w:val="0"/>
        <w:widowControl w:val="0"/>
        <w:kinsoku/>
        <w:wordWrap/>
        <w:overflowPunct/>
        <w:topLinePunct w:val="0"/>
        <w:autoSpaceDE w:val="0"/>
        <w:autoSpaceDN w:val="0"/>
        <w:bidi w:val="0"/>
        <w:adjustRightInd w:val="0"/>
        <w:snapToGrid/>
        <w:spacing w:line="570" w:lineRule="exact"/>
        <w:ind w:firstLine="640" w:firstLineChars="200"/>
        <w:jc w:val="both"/>
        <w:textAlignment w:val="auto"/>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该项指标满分为5分，根据评分标准得5分。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bookmarkStart w:id="204" w:name="_Toc44_WPSOffice_Level3"/>
      <w:r>
        <w:rPr>
          <w:rFonts w:hint="eastAsia" w:ascii="方正仿宋_GBK" w:hAnsi="方正仿宋_GBK" w:eastAsia="方正仿宋_GBK" w:cs="方正仿宋_GBK"/>
          <w:b/>
          <w:bCs/>
          <w:color w:val="auto"/>
          <w:kern w:val="0"/>
          <w:sz w:val="32"/>
          <w:szCs w:val="32"/>
          <w:highlight w:val="none"/>
          <w:lang w:val="en-US" w:eastAsia="zh-CN" w:bidi="ar"/>
        </w:rPr>
        <w:t>（4）B201管理制度健全性</w:t>
      </w:r>
      <w:bookmarkEnd w:id="204"/>
      <w:r>
        <w:rPr>
          <w:rFonts w:hint="eastAsia" w:ascii="方正仿宋_GBK" w:hAnsi="方正仿宋_GBK" w:eastAsia="方正仿宋_GBK" w:cs="方正仿宋_GBK"/>
          <w:b/>
          <w:bCs/>
          <w:color w:val="auto"/>
          <w:kern w:val="0"/>
          <w:sz w:val="32"/>
          <w:szCs w:val="32"/>
          <w:highlight w:val="none"/>
          <w:lang w:val="en-US" w:eastAsia="zh-CN" w:bidi="ar"/>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①该项目已建立财务和业务管理制度，具体包括：《伽师县自然资源局财务管理制度》、《伽师县自然资源局资金管理制度》、《伽师县自然资源局预算管理制度》。</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该项指标满分为2分，根据评分标准得2分。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200" w:firstLine="321" w:firstLineChars="100"/>
        <w:jc w:val="left"/>
        <w:textAlignment w:val="auto"/>
        <w:outlineLvl w:val="1"/>
        <w:rPr>
          <w:rFonts w:hint="eastAsia" w:ascii="方正仿宋_GBK" w:hAnsi="方正仿宋_GBK" w:eastAsia="方正仿宋_GBK" w:cs="方正仿宋_GBK"/>
          <w:b/>
          <w:bCs/>
          <w:color w:val="auto"/>
          <w:kern w:val="0"/>
          <w:sz w:val="32"/>
          <w:szCs w:val="32"/>
          <w:highlight w:val="none"/>
          <w:lang w:val="en-US" w:eastAsia="zh-CN" w:bidi="ar"/>
        </w:rPr>
      </w:pPr>
      <w:bookmarkStart w:id="205" w:name="_Toc19898_WPSOffice_Level3"/>
      <w:r>
        <w:rPr>
          <w:rFonts w:hint="eastAsia" w:ascii="方正仿宋_GBK" w:hAnsi="方正仿宋_GBK" w:eastAsia="方正仿宋_GBK" w:cs="方正仿宋_GBK"/>
          <w:b/>
          <w:bCs/>
          <w:color w:val="auto"/>
          <w:kern w:val="0"/>
          <w:sz w:val="32"/>
          <w:szCs w:val="32"/>
          <w:highlight w:val="none"/>
          <w:lang w:val="en-US" w:eastAsia="zh-CN" w:bidi="ar"/>
        </w:rPr>
        <w:t>（5）B202制度执行有效性</w:t>
      </w:r>
      <w:bookmarkEnd w:id="205"/>
      <w:r>
        <w:rPr>
          <w:rFonts w:hint="eastAsia" w:ascii="方正仿宋_GBK" w:hAnsi="方正仿宋_GBK" w:eastAsia="方正仿宋_GBK" w:cs="方正仿宋_GBK"/>
          <w:b/>
          <w:bCs/>
          <w:color w:val="auto"/>
          <w:kern w:val="0"/>
          <w:sz w:val="32"/>
          <w:szCs w:val="32"/>
          <w:highlight w:val="none"/>
          <w:lang w:val="en-US" w:eastAsia="zh-CN" w:bidi="ar"/>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仿宋_GBK" w:hAnsi="方正仿宋_GBK" w:eastAsia="方正仿宋_GBK" w:cs="方正仿宋_GBK"/>
          <w:b w:val="0"/>
          <w:bCs w:val="0"/>
          <w:color w:val="auto"/>
          <w:kern w:val="0"/>
          <w:sz w:val="32"/>
          <w:szCs w:val="32"/>
          <w:highlight w:val="none"/>
          <w:lang w:val="en-US" w:eastAsia="zh-CN" w:bidi="ar"/>
        </w:rPr>
      </w:pPr>
      <w:r>
        <w:rPr>
          <w:rFonts w:hint="eastAsia" w:ascii="方正仿宋_GBK" w:hAnsi="方正仿宋_GBK" w:eastAsia="方正仿宋_GBK" w:cs="方正仿宋_GBK"/>
          <w:b w:val="0"/>
          <w:bCs w:val="0"/>
          <w:color w:val="auto"/>
          <w:kern w:val="0"/>
          <w:sz w:val="32"/>
          <w:szCs w:val="32"/>
          <w:highlight w:val="none"/>
          <w:lang w:val="en-US" w:eastAsia="zh-CN" w:bidi="ar"/>
        </w:rPr>
        <w:t>伽师县自然资源局的业务开展工作以《</w:t>
      </w:r>
      <w:r>
        <w:rPr>
          <w:rFonts w:hint="default" w:ascii="Times New Roman" w:hAnsi="Times New Roman" w:eastAsia="仿宋_GB2312" w:cs="Times New Roman"/>
          <w:color w:val="auto"/>
          <w:sz w:val="32"/>
          <w:szCs w:val="32"/>
        </w:rPr>
        <w:t>伽师县克孜勒博依镇生态综合整治项目</w:t>
      </w:r>
      <w:r>
        <w:rPr>
          <w:rFonts w:hint="eastAsia" w:ascii="方正仿宋_GBK" w:hAnsi="方正仿宋_GBK" w:eastAsia="方正仿宋_GBK" w:cs="方正仿宋_GBK"/>
          <w:b w:val="0"/>
          <w:bCs w:val="0"/>
          <w:color w:val="auto"/>
          <w:kern w:val="0"/>
          <w:sz w:val="32"/>
          <w:szCs w:val="32"/>
          <w:highlight w:val="none"/>
          <w:lang w:val="en-US" w:eastAsia="zh-CN" w:bidi="ar"/>
        </w:rPr>
        <w:t>实施方案》、《伽师县自然资源局财务管理制度》等文件为依据，以上制度文件对项目实施内容、项目管理、资金管理等方面做了详细明确的规定，从项目工作流程上也做出工作要求，保证了项目实施的规范性。</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left"/>
        <w:textAlignment w:val="auto"/>
        <w:outlineLvl w:val="1"/>
        <w:rPr>
          <w:rFonts w:hint="eastAsia" w:ascii="方正黑体_GBK" w:hAnsi="方正黑体_GBK" w:eastAsia="方正黑体_GBK" w:cs="方正黑体_GBK"/>
          <w:b w:val="0"/>
          <w:bCs/>
          <w:color w:val="auto"/>
          <w:kern w:val="0"/>
          <w:sz w:val="32"/>
          <w:szCs w:val="32"/>
          <w:highlight w:val="none"/>
        </w:rPr>
      </w:pPr>
      <w:r>
        <w:rPr>
          <w:rFonts w:hint="eastAsia" w:ascii="方正仿宋_GBK" w:hAnsi="方正仿宋_GBK" w:eastAsia="方正仿宋_GBK" w:cs="方正仿宋_GBK"/>
          <w:b w:val="0"/>
          <w:bCs w:val="0"/>
          <w:color w:val="auto"/>
          <w:kern w:val="0"/>
          <w:sz w:val="32"/>
          <w:szCs w:val="32"/>
          <w:highlight w:val="none"/>
          <w:lang w:val="en-US" w:eastAsia="zh-CN" w:bidi="ar"/>
        </w:rPr>
        <w:t>该项指标满分为3分，根据评分标准得3分。</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70" w:lineRule="exact"/>
        <w:ind w:firstLine="643" w:firstLineChars="200"/>
        <w:textAlignment w:val="baseline"/>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206" w:name="_Toc43"/>
      <w:bookmarkStart w:id="207" w:name="_Toc3676_WPSOffice_Level2"/>
      <w:bookmarkStart w:id="208" w:name="_Toc17737_WPSOffice_Level2"/>
      <w:bookmarkStart w:id="209" w:name="_Toc13975_WPSOffice_Level2"/>
      <w:r>
        <w:rPr>
          <w:rFonts w:hint="eastAsia" w:ascii="方正楷体_GBK" w:hAnsi="方正楷体_GBK" w:eastAsia="方正楷体_GBK" w:cs="方正楷体_GBK"/>
          <w:b/>
          <w:bCs w:val="0"/>
          <w:color w:val="auto"/>
          <w:kern w:val="0"/>
          <w:sz w:val="32"/>
          <w:szCs w:val="32"/>
          <w:highlight w:val="none"/>
          <w:lang w:val="en-US" w:eastAsia="zh-CN"/>
        </w:rPr>
        <w:t>（三）项目</w:t>
      </w:r>
      <w:bookmarkEnd w:id="206"/>
      <w:r>
        <w:rPr>
          <w:rFonts w:hint="eastAsia" w:ascii="方正楷体_GBK" w:hAnsi="方正楷体_GBK" w:eastAsia="方正楷体_GBK" w:cs="方正楷体_GBK"/>
          <w:b/>
          <w:bCs w:val="0"/>
          <w:color w:val="auto"/>
          <w:kern w:val="0"/>
          <w:sz w:val="32"/>
          <w:szCs w:val="32"/>
          <w:highlight w:val="none"/>
          <w:lang w:val="en-US" w:eastAsia="zh-CN"/>
        </w:rPr>
        <w:t>产出情况</w:t>
      </w:r>
      <w:bookmarkEnd w:id="207"/>
      <w:bookmarkEnd w:id="208"/>
      <w:bookmarkEnd w:id="209"/>
    </w:p>
    <w:p>
      <w:pPr>
        <w:pageBreakBefore w:val="0"/>
        <w:kinsoku/>
        <w:wordWrap/>
        <w:topLinePunct w:val="0"/>
        <w:autoSpaceDE/>
        <w:bidi w:val="0"/>
        <w:spacing w:line="57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rPr>
        <w:t>项目产出类指标包括产出数量、产出质量、产出时效、产出成本四方面的内容，由</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个三级指标构成，权重分为</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分，实际得分</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rPr>
        <w:t>分，得分率为</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各指标业绩值和绩效分值如下表所示。</w:t>
      </w:r>
    </w:p>
    <w:p>
      <w:pPr>
        <w:pageBreakBefore w:val="0"/>
        <w:kinsoku/>
        <w:wordWrap/>
        <w:topLinePunct w:val="0"/>
        <w:autoSpaceDE/>
        <w:autoSpaceDN/>
        <w:bidi w:val="0"/>
        <w:spacing w:line="57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表4-3：项目产出指标及分值</w:t>
      </w:r>
    </w:p>
    <w:tbl>
      <w:tblPr>
        <w:tblStyle w:val="11"/>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45"/>
        <w:gridCol w:w="1065"/>
        <w:gridCol w:w="1370"/>
        <w:gridCol w:w="1302"/>
        <w:gridCol w:w="1302"/>
        <w:gridCol w:w="637"/>
        <w:gridCol w:w="914"/>
        <w:gridCol w:w="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40" w:hRule="atLeast"/>
        </w:trPr>
        <w:tc>
          <w:tcPr>
            <w:tcW w:w="104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106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370"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130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1302"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637"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91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实际得分</w:t>
            </w:r>
          </w:p>
        </w:tc>
        <w:tc>
          <w:tcPr>
            <w:tcW w:w="696"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0" w:hRule="atLeast"/>
        </w:trPr>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C产出（40）</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C1产出数量（20）</w:t>
            </w:r>
          </w:p>
        </w:tc>
        <w:tc>
          <w:tcPr>
            <w:tcW w:w="137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C101</w:t>
            </w:r>
            <w:r>
              <w:rPr>
                <w:rFonts w:hint="default" w:ascii="宋体" w:hAnsi="宋体" w:eastAsia="宋体" w:cs="宋体"/>
                <w:b/>
                <w:i w:val="0"/>
                <w:color w:val="000000"/>
                <w:kern w:val="0"/>
                <w:sz w:val="22"/>
                <w:szCs w:val="22"/>
                <w:u w:val="none"/>
                <w:lang w:val="en-US" w:eastAsia="zh-CN" w:bidi="ar"/>
              </w:rPr>
              <w:t>实施现代农业产业园面积（亩）</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&gt;=24113.43</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24113.43</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C2产出质量（5）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Style w:val="14"/>
                <w:rFonts w:hint="eastAsia" w:asciiTheme="minorEastAsia" w:hAnsiTheme="minorEastAsia" w:eastAsiaTheme="minorEastAsia" w:cstheme="minorEastAsia"/>
                <w:b/>
                <w:bCs/>
                <w:i w:val="0"/>
                <w:color w:val="auto"/>
                <w:spacing w:val="0"/>
                <w:w w:val="100"/>
                <w:kern w:val="2"/>
                <w:sz w:val="22"/>
                <w:szCs w:val="24"/>
                <w:lang w:val="en-US" w:eastAsia="zh-CN" w:bidi="ar-SA"/>
              </w:rPr>
            </w:pPr>
            <w:r>
              <w:rPr>
                <w:rStyle w:val="14"/>
                <w:rFonts w:hint="eastAsia" w:asciiTheme="minorEastAsia" w:hAnsiTheme="minorEastAsia" w:eastAsiaTheme="minorEastAsia" w:cstheme="minorEastAsia"/>
                <w:b/>
                <w:bCs/>
                <w:i w:val="0"/>
                <w:color w:val="auto"/>
                <w:spacing w:val="0"/>
                <w:w w:val="100"/>
                <w:kern w:val="2"/>
                <w:sz w:val="22"/>
                <w:szCs w:val="24"/>
                <w:lang w:val="en-US" w:eastAsia="zh-CN" w:bidi="ar-SA"/>
              </w:rPr>
              <w:t>C201项目资金支付率（%）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2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14"/>
                <w:rFonts w:hint="eastAsia" w:asciiTheme="minorEastAsia" w:hAnsiTheme="minorEastAsia" w:eastAsiaTheme="minorEastAsia" w:cstheme="minorEastAsia"/>
                <w:b/>
                <w:bCs/>
                <w:i w:val="0"/>
                <w:color w:val="auto"/>
                <w:spacing w:val="0"/>
                <w:w w:val="100"/>
                <w:kern w:val="2"/>
                <w:sz w:val="22"/>
                <w:szCs w:val="24"/>
                <w:lang w:val="en-US" w:eastAsia="zh-CN" w:bidi="ar-SA"/>
              </w:rPr>
              <w:t>C</w:t>
            </w:r>
            <w:r>
              <w:rPr>
                <w:rStyle w:val="14"/>
                <w:rFonts w:hint="eastAsia" w:asciiTheme="minorEastAsia" w:hAnsiTheme="minorEastAsia" w:eastAsiaTheme="minorEastAsia" w:cstheme="minorEastAsia"/>
                <w:b/>
                <w:bCs/>
                <w:i w:val="0"/>
                <w:caps w:val="0"/>
                <w:color w:val="auto"/>
                <w:spacing w:val="0"/>
                <w:w w:val="100"/>
                <w:kern w:val="2"/>
                <w:sz w:val="22"/>
                <w:szCs w:val="24"/>
                <w:lang w:val="en-US" w:eastAsia="zh-CN" w:bidi="ar-SA"/>
              </w:rPr>
              <w:t>202</w:t>
            </w:r>
            <w:r>
              <w:rPr>
                <w:rFonts w:hint="eastAsia" w:ascii="宋体" w:hAnsi="宋体" w:eastAsia="宋体" w:cs="宋体"/>
                <w:b/>
                <w:i w:val="0"/>
                <w:color w:val="000000"/>
                <w:kern w:val="0"/>
                <w:sz w:val="22"/>
                <w:szCs w:val="22"/>
                <w:u w:val="none"/>
                <w:lang w:val="en-US" w:eastAsia="zh-CN" w:bidi="ar"/>
              </w:rPr>
              <w:t>项目验收合格率（%</w:t>
            </w:r>
            <w:r>
              <w:rPr>
                <w:rFonts w:hint="eastAsia" w:asciiTheme="minorEastAsia" w:hAnsiTheme="minorEastAsia" w:eastAsiaTheme="minorEastAsia" w:cstheme="minorEastAsia"/>
                <w:b/>
                <w:bCs/>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w:t>
            </w:r>
            <w:r>
              <w:rPr>
                <w:rFonts w:hint="eastAsia" w:ascii="宋体" w:hAnsi="宋体" w:eastAsia="宋体" w:cs="宋体"/>
                <w:b/>
                <w:i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C3产出时效（5）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301</w:t>
            </w:r>
            <w:r>
              <w:rPr>
                <w:rFonts w:hint="default" w:ascii="宋体" w:hAnsi="宋体" w:eastAsia="宋体" w:cs="宋体"/>
                <w:b/>
                <w:i w:val="0"/>
                <w:color w:val="000000"/>
                <w:kern w:val="0"/>
                <w:sz w:val="22"/>
                <w:szCs w:val="22"/>
                <w:u w:val="none"/>
                <w:lang w:val="en-US" w:eastAsia="zh-CN" w:bidi="ar"/>
              </w:rPr>
              <w:t>项目按计划开工时间（月）</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rPr>
              <w:t>&lt;=1</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1</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kern w:val="0"/>
                <w:sz w:val="22"/>
                <w:szCs w:val="22"/>
                <w:u w:val="none"/>
                <w:lang w:val="en-US" w:eastAsia="zh-CN" w:bidi="ar"/>
              </w:rPr>
            </w:pPr>
            <w:r>
              <w:rPr>
                <w:rFonts w:hint="default" w:ascii="宋体" w:hAnsi="宋体" w:eastAsia="宋体" w:cs="宋体"/>
                <w:b/>
                <w:i w:val="0"/>
                <w:color w:val="000000"/>
                <w:kern w:val="0"/>
                <w:sz w:val="22"/>
                <w:szCs w:val="22"/>
                <w:u w:val="none"/>
                <w:lang w:val="en-US" w:eastAsia="zh-CN" w:bidi="ar"/>
              </w:rPr>
              <w:t>C</w:t>
            </w:r>
            <w:r>
              <w:rPr>
                <w:rFonts w:hint="eastAsia" w:ascii="宋体" w:hAnsi="宋体" w:cs="宋体"/>
                <w:b/>
                <w:i w:val="0"/>
                <w:color w:val="000000"/>
                <w:kern w:val="0"/>
                <w:sz w:val="22"/>
                <w:szCs w:val="22"/>
                <w:u w:val="none"/>
                <w:lang w:val="en-US" w:eastAsia="zh-CN" w:bidi="ar"/>
              </w:rPr>
              <w:t>302</w:t>
            </w:r>
            <w:r>
              <w:rPr>
                <w:rFonts w:hint="eastAsia" w:ascii="宋体" w:hAnsi="宋体" w:eastAsia="宋体" w:cs="宋体"/>
                <w:b/>
                <w:i w:val="0"/>
                <w:color w:val="000000"/>
                <w:kern w:val="0"/>
                <w:sz w:val="22"/>
                <w:szCs w:val="22"/>
                <w:u w:val="none"/>
                <w:lang w:val="en-US" w:eastAsia="zh-CN" w:bidi="ar"/>
              </w:rPr>
              <w:t>项目按计划完工时间（月）</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&lt;=12</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sz w:val="22"/>
                <w:szCs w:val="22"/>
                <w:u w:val="none"/>
                <w:lang w:val="en-US" w:eastAsia="zh-CN"/>
              </w:rPr>
              <w:t>12</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4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C4产出成本（10）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C401项目预算控制率（%）</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100%</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40" w:hRule="atLeast"/>
        </w:trPr>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cs="宋体"/>
                <w:b/>
                <w:i w:val="0"/>
                <w:color w:val="000000"/>
                <w:kern w:val="0"/>
                <w:sz w:val="22"/>
                <w:szCs w:val="22"/>
                <w:u w:val="none"/>
                <w:lang w:val="en-US" w:eastAsia="zh-CN" w:bidi="ar"/>
              </w:rPr>
            </w:pPr>
            <w:r>
              <w:rPr>
                <w:rFonts w:hint="eastAsia" w:ascii="宋体" w:hAnsi="宋体" w:cs="宋体"/>
                <w:b/>
                <w:i w:val="0"/>
                <w:color w:val="000000"/>
                <w:kern w:val="0"/>
                <w:sz w:val="22"/>
                <w:szCs w:val="22"/>
                <w:u w:val="none"/>
                <w:lang w:val="en-US" w:eastAsia="zh-CN" w:bidi="ar"/>
              </w:rPr>
              <w:t>C402疆内大学生补助标准（元/人）</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&lt;=3658.4</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3658.4</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100</w:t>
            </w:r>
            <w:r>
              <w:rPr>
                <w:rFonts w:hint="eastAsia" w:ascii="宋体" w:hAnsi="宋体" w:eastAsia="宋体" w:cs="宋体"/>
                <w:b/>
                <w:i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rPr>
        <w:tc>
          <w:tcPr>
            <w:tcW w:w="348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40</w:t>
            </w:r>
          </w:p>
        </w:tc>
        <w:tc>
          <w:tcPr>
            <w:tcW w:w="9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40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100</w:t>
            </w:r>
            <w:r>
              <w:rPr>
                <w:rFonts w:hint="eastAsia" w:ascii="宋体" w:hAnsi="宋体" w:eastAsia="宋体" w:cs="宋体"/>
                <w:b/>
                <w:i w:val="0"/>
                <w:color w:val="000000"/>
                <w:kern w:val="0"/>
                <w:sz w:val="22"/>
                <w:szCs w:val="22"/>
                <w:u w:val="none"/>
                <w:lang w:val="en-US" w:eastAsia="zh-CN" w:bidi="ar"/>
              </w:rPr>
              <w:t>%</w:t>
            </w:r>
          </w:p>
        </w:tc>
      </w:tr>
    </w:tbl>
    <w:p>
      <w:pPr>
        <w:pageBreakBefore w:val="0"/>
        <w:kinsoku/>
        <w:wordWrap/>
        <w:topLinePunct w:val="0"/>
        <w:autoSpaceDE/>
        <w:autoSpaceDN/>
        <w:bidi w:val="0"/>
        <w:spacing w:line="570" w:lineRule="exact"/>
        <w:ind w:firstLine="643" w:firstLineChars="200"/>
        <w:rPr>
          <w:rFonts w:hint="eastAsia" w:ascii="方正仿宋_GBK" w:hAnsi="方正仿宋_GBK" w:eastAsia="方正仿宋_GBK" w:cs="方正仿宋_GBK"/>
          <w:b/>
          <w:bCs/>
          <w:i w:val="0"/>
          <w:iCs w:val="0"/>
          <w:color w:val="auto"/>
          <w:sz w:val="32"/>
          <w:szCs w:val="32"/>
          <w:lang w:val="en-US" w:eastAsia="zh-CN"/>
        </w:rPr>
      </w:pPr>
      <w:r>
        <w:rPr>
          <w:rFonts w:hint="eastAsia" w:ascii="方正仿宋_GBK" w:hAnsi="方正仿宋_GBK" w:eastAsia="方正仿宋_GBK" w:cs="方正仿宋_GBK"/>
          <w:b/>
          <w:bCs/>
          <w:i w:val="0"/>
          <w:iCs w:val="0"/>
          <w:color w:val="auto"/>
          <w:sz w:val="32"/>
          <w:szCs w:val="32"/>
          <w:lang w:val="en-US" w:eastAsia="zh-CN"/>
        </w:rPr>
        <w:t>指标得分分析：</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210" w:name="_Toc31819_WPSOffice_Level3"/>
      <w:r>
        <w:rPr>
          <w:rFonts w:hint="eastAsia" w:ascii="方正仿宋_GBK" w:hAnsi="方正仿宋_GBK" w:eastAsia="方正仿宋_GBK" w:cs="方正仿宋_GBK"/>
          <w:b/>
          <w:bCs w:val="0"/>
          <w:color w:val="auto"/>
          <w:kern w:val="0"/>
          <w:sz w:val="32"/>
          <w:szCs w:val="32"/>
          <w:highlight w:val="none"/>
          <w:lang w:val="en-US" w:eastAsia="zh-CN"/>
        </w:rPr>
        <w:t>C1产出数量方面</w:t>
      </w:r>
      <w:bookmarkEnd w:id="210"/>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（1）C101疆外符合条件大学生数指标：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Style w:val="14"/>
          <w:rFonts w:hint="eastAsia" w:ascii="方正仿宋_GBK" w:hAnsi="方正仿宋_GBK" w:eastAsia="方正仿宋_GBK" w:cs="方正仿宋_GBK"/>
          <w:b w:val="0"/>
          <w:bCs w:val="0"/>
          <w:i w:val="0"/>
          <w:caps w:val="0"/>
          <w:color w:val="auto"/>
          <w:spacing w:val="0"/>
          <w:w w:val="100"/>
          <w:kern w:val="0"/>
          <w:sz w:val="32"/>
          <w:szCs w:val="32"/>
          <w:highlight w:val="none"/>
          <w:lang w:val="en-US" w:eastAsia="zh-CN" w:bidi="ar-SA"/>
        </w:rPr>
        <w:t>根据项目验收单核查确认，该项目2022年共完成现代农业产业园面积24113.43亩。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211" w:name="_Toc4185_WPSOffice_Level3"/>
      <w:r>
        <w:rPr>
          <w:rFonts w:hint="eastAsia" w:ascii="方正仿宋_GBK" w:hAnsi="方正仿宋_GBK" w:eastAsia="方正仿宋_GBK" w:cs="方正仿宋_GBK"/>
          <w:b/>
          <w:bCs w:val="0"/>
          <w:color w:val="auto"/>
          <w:kern w:val="0"/>
          <w:sz w:val="32"/>
          <w:szCs w:val="32"/>
          <w:highlight w:val="none"/>
          <w:lang w:val="en-US" w:eastAsia="zh-CN"/>
        </w:rPr>
        <w:t>C2产出质量方面</w:t>
      </w:r>
      <w:bookmarkEnd w:id="211"/>
    </w:p>
    <w:p>
      <w:pPr>
        <w:pStyle w:val="18"/>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C201项目资金支付率指标指标：</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Style w:val="14"/>
          <w:rFonts w:hint="eastAsia" w:ascii="方正仿宋_GBK" w:hAnsi="方正仿宋_GBK" w:eastAsia="方正仿宋_GBK" w:cs="方正仿宋_GBK"/>
          <w:b w:val="0"/>
          <w:bCs w:val="0"/>
          <w:i w:val="0"/>
          <w:caps w:val="0"/>
          <w:color w:val="auto"/>
          <w:spacing w:val="0"/>
          <w:w w:val="100"/>
          <w:kern w:val="0"/>
          <w:sz w:val="32"/>
          <w:szCs w:val="32"/>
          <w:highlight w:val="none"/>
          <w:lang w:val="en-US" w:eastAsia="zh-CN" w:bidi="ar-SA"/>
        </w:rPr>
        <w:t>根据项目验收单核查确认，该项目资金支付率100%。</w:t>
      </w: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8"/>
        <w:keepNext w:val="0"/>
        <w:keepLines w:val="0"/>
        <w:pageBreakBefore w:val="0"/>
        <w:widowControl w:val="0"/>
        <w:numPr>
          <w:ilvl w:val="0"/>
          <w:numId w:val="5"/>
        </w:numPr>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C202项目验收合格率指标：</w:t>
      </w:r>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方正仿宋_GBK" w:hAnsi="方正仿宋_GBK" w:eastAsia="方正仿宋_GBK" w:cs="方正仿宋_GBK"/>
          <w:b w:val="0"/>
          <w:bCs/>
          <w:color w:val="auto"/>
          <w:kern w:val="0"/>
          <w:sz w:val="32"/>
          <w:szCs w:val="32"/>
          <w:highlight w:val="none"/>
          <w:lang w:val="en-US" w:eastAsia="zh-CN"/>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根据项目验收单核查确认，</w:t>
      </w:r>
      <w:r>
        <w:rPr>
          <w:rStyle w:val="14"/>
          <w:rFonts w:hint="eastAsia" w:ascii="方正仿宋_GBK" w:hAnsi="方正仿宋_GBK" w:eastAsia="方正仿宋_GBK" w:cs="方正仿宋_GBK"/>
          <w:b w:val="0"/>
          <w:bCs w:val="0"/>
          <w:i w:val="0"/>
          <w:caps w:val="0"/>
          <w:color w:val="auto"/>
          <w:spacing w:val="0"/>
          <w:w w:val="100"/>
          <w:kern w:val="0"/>
          <w:sz w:val="32"/>
          <w:szCs w:val="32"/>
          <w:highlight w:val="none"/>
          <w:lang w:val="en-US" w:eastAsia="zh-CN" w:bidi="ar-SA"/>
        </w:rPr>
        <w:t>该项目竣工验收合格率100%。该项指标满分为6分，根据评分标准得6分。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212" w:name="_Toc1182_WPSOffice_Level3"/>
      <w:r>
        <w:rPr>
          <w:rFonts w:hint="eastAsia" w:ascii="方正仿宋_GBK" w:hAnsi="方正仿宋_GBK" w:eastAsia="方正仿宋_GBK" w:cs="方正仿宋_GBK"/>
          <w:b/>
          <w:bCs w:val="0"/>
          <w:color w:val="auto"/>
          <w:kern w:val="0"/>
          <w:sz w:val="32"/>
          <w:szCs w:val="32"/>
          <w:highlight w:val="none"/>
          <w:lang w:val="en-US" w:eastAsia="zh-CN"/>
        </w:rPr>
        <w:t>C3产出时效方面</w:t>
      </w:r>
      <w:bookmarkEnd w:id="212"/>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（1）C301项目按计划开工时间指标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根据项目开工报告核查分析，2022年伽师县克孜勒博依生态综合整治工程开工时间为2022年1月</w:t>
      </w: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（2）C302项目按计划完工时间（月）指标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根据项目开工报告核查分析，2022年伽师县克孜勒博依生态综合整治工程开工时间为2022年12月</w:t>
      </w:r>
      <w:r>
        <w:rPr>
          <w:rFonts w:hint="eastAsia" w:ascii="方正仿宋_GBK" w:hAnsi="方正仿宋_GBK" w:eastAsia="方正仿宋_GBK" w:cs="方正仿宋_GBK"/>
          <w:b w:val="0"/>
          <w:bCs/>
          <w:color w:val="auto"/>
          <w:kern w:val="0"/>
          <w:sz w:val="32"/>
          <w:szCs w:val="32"/>
          <w:highlight w:val="none"/>
          <w:lang w:val="en-US" w:eastAsia="zh-CN"/>
        </w:rPr>
        <w:t>该指标满分为6分，根据评分标准得6分。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bCs w:val="0"/>
          <w:color w:val="auto"/>
          <w:kern w:val="0"/>
          <w:sz w:val="32"/>
          <w:szCs w:val="32"/>
          <w:highlight w:val="none"/>
          <w:lang w:val="en-US" w:eastAsia="zh-CN"/>
        </w:rPr>
      </w:pPr>
      <w:bookmarkStart w:id="213" w:name="_Toc10096_WPSOffice_Level3"/>
      <w:r>
        <w:rPr>
          <w:rFonts w:hint="eastAsia" w:ascii="方正仿宋_GBK" w:hAnsi="方正仿宋_GBK" w:eastAsia="方正仿宋_GBK" w:cs="方正仿宋_GBK"/>
          <w:b/>
          <w:bCs w:val="0"/>
          <w:color w:val="auto"/>
          <w:kern w:val="0"/>
          <w:sz w:val="32"/>
          <w:szCs w:val="32"/>
          <w:highlight w:val="none"/>
          <w:lang w:val="en-US" w:eastAsia="zh-CN"/>
        </w:rPr>
        <w:t>C4产出成本方面</w:t>
      </w:r>
      <w:bookmarkEnd w:id="213"/>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（1）C401项目预算控制率指标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经查看支付凭证，该项目预算控制率100%，该指标满分为5分，根据评分标准得5分。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（2）C402每亩投入成本（元/亩）指标</w:t>
      </w:r>
      <w:r>
        <w:rPr>
          <w:rFonts w:hint="eastAsia" w:ascii="方正仿宋_GBK" w:hAnsi="方正仿宋_GBK" w:eastAsia="方正仿宋_GBK" w:cs="方正仿宋_GBK"/>
          <w:b w:val="0"/>
          <w:bCs/>
          <w:color w:val="auto"/>
          <w:kern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经查看支付凭证，该项目2022年已按3658.4元/亩的标准实施现代农业产业园，根据评分标准，得满分。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1"/>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1"/>
        <w:rPr>
          <w:rFonts w:hint="eastAsia" w:ascii="方正楷体_GBK" w:hAnsi="方正楷体_GBK" w:eastAsia="方正楷体_GBK" w:cs="方正楷体_GBK"/>
          <w:b/>
          <w:bCs w:val="0"/>
          <w:color w:val="auto"/>
          <w:kern w:val="0"/>
          <w:sz w:val="32"/>
          <w:szCs w:val="32"/>
          <w:highlight w:val="none"/>
          <w:lang w:val="en-US" w:eastAsia="zh-CN"/>
        </w:rPr>
      </w:pPr>
      <w:bookmarkStart w:id="214" w:name="_Toc6622_WPSOffice_Level2"/>
      <w:bookmarkStart w:id="215" w:name="_Toc1645_WPSOffice_Level2"/>
      <w:bookmarkStart w:id="216" w:name="_Toc28810_WPSOffice_Level2"/>
      <w:r>
        <w:rPr>
          <w:rFonts w:hint="eastAsia" w:ascii="方正楷体_GBK" w:hAnsi="方正楷体_GBK" w:eastAsia="方正楷体_GBK" w:cs="方正楷体_GBK"/>
          <w:b/>
          <w:bCs w:val="0"/>
          <w:color w:val="auto"/>
          <w:kern w:val="0"/>
          <w:sz w:val="32"/>
          <w:szCs w:val="32"/>
          <w:highlight w:val="none"/>
          <w:lang w:val="en-US" w:eastAsia="zh-CN"/>
        </w:rPr>
        <w:t>（四）项目效益情况</w:t>
      </w:r>
      <w:bookmarkEnd w:id="214"/>
      <w:bookmarkEnd w:id="215"/>
      <w:bookmarkEnd w:id="216"/>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jc w:val="center"/>
        <w:textAlignment w:val="baseline"/>
        <w:rPr>
          <w:rFonts w:hint="eastAsia" w:ascii="方正仿宋_GBK" w:hAnsi="方正仿宋_GBK" w:eastAsia="方正仿宋_GBK" w:cs="方正仿宋_GBK"/>
          <w:b w:val="0"/>
          <w:bCs/>
          <w:color w:val="auto"/>
          <w:kern w:val="0"/>
          <w:sz w:val="32"/>
          <w:szCs w:val="32"/>
          <w:highlight w:val="none"/>
        </w:rPr>
      </w:pPr>
      <w:r>
        <w:rPr>
          <w:rFonts w:hint="eastAsia" w:ascii="方正仿宋_GBK" w:hAnsi="方正仿宋_GBK" w:eastAsia="方正仿宋_GBK" w:cs="方正仿宋_GBK"/>
          <w:b w:val="0"/>
          <w:bCs/>
          <w:color w:val="auto"/>
          <w:kern w:val="0"/>
          <w:sz w:val="32"/>
          <w:szCs w:val="32"/>
          <w:highlight w:val="none"/>
          <w:lang w:val="en-US" w:eastAsia="zh-CN"/>
        </w:rPr>
        <w:t>项目效益指标由1个二级指标和3个三级指标构成，权重分值20分，实际得分20分。各指标业绩值和绩效分值如下表所示：表4-4：项目效益指标及分值</w:t>
      </w:r>
    </w:p>
    <w:tbl>
      <w:tblPr>
        <w:tblStyle w:val="11"/>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1"/>
        <w:gridCol w:w="1315"/>
        <w:gridCol w:w="1315"/>
        <w:gridCol w:w="994"/>
        <w:gridCol w:w="994"/>
        <w:gridCol w:w="673"/>
        <w:gridCol w:w="1315"/>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0" w:hRule="atLeast"/>
        </w:trPr>
        <w:tc>
          <w:tcPr>
            <w:tcW w:w="731" w:type="dxa"/>
            <w:tcBorders>
              <w:top w:val="single" w:color="000000" w:sz="4" w:space="0"/>
              <w:left w:val="single" w:color="000000" w:sz="4" w:space="0"/>
              <w:bottom w:val="single" w:color="000000" w:sz="4" w:space="0"/>
              <w:right w:val="single" w:color="000000" w:sz="4"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一级指标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二级指标</w:t>
            </w:r>
          </w:p>
        </w:tc>
        <w:tc>
          <w:tcPr>
            <w:tcW w:w="131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三级指标</w:t>
            </w:r>
          </w:p>
        </w:tc>
        <w:tc>
          <w:tcPr>
            <w:tcW w:w="99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标杆值</w:t>
            </w:r>
          </w:p>
        </w:tc>
        <w:tc>
          <w:tcPr>
            <w:tcW w:w="99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业绩值</w:t>
            </w:r>
          </w:p>
        </w:tc>
        <w:tc>
          <w:tcPr>
            <w:tcW w:w="673"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权重</w:t>
            </w:r>
          </w:p>
        </w:tc>
        <w:tc>
          <w:tcPr>
            <w:tcW w:w="1315"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实际得分</w:t>
            </w:r>
          </w:p>
        </w:tc>
        <w:tc>
          <w:tcPr>
            <w:tcW w:w="994" w:type="dxa"/>
            <w:tcBorders>
              <w:top w:val="single" w:color="000000" w:sz="4" w:space="0"/>
              <w:left w:val="single" w:color="000000" w:sz="4" w:space="0"/>
              <w:bottom w:val="single" w:color="000000" w:sz="4" w:space="0"/>
              <w:right w:val="single" w:color="000000" w:sz="4" w:space="0"/>
            </w:tcBorders>
            <w:shd w:val="clear" w:color="auto" w:fill="BFBFBF"/>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32"/>
                <w:szCs w:val="32"/>
                <w:u w:val="none"/>
              </w:rPr>
            </w:pPr>
            <w:r>
              <w:rPr>
                <w:rFonts w:hint="eastAsia" w:ascii="方正仿宋_GBK" w:hAnsi="方正仿宋_GBK" w:eastAsia="方正仿宋_GBK" w:cs="方正仿宋_GBK"/>
                <w:b/>
                <w:i w:val="0"/>
                <w:color w:val="000000"/>
                <w:kern w:val="0"/>
                <w:sz w:val="32"/>
                <w:szCs w:val="32"/>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73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D效益（20）</w:t>
            </w:r>
          </w:p>
        </w:tc>
        <w:tc>
          <w:tcPr>
            <w:tcW w:w="131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D1项目效益(5)</w:t>
            </w:r>
          </w:p>
        </w:tc>
        <w:tc>
          <w:tcPr>
            <w:tcW w:w="13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w:t>
            </w:r>
            <w:r>
              <w:rPr>
                <w:rFonts w:hint="eastAsia" w:ascii="宋体" w:hAnsi="宋体" w:cs="宋体"/>
                <w:b/>
                <w:i w:val="0"/>
                <w:color w:val="000000"/>
                <w:kern w:val="0"/>
                <w:sz w:val="22"/>
                <w:szCs w:val="22"/>
                <w:u w:val="none"/>
                <w:lang w:val="en-US" w:eastAsia="zh-CN" w:bidi="ar"/>
              </w:rPr>
              <w:t>1实施农业产业园建设促进农林牧发展</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有所提升</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ascii="宋体" w:hAnsi="宋体" w:cs="宋体"/>
                <w:b/>
                <w:i w:val="0"/>
                <w:color w:val="000000"/>
                <w:sz w:val="22"/>
                <w:szCs w:val="22"/>
                <w:u w:val="none"/>
                <w:lang w:eastAsia="zh-CN"/>
              </w:rPr>
              <w:t>有所提升</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D102项目区水土流失改善情况</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ascii="宋体" w:hAnsi="宋体" w:cs="宋体"/>
                <w:b/>
                <w:i w:val="0"/>
                <w:color w:val="000000"/>
                <w:sz w:val="22"/>
                <w:szCs w:val="22"/>
                <w:u w:val="none"/>
                <w:lang w:eastAsia="zh-CN"/>
              </w:rPr>
              <w:t>有效改善</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有效改善</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5</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cs="宋体"/>
                <w:b/>
                <w:i w:val="0"/>
                <w:color w:val="000000"/>
                <w:sz w:val="22"/>
                <w:szCs w:val="22"/>
                <w:u w:val="none"/>
                <w:lang w:val="en-US" w:eastAsia="zh-CN"/>
              </w:rPr>
              <w:t>5</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73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D10</w:t>
            </w:r>
            <w:r>
              <w:rPr>
                <w:rFonts w:hint="eastAsia" w:ascii="宋体" w:hAnsi="宋体" w:cs="宋体"/>
                <w:b/>
                <w:i w:val="0"/>
                <w:color w:val="000000"/>
                <w:kern w:val="0"/>
                <w:sz w:val="22"/>
                <w:szCs w:val="22"/>
                <w:u w:val="none"/>
                <w:lang w:val="en-US" w:eastAsia="zh-CN" w:bidi="ar"/>
              </w:rPr>
              <w:t>3</w:t>
            </w:r>
            <w:r>
              <w:rPr>
                <w:rFonts w:hint="eastAsia" w:ascii="宋体" w:hAnsi="宋体" w:eastAsia="宋体" w:cs="宋体"/>
                <w:b/>
                <w:i w:val="0"/>
                <w:color w:val="000000"/>
                <w:kern w:val="0"/>
                <w:sz w:val="22"/>
                <w:szCs w:val="22"/>
                <w:u w:val="none"/>
                <w:lang w:val="en-US" w:eastAsia="zh-CN" w:bidi="ar"/>
              </w:rPr>
              <w:t>受益群众满意度（%）</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&gt;=9</w:t>
            </w:r>
            <w:r>
              <w:rPr>
                <w:rFonts w:hint="eastAsia" w:ascii="宋体" w:hAnsi="宋体" w:cs="宋体"/>
                <w:b/>
                <w:i w:val="0"/>
                <w:color w:val="000000"/>
                <w:kern w:val="0"/>
                <w:sz w:val="22"/>
                <w:szCs w:val="22"/>
                <w:u w:val="none"/>
                <w:lang w:val="en-US" w:eastAsia="zh-CN" w:bidi="ar"/>
              </w:rPr>
              <w:t>5</w:t>
            </w:r>
            <w:r>
              <w:rPr>
                <w:rFonts w:hint="eastAsia" w:ascii="宋体" w:hAnsi="宋体" w:eastAsia="宋体" w:cs="宋体"/>
                <w:b/>
                <w:i w:val="0"/>
                <w:color w:val="000000"/>
                <w:kern w:val="0"/>
                <w:sz w:val="22"/>
                <w:szCs w:val="22"/>
                <w:u w:val="none"/>
                <w:lang w:val="en-US" w:eastAsia="zh-CN" w:bidi="ar"/>
              </w:rPr>
              <w:t>%</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cs="宋体"/>
                <w:b/>
                <w:i w:val="0"/>
                <w:color w:val="000000"/>
                <w:kern w:val="0"/>
                <w:sz w:val="22"/>
                <w:szCs w:val="22"/>
                <w:u w:val="none"/>
                <w:lang w:val="en-US" w:eastAsia="zh-CN" w:bidi="ar"/>
              </w:rPr>
              <w:t>95</w:t>
            </w:r>
            <w:r>
              <w:rPr>
                <w:rFonts w:hint="eastAsia" w:ascii="宋体" w:hAnsi="宋体" w:eastAsia="宋体" w:cs="宋体"/>
                <w:b/>
                <w:i w:val="0"/>
                <w:color w:val="000000"/>
                <w:kern w:val="0"/>
                <w:sz w:val="22"/>
                <w:szCs w:val="22"/>
                <w:u w:val="none"/>
                <w:lang w:val="en-US" w:eastAsia="zh-CN" w:bidi="ar"/>
              </w:rPr>
              <w:t>%</w:t>
            </w: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0" w:hRule="atLeast"/>
        </w:trPr>
        <w:tc>
          <w:tcPr>
            <w:tcW w:w="33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13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w:t>
            </w: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100.00%</w:t>
            </w:r>
          </w:p>
        </w:tc>
      </w:tr>
    </w:tbl>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指标得分分析：</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default" w:ascii="方正仿宋_GBK" w:hAnsi="方正仿宋_GBK" w:eastAsia="方正仿宋_GBK" w:cs="方正仿宋_GBK"/>
          <w:b/>
          <w:bCs w:val="0"/>
          <w:color w:val="auto"/>
          <w:kern w:val="0"/>
          <w:sz w:val="32"/>
          <w:szCs w:val="32"/>
          <w:highlight w:val="none"/>
          <w:lang w:val="en-US" w:eastAsia="zh-CN"/>
        </w:rPr>
      </w:pPr>
      <w:bookmarkStart w:id="217" w:name="_Toc19784_WPSOffice_Level3"/>
      <w:r>
        <w:rPr>
          <w:rFonts w:hint="eastAsia" w:ascii="方正仿宋_GBK" w:hAnsi="方正仿宋_GBK" w:eastAsia="方正仿宋_GBK" w:cs="方正仿宋_GBK"/>
          <w:b/>
          <w:bCs w:val="0"/>
          <w:color w:val="auto"/>
          <w:kern w:val="0"/>
          <w:sz w:val="32"/>
          <w:szCs w:val="32"/>
          <w:highlight w:val="none"/>
          <w:lang w:val="en-US" w:eastAsia="zh-CN"/>
        </w:rPr>
        <w:t>D1项目效益方面</w:t>
      </w:r>
      <w:bookmarkEnd w:id="217"/>
    </w:p>
    <w:p>
      <w:pPr>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（1）D101实施农业产业园建设促进农林牧发展指标：</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经查看国库支付凭证并进行访谈，</w:t>
      </w:r>
      <w:r>
        <w:rPr>
          <w:rFonts w:hint="eastAsia" w:ascii="方正仿宋_GBK" w:hAnsi="方正仿宋_GBK" w:eastAsia="方正仿宋_GBK" w:cs="方正仿宋_GBK"/>
          <w:b w:val="0"/>
          <w:bCs/>
          <w:color w:val="auto"/>
          <w:kern w:val="0"/>
          <w:sz w:val="32"/>
          <w:szCs w:val="32"/>
          <w:highlight w:val="none"/>
          <w:lang w:val="en-US" w:eastAsia="zh-CN" w:bidi="ar"/>
        </w:rPr>
        <w:t>有效治理工程建设防治责任范围内的水土流失。</w:t>
      </w:r>
    </w:p>
    <w:p>
      <w:pPr>
        <w:pStyle w:val="19"/>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keepNext w:val="0"/>
        <w:keepLines w:val="0"/>
        <w:pageBreakBefore w:val="0"/>
        <w:widowControl/>
        <w:numPr>
          <w:ilvl w:val="0"/>
          <w:numId w:val="5"/>
        </w:numPr>
        <w:kinsoku/>
        <w:wordWrap/>
        <w:overflowPunct/>
        <w:topLinePunct w:val="0"/>
        <w:autoSpaceDE/>
        <w:autoSpaceDN/>
        <w:bidi w:val="0"/>
        <w:adjustRightInd/>
        <w:snapToGrid/>
        <w:spacing w:before="0" w:beforeAutospacing="0" w:after="0" w:afterAutospacing="0" w:line="570" w:lineRule="exact"/>
        <w:ind w:left="0" w:leftChars="0" w:firstLine="643" w:firstLineChars="200"/>
        <w:jc w:val="both"/>
        <w:textAlignment w:val="baseline"/>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D102项目区水土流失改善情况指标：</w:t>
      </w:r>
    </w:p>
    <w:p>
      <w:pPr>
        <w:keepNext w:val="0"/>
        <w:keepLines w:val="0"/>
        <w:pageBreakBefore w:val="0"/>
        <w:widowControl/>
        <w:kinsoku/>
        <w:wordWrap/>
        <w:overflowPunct w:val="0"/>
        <w:topLinePunct w:val="0"/>
        <w:autoSpaceDE w:val="0"/>
        <w:autoSpaceDN w:val="0"/>
        <w:bidi w:val="0"/>
        <w:adjustRightInd w:val="0"/>
        <w:snapToGrid/>
        <w:spacing w:beforeAutospacing="0" w:afterAutospacing="0" w:line="560" w:lineRule="exact"/>
        <w:ind w:firstLine="640" w:firstLineChars="200"/>
        <w:textAlignment w:val="baseline"/>
        <w:outlineLvl w:val="2"/>
        <w:rPr>
          <w:rFonts w:hint="eastAsia" w:ascii="方正仿宋_GBK" w:hAnsi="方正仿宋_GBK" w:eastAsia="方正仿宋_GBK" w:cs="方正仿宋_GBK"/>
          <w:b w:val="0"/>
          <w:bCs/>
          <w:color w:val="auto"/>
          <w:kern w:val="0"/>
          <w:sz w:val="32"/>
          <w:szCs w:val="32"/>
          <w:highlight w:val="none"/>
          <w:lang w:val="en-US" w:eastAsia="zh-CN" w:bidi="ar"/>
        </w:rPr>
      </w:pPr>
      <w:r>
        <w:rPr>
          <w:rFonts w:hint="eastAsia" w:ascii="方正仿宋_GBK" w:hAnsi="方正仿宋_GBK" w:eastAsia="方正仿宋_GBK" w:cs="方正仿宋_GBK"/>
          <w:b w:val="0"/>
          <w:bCs/>
          <w:color w:val="auto"/>
          <w:kern w:val="0"/>
          <w:sz w:val="32"/>
          <w:szCs w:val="32"/>
          <w:highlight w:val="none"/>
          <w:lang w:val="en-US" w:eastAsia="zh-CN"/>
        </w:rPr>
        <w:t>经查看国库支付凭证并进行访谈，</w:t>
      </w:r>
      <w:r>
        <w:rPr>
          <w:rFonts w:hint="eastAsia" w:ascii="方正仿宋_GBK" w:hAnsi="方正仿宋_GBK" w:eastAsia="方正仿宋_GBK" w:cs="方正仿宋_GBK"/>
          <w:b w:val="0"/>
          <w:bCs/>
          <w:color w:val="auto"/>
          <w:kern w:val="0"/>
          <w:sz w:val="32"/>
          <w:szCs w:val="32"/>
          <w:highlight w:val="none"/>
          <w:lang w:val="en-US" w:eastAsia="zh-CN" w:bidi="ar"/>
        </w:rPr>
        <w:t>改善生态环境的目的。</w:t>
      </w:r>
    </w:p>
    <w:p>
      <w:pPr>
        <w:pStyle w:val="19"/>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0"/>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该指标满分为5分，根据评分标准得5分。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2"/>
        <w:rPr>
          <w:rFonts w:hint="eastAsia" w:ascii="方正仿宋_GBK" w:hAnsi="方正仿宋_GBK" w:eastAsia="方正仿宋_GBK" w:cs="方正仿宋_GBK"/>
          <w:b/>
          <w:bCs w:val="0"/>
          <w:color w:val="auto"/>
          <w:kern w:val="0"/>
          <w:sz w:val="32"/>
          <w:szCs w:val="32"/>
          <w:highlight w:val="none"/>
          <w:lang w:val="en-US" w:eastAsia="zh-CN"/>
        </w:rPr>
      </w:pPr>
      <w:r>
        <w:rPr>
          <w:rFonts w:hint="eastAsia" w:ascii="方正仿宋_GBK" w:hAnsi="方正仿宋_GBK" w:eastAsia="方正仿宋_GBK" w:cs="方正仿宋_GBK"/>
          <w:b/>
          <w:bCs w:val="0"/>
          <w:color w:val="auto"/>
          <w:kern w:val="0"/>
          <w:sz w:val="32"/>
          <w:szCs w:val="32"/>
          <w:highlight w:val="none"/>
          <w:lang w:val="en-US" w:eastAsia="zh-CN"/>
        </w:rPr>
        <w:t>（3）D103学生满意度指标：</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eastAsia" w:ascii="方正仿宋_GBK" w:hAnsi="方正仿宋_GBK" w:eastAsia="方正仿宋_GBK" w:cs="方正仿宋_GBK"/>
          <w:b w:val="0"/>
          <w:bCs/>
          <w:color w:val="auto"/>
          <w:kern w:val="0"/>
          <w:sz w:val="32"/>
          <w:szCs w:val="32"/>
          <w:highlight w:val="none"/>
          <w:lang w:val="en-US" w:eastAsia="zh-CN"/>
        </w:rPr>
      </w:pPr>
      <w:r>
        <w:rPr>
          <w:rFonts w:hint="eastAsia" w:ascii="方正仿宋_GBK" w:hAnsi="方正仿宋_GBK" w:eastAsia="方正仿宋_GBK" w:cs="方正仿宋_GBK"/>
          <w:b w:val="0"/>
          <w:bCs/>
          <w:color w:val="auto"/>
          <w:kern w:val="0"/>
          <w:sz w:val="32"/>
          <w:szCs w:val="32"/>
          <w:highlight w:val="none"/>
          <w:lang w:val="en-US" w:eastAsia="zh-CN"/>
        </w:rPr>
        <w:t>根据《满意度调查问卷》中“问题5.您对该项目的实施过程及效果是否满意？”统计情况，选择选项“A.非常满意”229人，选择“B.比较满意”0人，选择“C.一般”0人，选择“D.较不满意”0人，选择“E.不满意”0人，指标完成率=Σ样本数（“非常满意”×1.0+“比较满意”×0.8+“一般”×0.6+“较不满意”×0.3+“不满意”×0）/总样本数×100.00%=（229×1+0×0.8+0×0.6+0×0.3）/229×100.00%=100%。得分=（实际完成率-60.00%）/（1-60.00%）×指标分值=（100%-60.00%）/（1-60.00%）×10=10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2"/>
        <w:rPr>
          <w:rFonts w:hint="default" w:ascii="Times New Roman" w:hAnsi="Times New Roman" w:eastAsia="黑体" w:cs="Times New Roman"/>
          <w:b w:val="0"/>
          <w:bCs w:val="0"/>
          <w:sz w:val="18"/>
          <w:szCs w:val="18"/>
          <w:highlight w:val="none"/>
          <w:lang w:val="en-US" w:eastAsia="zh-CN"/>
        </w:rPr>
        <w:sectPr>
          <w:footerReference r:id="rId5" w:type="default"/>
          <w:pgSz w:w="11906" w:h="16838"/>
          <w:pgMar w:top="1440" w:right="1800" w:bottom="1440" w:left="1800" w:header="851" w:footer="992" w:gutter="0"/>
          <w:pgNumType w:fmt="numberInDash" w:start="1"/>
          <w:cols w:space="425" w:num="1"/>
          <w:docGrid w:type="lines" w:linePitch="312" w:charSpace="0"/>
        </w:sectPr>
      </w:pPr>
      <w:r>
        <w:rPr>
          <w:rFonts w:hint="eastAsia" w:ascii="方正仿宋_GBK" w:hAnsi="方正仿宋_GBK" w:eastAsia="方正仿宋_GBK" w:cs="方正仿宋_GBK"/>
          <w:b w:val="0"/>
          <w:bCs/>
          <w:color w:val="auto"/>
          <w:kern w:val="0"/>
          <w:sz w:val="32"/>
          <w:szCs w:val="32"/>
          <w:highlight w:val="none"/>
          <w:lang w:val="en-US" w:eastAsia="zh-CN"/>
        </w:rPr>
        <w:t>该指标满分为10分，根据评分标准得10分。</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40" w:firstLineChars="200"/>
        <w:textAlignment w:val="baseline"/>
        <w:outlineLvl w:val="0"/>
        <w:rPr>
          <w:rFonts w:hint="eastAsia" w:ascii="方正黑体_GBK" w:hAnsi="方正黑体_GBK" w:eastAsia="方正黑体_GBK" w:cs="方正黑体_GBK"/>
          <w:b w:val="0"/>
          <w:bCs/>
          <w:color w:val="auto"/>
          <w:kern w:val="0"/>
          <w:sz w:val="32"/>
          <w:szCs w:val="32"/>
          <w:highlight w:val="none"/>
        </w:rPr>
      </w:pPr>
      <w:bookmarkStart w:id="218" w:name="_Toc31556_WPSOffice_Level1"/>
      <w:bookmarkStart w:id="219" w:name="_Toc30123"/>
      <w:bookmarkStart w:id="220" w:name="_Toc28580"/>
      <w:bookmarkStart w:id="221" w:name="_Toc21119"/>
      <w:bookmarkStart w:id="222" w:name="_Toc24988_WPSOffice_Level1"/>
      <w:r>
        <w:rPr>
          <w:rFonts w:hint="eastAsia" w:ascii="方正黑体_GBK" w:hAnsi="方正黑体_GBK" w:eastAsia="方正黑体_GBK" w:cs="方正黑体_GBK"/>
          <w:b w:val="0"/>
          <w:bCs/>
          <w:kern w:val="0"/>
          <w:sz w:val="32"/>
          <w:szCs w:val="32"/>
          <w:highlight w:val="none"/>
          <w:lang w:val="en-US" w:eastAsia="zh-CN"/>
        </w:rPr>
        <w:t>五、</w:t>
      </w:r>
      <w:r>
        <w:rPr>
          <w:rFonts w:hint="eastAsia" w:ascii="方正黑体_GBK" w:hAnsi="方正黑体_GBK" w:eastAsia="方正黑体_GBK" w:cs="方正黑体_GBK"/>
          <w:b w:val="0"/>
          <w:bCs/>
          <w:color w:val="auto"/>
          <w:kern w:val="0"/>
          <w:sz w:val="32"/>
          <w:szCs w:val="32"/>
          <w:highlight w:val="none"/>
        </w:rPr>
        <w:t>存在问题</w:t>
      </w:r>
      <w:bookmarkEnd w:id="218"/>
      <w:bookmarkEnd w:id="219"/>
      <w:bookmarkEnd w:id="220"/>
      <w:bookmarkEnd w:id="221"/>
      <w:bookmarkEnd w:id="222"/>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pPr>
      <w:bookmarkStart w:id="223" w:name="_Toc4746_WPSOffice_Level2"/>
      <w:bookmarkStart w:id="224" w:name="_Toc10247_WPSOffice_Level2"/>
      <w:bookmarkStart w:id="225" w:name="_Toc32736_WPSOffice_Level2"/>
      <w:bookmarkStart w:id="226" w:name="_Toc8305_WPSOffice_Level2"/>
      <w:bookmarkStart w:id="227" w:name="_Toc13526"/>
      <w:bookmarkStart w:id="228" w:name="_Toc21621"/>
      <w:bookmarkStart w:id="229" w:name="_Toc26696"/>
      <w:bookmarkStart w:id="230" w:name="_Toc30163852"/>
      <w:bookmarkStart w:id="231" w:name="_Toc15615"/>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1.缺少项目相应的资金开支计划</w:t>
      </w:r>
      <w:bookmarkEnd w:id="223"/>
      <w:bookmarkEnd w:id="224"/>
      <w:bookmarkEnd w:id="225"/>
      <w:bookmarkEnd w:id="226"/>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根据对项目实施计划合理性进行指标评价时，发现该项目缺少项目相应的资金开支计划，无法与项目建设进度进行匹配。</w:t>
      </w:r>
    </w:p>
    <w:p>
      <w:pPr>
        <w:keepNext w:val="0"/>
        <w:keepLines w:val="0"/>
        <w:pageBreakBefore w:val="0"/>
        <w:widowControl/>
        <w:numPr>
          <w:ilvl w:val="0"/>
          <w:numId w:val="0"/>
        </w:numPr>
        <w:kinsoku/>
        <w:wordWrap/>
        <w:overflowPunct w:val="0"/>
        <w:topLinePunct w:val="0"/>
        <w:autoSpaceDE w:val="0"/>
        <w:autoSpaceDN w:val="0"/>
        <w:bidi w:val="0"/>
        <w:adjustRightInd w:val="0"/>
        <w:snapToGrid/>
        <w:spacing w:line="560" w:lineRule="exact"/>
        <w:ind w:firstLine="640" w:firstLineChars="200"/>
        <w:textAlignment w:val="baseline"/>
        <w:outlineLvl w:val="0"/>
        <w:rPr>
          <w:rFonts w:hint="eastAsia" w:ascii="方正黑体_GBK" w:hAnsi="方正黑体_GBK" w:eastAsia="方正黑体_GBK" w:cs="方正黑体_GBK"/>
          <w:b w:val="0"/>
          <w:bCs/>
          <w:color w:val="auto"/>
          <w:kern w:val="0"/>
          <w:sz w:val="32"/>
          <w:szCs w:val="32"/>
          <w:highlight w:val="none"/>
          <w:lang w:val="en-US" w:eastAsia="zh-CN"/>
        </w:rPr>
      </w:pPr>
      <w:bookmarkStart w:id="232" w:name="_Toc12085_WPSOffice_Level1"/>
      <w:bookmarkStart w:id="233" w:name="_Toc15860_WPSOffice_Level1"/>
      <w:r>
        <w:rPr>
          <w:rFonts w:hint="eastAsia" w:ascii="方正黑体_GBK" w:hAnsi="方正黑体_GBK" w:eastAsia="方正黑体_GBK" w:cs="方正黑体_GBK"/>
          <w:b w:val="0"/>
          <w:bCs/>
          <w:kern w:val="0"/>
          <w:sz w:val="32"/>
          <w:szCs w:val="32"/>
          <w:highlight w:val="none"/>
          <w:lang w:val="en-US" w:eastAsia="zh-CN"/>
        </w:rPr>
        <w:t>六、</w:t>
      </w:r>
      <w:r>
        <w:rPr>
          <w:rFonts w:hint="eastAsia" w:ascii="方正黑体_GBK" w:hAnsi="方正黑体_GBK" w:eastAsia="方正黑体_GBK" w:cs="方正黑体_GBK"/>
          <w:b w:val="0"/>
          <w:bCs/>
          <w:kern w:val="0"/>
          <w:sz w:val="32"/>
          <w:szCs w:val="32"/>
          <w:highlight w:val="none"/>
        </w:rPr>
        <w:t>相关建议</w:t>
      </w:r>
      <w:bookmarkEnd w:id="227"/>
      <w:bookmarkEnd w:id="228"/>
      <w:bookmarkEnd w:id="229"/>
      <w:bookmarkEnd w:id="230"/>
      <w:bookmarkEnd w:id="231"/>
      <w:bookmarkEnd w:id="232"/>
      <w:bookmarkEnd w:id="233"/>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baseline"/>
        <w:outlineLvl w:val="1"/>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pPr>
      <w:bookmarkStart w:id="234" w:name="_Toc6707"/>
      <w:bookmarkStart w:id="235" w:name="_Toc21590"/>
      <w:bookmarkStart w:id="236" w:name="_Toc31033_WPSOffice_Level2"/>
      <w:bookmarkStart w:id="237" w:name="_Toc27905"/>
      <w:bookmarkStart w:id="238" w:name="_Toc20898"/>
      <w:bookmarkStart w:id="239" w:name="_Toc13935_WPSOffice_Level2"/>
      <w:bookmarkStart w:id="240" w:name="_Toc16235"/>
      <w:bookmarkStart w:id="241" w:name="_Toc9891"/>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1.</w:t>
      </w:r>
      <w:bookmarkEnd w:id="234"/>
      <w:bookmarkEnd w:id="235"/>
      <w:r>
        <w:rPr>
          <w:rStyle w:val="14"/>
          <w:rFonts w:hint="eastAsia" w:ascii="方正仿宋_GBK" w:hAnsi="方正仿宋_GBK" w:eastAsia="方正仿宋_GBK" w:cs="方正仿宋_GBK"/>
          <w:b/>
          <w:bCs/>
          <w:i w:val="0"/>
          <w:caps w:val="0"/>
          <w:color w:val="auto"/>
          <w:spacing w:val="0"/>
          <w:w w:val="100"/>
          <w:kern w:val="0"/>
          <w:sz w:val="32"/>
          <w:szCs w:val="32"/>
          <w:highlight w:val="none"/>
          <w:lang w:val="en-US" w:eastAsia="zh-CN" w:bidi="ar-SA"/>
        </w:rPr>
        <w:t>建议对大型基建项目编制资金开支计划，把握工程费用与施工进度的关联性</w:t>
      </w:r>
      <w:bookmarkEnd w:id="236"/>
      <w:bookmarkEnd w:id="237"/>
      <w:bookmarkEnd w:id="238"/>
      <w:bookmarkEnd w:id="239"/>
    </w:p>
    <w:p>
      <w:pPr>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pPr>
      <w:r>
        <w:rPr>
          <w:rStyle w:val="14"/>
          <w:rFonts w:hint="eastAsia" w:ascii="方正仿宋_GBK" w:hAnsi="方正仿宋_GBK" w:eastAsia="方正仿宋_GBK" w:cs="方正仿宋_GBK"/>
          <w:b w:val="0"/>
          <w:i w:val="0"/>
          <w:caps w:val="0"/>
          <w:color w:val="auto"/>
          <w:spacing w:val="0"/>
          <w:w w:val="100"/>
          <w:kern w:val="0"/>
          <w:sz w:val="32"/>
          <w:szCs w:val="32"/>
          <w:highlight w:val="none"/>
          <w:lang w:val="en-US" w:eastAsia="zh-CN" w:bidi="ar-SA"/>
        </w:rPr>
        <w:t>工程费用与工程进度是相互影响、相互制约的结论，一旦费用管理或进度管理中任何一个环节出现问题都将会对工程项目的进程和质量带来不利影响，建议项目单位根据工程施工进度，编制对应的项目资金开支计划，把握好资金支出与施工进度之间的关系，做好两者之间的协调，从而有效控制工程费用和工程进度，提高工程项目管理中涉及的数据的精确性和即时性。</w:t>
      </w:r>
    </w:p>
    <w:p>
      <w:pPr>
        <w:keepNext w:val="0"/>
        <w:keepLines w:val="0"/>
        <w:pageBreakBefore w:val="0"/>
        <w:widowControl/>
        <w:kinsoku/>
        <w:wordWrap/>
        <w:overflowPunct w:val="0"/>
        <w:topLinePunct w:val="0"/>
        <w:autoSpaceDE w:val="0"/>
        <w:autoSpaceDN w:val="0"/>
        <w:bidi w:val="0"/>
        <w:adjustRightInd w:val="0"/>
        <w:snapToGrid/>
        <w:spacing w:line="560" w:lineRule="exact"/>
        <w:ind w:firstLine="640" w:firstLineChars="200"/>
        <w:textAlignment w:val="baseline"/>
        <w:outlineLvl w:val="0"/>
        <w:rPr>
          <w:rFonts w:hint="eastAsia" w:ascii="方正黑体_GBK" w:hAnsi="方正黑体_GBK" w:eastAsia="方正黑体_GBK" w:cs="方正黑体_GBK"/>
          <w:b w:val="0"/>
          <w:bCs/>
          <w:kern w:val="0"/>
          <w:sz w:val="32"/>
          <w:szCs w:val="32"/>
          <w:highlight w:val="none"/>
        </w:rPr>
      </w:pPr>
      <w:bookmarkStart w:id="242" w:name="_Toc19213_WPSOffice_Level1"/>
      <w:bookmarkStart w:id="243" w:name="_Toc4865_WPSOffice_Level1"/>
      <w:r>
        <w:rPr>
          <w:rFonts w:hint="eastAsia" w:ascii="方正黑体_GBK" w:hAnsi="方正黑体_GBK" w:eastAsia="方正黑体_GBK" w:cs="方正黑体_GBK"/>
          <w:b w:val="0"/>
          <w:bCs/>
          <w:kern w:val="0"/>
          <w:sz w:val="32"/>
          <w:szCs w:val="32"/>
          <w:highlight w:val="none"/>
        </w:rPr>
        <w:t>七、其他需要说明的问题</w:t>
      </w:r>
      <w:bookmarkEnd w:id="240"/>
      <w:bookmarkEnd w:id="241"/>
      <w:bookmarkEnd w:id="242"/>
      <w:bookmarkEnd w:id="243"/>
    </w:p>
    <w:p>
      <w:pPr>
        <w:ind w:firstLine="643" w:firstLineChars="200"/>
        <w:jc w:val="both"/>
        <w:rPr>
          <w:rFonts w:hint="eastAsia" w:ascii="方正仿宋_GBK" w:hAnsi="方正仿宋_GBK" w:eastAsia="方正仿宋_GBK" w:cs="方正仿宋_GBK"/>
          <w:b/>
          <w:bCs/>
          <w:sz w:val="32"/>
          <w:szCs w:val="32"/>
        </w:rPr>
      </w:pPr>
      <w:bookmarkStart w:id="244" w:name="_Toc32013_WPSOffice_Level2"/>
      <w:bookmarkStart w:id="245" w:name="_Toc9723"/>
      <w:bookmarkStart w:id="246" w:name="_Toc17295"/>
      <w:bookmarkStart w:id="247" w:name="_Toc29211"/>
      <w:bookmarkStart w:id="248" w:name="_Toc31778"/>
      <w:bookmarkStart w:id="249" w:name="_Toc14656"/>
      <w:bookmarkStart w:id="250" w:name="_Toc28067"/>
      <w:bookmarkStart w:id="251" w:name="_Toc3194"/>
      <w:r>
        <w:rPr>
          <w:rFonts w:hint="eastAsia" w:ascii="方正仿宋_GBK" w:hAnsi="方正仿宋_GBK" w:eastAsia="方正仿宋_GBK" w:cs="方正仿宋_GBK"/>
          <w:b/>
          <w:bCs/>
          <w:sz w:val="32"/>
          <w:szCs w:val="32"/>
        </w:rPr>
        <w:t>（一）绩效结果挂钩次年预算资金安排</w:t>
      </w:r>
      <w:bookmarkEnd w:id="244"/>
    </w:p>
    <w:p>
      <w:pPr>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有效提高财政预算资金的经济性、效率性以及效益性，建议将本次绩效评价结果作为预算单位次年预算编制的重要依据，并优化支出结构、完善相关办法、改进预算管理。对绩效评价结果为“优秀”和“良好”的项目，建议根据政策制度，结合喀什地区工作安排以及本级财力情况等因素，原则上优先予以保障。对绩效评价结果为“一般”的项目，项目实施单位应针对性提出整改措施，落实到位。本级财政部门在编制次年该预算单位同类型项目支出时，按比例扣减预算，具体扣减比例计算方式为：（80-项目绩效评价结果得分）/100。对绩效评价结果“较差”的项目，本级财政部门原则上不在次年预算中给予安排。</w:t>
      </w:r>
    </w:p>
    <w:p>
      <w:pPr>
        <w:rPr>
          <w:rFonts w:hint="default" w:ascii="Times New Roman" w:hAnsi="Times New Roman" w:eastAsia="黑体" w:cs="Times New Roman"/>
          <w:b/>
          <w:sz w:val="32"/>
          <w:szCs w:val="32"/>
          <w:highlight w:val="none"/>
        </w:rPr>
      </w:pPr>
    </w:p>
    <w:p>
      <w:pPr>
        <w:pStyle w:val="2"/>
        <w:bidi w:val="0"/>
        <w:rPr>
          <w:rFonts w:hint="default"/>
        </w:rPr>
      </w:pPr>
    </w:p>
    <w:p>
      <w:pPr>
        <w:pStyle w:val="2"/>
        <w:bidi w:val="0"/>
        <w:rPr>
          <w:rFonts w:hint="eastAsia"/>
        </w:rPr>
      </w:pPr>
      <w:bookmarkStart w:id="252" w:name="_Toc14836_WPSOffice_Level1"/>
      <w:bookmarkStart w:id="253" w:name="_Toc13642_WPSOffice_Level1"/>
      <w:r>
        <w:rPr>
          <w:rFonts w:hint="eastAsia"/>
          <w:lang w:val="en-US" w:eastAsia="zh-CN"/>
        </w:rPr>
        <w:t>附件1项目支出绩效自评表</w:t>
      </w:r>
      <w:bookmarkEnd w:id="252"/>
    </w:p>
    <w:tbl>
      <w:tblPr>
        <w:tblStyle w:val="11"/>
        <w:tblW w:w="90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1"/>
        <w:gridCol w:w="581"/>
        <w:gridCol w:w="855"/>
        <w:gridCol w:w="1062"/>
        <w:gridCol w:w="1152"/>
        <w:gridCol w:w="616"/>
        <w:gridCol w:w="1233"/>
        <w:gridCol w:w="1231"/>
        <w:gridCol w:w="146"/>
        <w:gridCol w:w="150"/>
        <w:gridCol w:w="137"/>
        <w:gridCol w:w="262"/>
        <w:gridCol w:w="468"/>
        <w:gridCol w:w="5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PrEx>
        <w:trPr>
          <w:trHeight w:val="405" w:hRule="atLeast"/>
        </w:trPr>
        <w:tc>
          <w:tcPr>
            <w:tcW w:w="905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部门单位项目支出绩效自评表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9056"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789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伽师县克孜勒博依生态综合整治工程（现代农业产业园）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1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68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国家自然资源部</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97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伽师县自然资源局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1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w:t>
            </w:r>
          </w:p>
        </w:tc>
        <w:tc>
          <w:tcPr>
            <w:tcW w:w="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8821.67</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8821.67</w:t>
            </w:r>
          </w:p>
        </w:tc>
        <w:tc>
          <w:tcPr>
            <w:tcW w:w="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100.00%</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9" w:hRule="atLeast"/>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其中：当年财政拨款</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8821.67</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8821.67</w:t>
            </w:r>
          </w:p>
        </w:tc>
        <w:tc>
          <w:tcPr>
            <w:tcW w:w="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上年结转资金</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1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1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13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0.00</w:t>
            </w:r>
          </w:p>
        </w:tc>
        <w:tc>
          <w:tcPr>
            <w:tcW w:w="2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7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49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预期目标</w:t>
            </w:r>
          </w:p>
        </w:tc>
        <w:tc>
          <w:tcPr>
            <w:tcW w:w="297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2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9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项目根据《关于提前下达2022年中央财政</w:t>
            </w:r>
            <w:r>
              <w:rPr>
                <w:rFonts w:hint="eastAsia" w:ascii="宋体" w:hAnsi="宋体" w:cs="宋体"/>
                <w:i w:val="0"/>
                <w:color w:val="000000"/>
                <w:kern w:val="0"/>
                <w:sz w:val="20"/>
                <w:szCs w:val="20"/>
                <w:u w:val="none"/>
                <w:lang w:val="en-US" w:eastAsia="zh-CN" w:bidi="ar"/>
              </w:rPr>
              <w:t>衔接</w:t>
            </w:r>
            <w:r>
              <w:rPr>
                <w:rFonts w:hint="eastAsia" w:ascii="宋体" w:hAnsi="宋体" w:eastAsia="宋体" w:cs="宋体"/>
                <w:i w:val="0"/>
                <w:color w:val="000000"/>
                <w:kern w:val="0"/>
                <w:sz w:val="20"/>
                <w:szCs w:val="20"/>
                <w:u w:val="none"/>
                <w:lang w:val="en-US" w:eastAsia="zh-CN" w:bidi="ar"/>
              </w:rPr>
              <w:t>推进乡村振兴补助资金预算的通知》《喀地财扶（2021）9号文件下达直达资金8821.67万元（其中：直达资金821.67万元），债券资金8000万元。主要用于伽师县克孜勒博依镇坎迪尔勒克（19）村实施24113.43亩定植新梅，杏李，实施内容土地平整及高效节水，排碱渠，电路等配套附属工程。工程建设新增的水土流失得到有效治理。主要在工程建设区因地制宜地采取拦渣、土地整治工程及绿化（主体设计）等防治措施，达到有效治理工程建设防治责任范围内的水土流失，改善生态环境的目的。</w:t>
            </w:r>
          </w:p>
        </w:tc>
        <w:tc>
          <w:tcPr>
            <w:tcW w:w="297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截至2022年12月，主要实施用于伽师县克孜勒博依镇坎迪尔勒克（19）村实施24113.43亩定植新梅，杏李，实施内容土地平整及高效节水，排碱渠，电路等配套附属工程，支付8821.67万元，项目实施后达到有效治理工程建设防治责任范围内的水土流失，改善生态环境的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28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实际完成值</w:t>
            </w:r>
          </w:p>
        </w:tc>
        <w:tc>
          <w:tcPr>
            <w:tcW w:w="2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39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年度绩效指标完成情况</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实施现代农业产业园面积（亩）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&gt;=24113.43</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24113.43</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项目资金支付率（%）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项目验收合格率（%）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项目按计划开工时间（月）</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项目按计划完工时间（月）</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&lt;=12</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项目预算控制率（%）</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每亩投入成本（元/亩）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&lt;=3658.4</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3658.4</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40"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实施农业产业园建设促进农林牧发展</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有所提升</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有所提升</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项目区水土流失改善情况</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有效改善</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有效改善</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5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283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受益群众满意度（%）</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12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731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总分</w:t>
            </w:r>
          </w:p>
        </w:tc>
        <w:tc>
          <w:tcPr>
            <w:tcW w:w="29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3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1162" w:type="dxa"/>
            <w:gridSpan w:val="2"/>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经办人：</w:t>
            </w:r>
          </w:p>
        </w:tc>
        <w:tc>
          <w:tcPr>
            <w:tcW w:w="3069" w:type="dxa"/>
            <w:gridSpan w:val="3"/>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李金国</w:t>
            </w:r>
          </w:p>
        </w:tc>
        <w:tc>
          <w:tcPr>
            <w:tcW w:w="3226" w:type="dxa"/>
            <w:gridSpan w:val="4"/>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1599" w:type="dxa"/>
            <w:gridSpan w:val="5"/>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13565665677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0" w:hRule="atLeast"/>
        </w:trPr>
        <w:tc>
          <w:tcPr>
            <w:tcW w:w="1162"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w:t>
            </w:r>
          </w:p>
        </w:tc>
        <w:tc>
          <w:tcPr>
            <w:tcW w:w="3069"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李金国</w:t>
            </w:r>
          </w:p>
        </w:tc>
        <w:tc>
          <w:tcPr>
            <w:tcW w:w="3226"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1599"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13565665677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5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5"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5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3"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1"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6"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3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2"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rPr>
          <w:rFonts w:hint="default" w:ascii="Times New Roman" w:hAnsi="Times New Roman" w:eastAsia="黑体" w:cs="Times New Roman"/>
          <w:b/>
          <w:sz w:val="32"/>
          <w:szCs w:val="32"/>
          <w:highlight w:val="none"/>
        </w:rPr>
      </w:pPr>
    </w:p>
    <w:p>
      <w:pPr>
        <w:pStyle w:val="4"/>
        <w:rPr>
          <w:rFonts w:hint="default" w:ascii="Times New Roman" w:hAnsi="Times New Roman" w:eastAsia="黑体" w:cs="Times New Roman"/>
          <w:b/>
          <w:sz w:val="32"/>
          <w:szCs w:val="32"/>
          <w:highlight w:val="none"/>
        </w:rPr>
      </w:pPr>
    </w:p>
    <w:p>
      <w:pPr>
        <w:pStyle w:val="4"/>
        <w:rPr>
          <w:rFonts w:hint="default"/>
        </w:rPr>
      </w:pPr>
    </w:p>
    <w:p>
      <w:pPr>
        <w:rPr>
          <w:rFonts w:hint="default"/>
        </w:rPr>
      </w:pPr>
    </w:p>
    <w:p>
      <w:pPr>
        <w:pStyle w:val="2"/>
        <w:rPr>
          <w:rFonts w:hint="default"/>
        </w:rPr>
      </w:pPr>
    </w:p>
    <w:p>
      <w:pPr>
        <w:rPr>
          <w:rFonts w:hint="default"/>
        </w:rPr>
      </w:pPr>
    </w:p>
    <w:bookmarkEnd w:id="245"/>
    <w:bookmarkEnd w:id="246"/>
    <w:bookmarkEnd w:id="247"/>
    <w:bookmarkEnd w:id="248"/>
    <w:bookmarkEnd w:id="249"/>
    <w:bookmarkEnd w:id="250"/>
    <w:bookmarkEnd w:id="251"/>
    <w:bookmarkEnd w:id="253"/>
    <w:p>
      <w:pPr>
        <w:pStyle w:val="2"/>
        <w:bidi w:val="0"/>
        <w:rPr>
          <w:rFonts w:hint="eastAsia"/>
          <w:lang w:val="en-US" w:eastAsia="zh-CN"/>
        </w:rPr>
      </w:pPr>
      <w:bookmarkStart w:id="254" w:name="_Toc4341"/>
      <w:bookmarkStart w:id="255" w:name="_Toc21628_WPSOffice_Level1"/>
      <w:bookmarkStart w:id="256" w:name="_Toc10648_WPSOffice_Level1"/>
      <w:bookmarkStart w:id="257" w:name="_Toc4229_WPSOffice_Level1"/>
      <w:r>
        <w:rPr>
          <w:rFonts w:hint="eastAsia"/>
        </w:rPr>
        <w:t>附件</w:t>
      </w:r>
      <w:r>
        <w:rPr>
          <w:rFonts w:hint="eastAsia"/>
          <w:lang w:val="en-US" w:eastAsia="zh-CN"/>
        </w:rPr>
        <w:t xml:space="preserve">2 </w:t>
      </w:r>
      <w:bookmarkEnd w:id="254"/>
      <w:bookmarkEnd w:id="255"/>
      <w:r>
        <w:rPr>
          <w:rFonts w:hint="eastAsia"/>
          <w:lang w:val="en-US" w:eastAsia="zh-CN"/>
        </w:rPr>
        <w:t>项目支出绩效评价指标体系</w:t>
      </w:r>
      <w:bookmarkEnd w:id="256"/>
      <w:bookmarkEnd w:id="257"/>
    </w:p>
    <w:tbl>
      <w:tblPr>
        <w:tblStyle w:val="11"/>
        <w:tblW w:w="93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98"/>
        <w:gridCol w:w="640"/>
        <w:gridCol w:w="670"/>
        <w:gridCol w:w="395"/>
        <w:gridCol w:w="1075"/>
        <w:gridCol w:w="3980"/>
        <w:gridCol w:w="520"/>
        <w:gridCol w:w="520"/>
        <w:gridCol w:w="430"/>
        <w:gridCol w:w="360"/>
        <w:gridCol w:w="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1025" w:hRule="atLeast"/>
        </w:trPr>
        <w:tc>
          <w:tcPr>
            <w:tcW w:w="598"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67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三级指标</w:t>
            </w:r>
          </w:p>
        </w:tc>
        <w:tc>
          <w:tcPr>
            <w:tcW w:w="1470" w:type="dxa"/>
            <w:gridSpan w:val="2"/>
            <w:tcBorders>
              <w:top w:val="single" w:color="000000" w:sz="4" w:space="0"/>
              <w:left w:val="single" w:color="000000" w:sz="4" w:space="0"/>
              <w:bottom w:val="single" w:color="000000" w:sz="4" w:space="0"/>
              <w:right w:val="single" w:color="000000" w:sz="4" w:space="0"/>
            </w:tcBorders>
            <w:shd w:val="clear" w:color="auto" w:fill="A6A6A6"/>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指标解释</w:t>
            </w:r>
          </w:p>
        </w:tc>
        <w:tc>
          <w:tcPr>
            <w:tcW w:w="398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指标说明</w:t>
            </w:r>
          </w:p>
        </w:tc>
        <w:tc>
          <w:tcPr>
            <w:tcW w:w="52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标杆值</w:t>
            </w:r>
          </w:p>
        </w:tc>
        <w:tc>
          <w:tcPr>
            <w:tcW w:w="52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业绩值</w:t>
            </w:r>
          </w:p>
        </w:tc>
        <w:tc>
          <w:tcPr>
            <w:tcW w:w="43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c>
          <w:tcPr>
            <w:tcW w:w="360" w:type="dxa"/>
            <w:tcBorders>
              <w:top w:val="single" w:color="000000" w:sz="4" w:space="0"/>
              <w:left w:val="single" w:color="000000" w:sz="4" w:space="0"/>
              <w:bottom w:val="single" w:color="000000" w:sz="4" w:space="0"/>
              <w:right w:val="single" w:color="000000" w:sz="4" w:space="0"/>
            </w:tcBorders>
            <w:shd w:val="clear" w:color="auto" w:fill="A6A6A6"/>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A项目决策（20分）</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A1项目立项（10分）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A101立项依据充分性</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项目立项是否符合法律法规、相关政策、发展规划以及部门职责，用以反映和考核项目立项依据情况。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充分</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①项目立项是否符合国家法律法规、国民经济发展规划和相关政策（1分）；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②项目立项是否符合行业发展规划和政策要求（1分）；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③项目立项是否与部门职责范围相符，属于部门履职所需（1分）；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5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④项目是否属于公共财政支持范围，是否符合中央、地方事权支出责任划分原则（1分）；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⑤项目是否与相关部门同类项目或部门内部相关项目重复（1分），否则不得分。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A102立项程序规范性</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项目申请、设立过程是否符合相关要求，用以反映和考核项目立项的规范情况。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规范</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①项目是否按照规定的程序申请设立；</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②审批文件、材料是否符合相关要求；</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8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③事前是否已经过必要的可行性研究、专家论证、风险评估、绩效评估、集体决策；①②③齐全得权重分的100%，缺①扣权重分的40%，缺②扣权重分的30%，缺③扣权重分的30%。。</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 绩效目标（5分）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A201绩效目标合理性</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项目所设定的绩效目标是否依据充分，是否符合客观实际，用以反映和考核项目绩效目标与项目实施的相符情况。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（如未设定预算绩效目标，也可考核其他工作任务目标）</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①项目是否有绩效目标（0.5分）；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②项目绩效目标与实际工作内容是否具有相关性（0.5分）；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③项目预期产出效益和效果是否符合正常的业绩水平（0.5分）；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④是否与预算确定的项目投资额或资金量相匹配（0.5分）。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A202绩效指标明确性</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依据绩效目标设定的绩效指标是否清晰、细化、可衡量等，用以反映和考核项目绩效目标的明细化情况。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明确</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①是否将项目绩效目标细化分解为具体的绩效指标（1分）；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②是否通过清晰、可衡量的指标值予以体现（1分）；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③是否与项目目标任务数或计划数相对应（1分）。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A3资金投入（5分）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A301预算编制科学性</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项目预算编制是否经过科学论证、有明确标准，资金额度与年度目标是否相适应，用以反映和考核项目预算编制的科学性、合理性情况。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①预算编制是否经过科学论证（0.5分）；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②预算内容与项目内容是否匹配（0.5分）；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③预算额度测算依据是否充分，是否按照标准编制（0.5分）；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④预算确定的项目投资额或资金量是否与工作任务相匹配（0.5分）。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A302资金分配合理性</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项目预算资金分配是否有测算依据，与补助单位或地方实际是否相适应，用以反映和考核项目预算资金分配的科学性、合理性情况。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①预算资金分配依据是否充分（1分）；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7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②资金分配额度是否合理，与项目单位或地方实际是否相适应（2分）。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88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 项目过程（20）</w:t>
            </w: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B1资金管理（15分）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B101资金到位率</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实际到位资金与预算资金的比率，用以反映和考核资金落实情况对项目实施的总体保障程度。</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①资金到位率为100%的，得满分。（5分）。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②资金未全额到位的，按照满分乘以到位率计算得分。资金到位率=（实际到位资金/预算资金）×100%。</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实际到位资金：一定时期（本年度或项目期）内落实到具体项目的资金。</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5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预算资金：一定时期（本年度或项目期）内预算安排到具体项目的资金，满足则得分，否则扣除对应权重分。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86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B102预算执行率</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项目预算资金是否按照计划执行，用以反映或考核项目预算执行情况。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①预算执行率为100%的，得满分（5分）；</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②资金未执行完毕的，按照满分乘以到位率计算得分，预算执行率=（实际支出资金/实际到位资金）×100%。</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100</w:t>
            </w:r>
            <w:r>
              <w:rPr>
                <w:rFonts w:hint="eastAsia" w:ascii="宋体" w:hAnsi="宋体" w:eastAsia="宋体" w:cs="宋体"/>
                <w:i w:val="0"/>
                <w:color w:val="000000"/>
                <w:kern w:val="0"/>
                <w:sz w:val="22"/>
                <w:szCs w:val="22"/>
                <w:u w:val="none"/>
                <w:lang w:val="en-US" w:eastAsia="zh-CN" w:bidi="ar"/>
              </w:rPr>
              <w:t>%</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72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实际支出资金：一定时期（本年度或项目期）内项目实际拨付的资金。</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B103资金使用合规性</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项目资金使用是否符合相关的财务管理制度规定，用以反映和考核项目资金的规范运行情况。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合规</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合规</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①是否符合国家财经法规和财务管理制度以及有关专项资金管理办法的规定（1分）；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②资金的拨付是否有完整的审批程序和手续（1分）；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③是否符合项目预算批复或合同规定的用途（1分）；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④是否存在截留、挤占、挪用、虚列支出等情况（2分）。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B2组织实施（5分）</w:t>
            </w: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B201管理制度健全性（2分）</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项目实施单位的财务和业务管理制度是否健全，用以反映和考核财务和业务管理制度对项目顺利实施的保障情况。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健全</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健全</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①是否已制定或具有相应的财务和业务管理制度（1分）；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254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②财务和业务管理制度是否合法、合规、完整；以上两项各占50%的权重分，满足一项得对应的权重分（1分）。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B201制度执行有效性（3分）</w:t>
            </w:r>
          </w:p>
        </w:tc>
        <w:tc>
          <w:tcPr>
            <w:tcW w:w="147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项目实施是否符合相关管理规定，用以反映和考核相关管理制度的有效执行情况。</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评价要点：</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①是否遵守相关法律法规和相关管理规定（1分）；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②项目调整及支出调整手续是否完备（0.5分）；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③项目合同书、验收报告、技术鉴定等资料是否齐全并及时归档（1分）；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86" w:type="dxa"/>
          <w:trHeight w:val="985"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7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47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④项目实施的人员条件、场地设备、信息支撑等是否落实到位（0.5分）。</w:t>
            </w: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C产出（40分）</w:t>
            </w: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C1产出数量（20分）</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C101实际完成率</w:t>
            </w:r>
          </w:p>
        </w:tc>
        <w:tc>
          <w:tcPr>
            <w:tcW w:w="1075" w:type="dxa"/>
            <w:tcBorders>
              <w:top w:val="single" w:color="000000" w:sz="4" w:space="0"/>
              <w:left w:val="single" w:color="000000" w:sz="4" w:space="0"/>
              <w:bottom w:val="nil"/>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项目实施的实际产出数与计划产出数的比率，用以反映和考核项目产出数量目标的实现程度。</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①实施现代农业产业园面积（亩）指标，完成该指标得满分；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24113.43</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24113.43</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9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kern w:val="0"/>
                <w:sz w:val="22"/>
                <w:szCs w:val="22"/>
                <w:u w:val="none"/>
                <w:lang w:val="en-US" w:eastAsia="zh-CN" w:bidi="ar"/>
              </w:rPr>
            </w:pPr>
          </w:p>
        </w:tc>
        <w:tc>
          <w:tcPr>
            <w:tcW w:w="1075" w:type="dxa"/>
            <w:vMerge w:val="restart"/>
            <w:tcBorders>
              <w:top w:val="single" w:color="000000" w:sz="4" w:space="0"/>
              <w:left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项目完成的质量达标产出数与实际产出数的比率，用以反映和考核项目产出质量目标的实现程度。</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①</w:t>
            </w:r>
            <w:r>
              <w:rPr>
                <w:rFonts w:hint="eastAsia" w:ascii="宋体" w:hAnsi="宋体" w:eastAsia="宋体" w:cs="宋体"/>
                <w:i w:val="0"/>
                <w:color w:val="000000"/>
                <w:kern w:val="0"/>
                <w:sz w:val="22"/>
                <w:szCs w:val="22"/>
                <w:u w:val="none"/>
                <w:lang w:val="en-US" w:eastAsia="zh-CN" w:bidi="ar"/>
              </w:rPr>
              <w:t>项目资金支付率（%）指标，完成该指标得满分；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2"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C2产出质量（5分）</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C102质量达标率</w:t>
            </w:r>
          </w:p>
        </w:tc>
        <w:tc>
          <w:tcPr>
            <w:tcW w:w="1075" w:type="dxa"/>
            <w:vMerge w:val="continue"/>
            <w:tcBorders>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default" w:ascii="Calibri" w:hAnsi="Calibri" w:eastAsia="宋体" w:cs="Calibri"/>
                <w:i w:val="0"/>
                <w:color w:val="000000"/>
                <w:kern w:val="0"/>
                <w:sz w:val="22"/>
                <w:szCs w:val="22"/>
                <w:u w:val="none"/>
                <w:lang w:val="en-US" w:eastAsia="zh-CN" w:bidi="ar"/>
              </w:rPr>
              <w:t>②</w:t>
            </w:r>
            <w:r>
              <w:rPr>
                <w:rFonts w:hint="eastAsia" w:ascii="宋体" w:hAnsi="宋体" w:eastAsia="宋体" w:cs="宋体"/>
                <w:i w:val="0"/>
                <w:color w:val="000000"/>
                <w:kern w:val="0"/>
                <w:sz w:val="22"/>
                <w:szCs w:val="22"/>
                <w:u w:val="none"/>
                <w:lang w:val="en-US" w:eastAsia="zh-CN" w:bidi="ar"/>
              </w:rPr>
              <w:t>项目验收合格率（%）指标，完成该指标得满分；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C3产出时效（5分）</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C103完成及时性</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项目实际完成时间与计划完成时间的比较，用以反映和考核项目产出时效目标的实现程度。</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①项目按计划开工时间（月）指标，完成该指标得满分；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398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②项目按计划完工时间（月）指标，完成该指标得满分。实际完成率=（实际产出数/计划产出数）*100%；得分=实际完成率*100%</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C4产出成本（10分）</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C401成本节约率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完成项目计划工作目标的实际节约成本与计划成本的比率，用以反映和考核项目的成本节约程度。</w:t>
            </w:r>
          </w:p>
        </w:tc>
        <w:tc>
          <w:tcPr>
            <w:tcW w:w="3980"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①项目预算控制率（%）指标，完成该指标得满分；</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100%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100%</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②每亩投入成本（元/亩）指标，完成该指标得满分。成本节约率=[（计划成本-实际成本）/计划成本]×100%，分值按照满分乘成本节约率，实际成本：项目实施单位如期、保质、保量完成既定工作目标实际所耗费的支出；计划成本：项目实施单位为完成工作目标计划安排的支出，一般以项目预算为参考。</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3658.4</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default" w:ascii="宋体" w:hAnsi="宋体" w:eastAsia="宋体" w:cs="宋体"/>
                <w:i w:val="0"/>
                <w:color w:val="000000"/>
                <w:sz w:val="22"/>
                <w:szCs w:val="22"/>
                <w:u w:val="none"/>
                <w:lang w:val="en-US"/>
              </w:rPr>
              <w:t>3658.4</w:t>
            </w:r>
          </w:p>
        </w:tc>
        <w:tc>
          <w:tcPr>
            <w:tcW w:w="4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0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left"/>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6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pageBreakBefore w:val="0"/>
              <w:kinsoku/>
              <w:wordWrap/>
              <w:bidi w:val="0"/>
              <w:spacing w:line="570" w:lineRule="exact"/>
              <w:jc w:val="both"/>
              <w:rPr>
                <w:rFonts w:hint="eastAsia" w:ascii="宋体" w:hAnsi="宋体" w:eastAsia="宋体" w:cs="宋体"/>
                <w:i w:val="0"/>
                <w:color w:val="000000"/>
                <w:sz w:val="22"/>
                <w:szCs w:val="22"/>
                <w:u w:val="none"/>
              </w:rPr>
            </w:pPr>
          </w:p>
        </w:tc>
        <w:tc>
          <w:tcPr>
            <w:tcW w:w="3980" w:type="dxa"/>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left"/>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社会效益指标</w:t>
            </w:r>
          </w:p>
        </w:tc>
        <w:tc>
          <w:tcPr>
            <w:tcW w:w="3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实施农业产业园建设促进农林牧发展指标，完成该指标得满分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有所提升</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有所提升</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4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生态效益</w:t>
            </w:r>
            <w:r>
              <w:rPr>
                <w:rFonts w:hint="eastAsia" w:ascii="宋体" w:hAnsi="宋体" w:eastAsia="宋体" w:cs="宋体"/>
                <w:i w:val="0"/>
                <w:color w:val="000000"/>
                <w:kern w:val="0"/>
                <w:sz w:val="22"/>
                <w:szCs w:val="22"/>
                <w:u w:val="none"/>
                <w:lang w:val="en-US" w:eastAsia="zh-CN" w:bidi="ar"/>
              </w:rPr>
              <w:t>指标</w:t>
            </w:r>
          </w:p>
        </w:tc>
        <w:tc>
          <w:tcPr>
            <w:tcW w:w="3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项目区水土流失改善情况指标，完成该指标得满分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有效改善</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有效改善</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980" w:hRule="atLeast"/>
        </w:trPr>
        <w:tc>
          <w:tcPr>
            <w:tcW w:w="59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64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D102满意度</w:t>
            </w:r>
          </w:p>
        </w:tc>
        <w:tc>
          <w:tcPr>
            <w:tcW w:w="10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社会公众或服务对象对项目实施效果的满意程度。</w:t>
            </w:r>
          </w:p>
        </w:tc>
        <w:tc>
          <w:tcPr>
            <w:tcW w:w="39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据满意度问卷统计情况计算完成比率，指标完成率=Σ样本数（“很</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满意”×1.0+“满意”×0.8+“一般”×0.6+“不满</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意”×0.3+“很不满意”×0）/总样本数×100.00%，</w:t>
            </w:r>
            <w:r>
              <w:rPr>
                <w:rFonts w:hint="eastAsia" w:ascii="宋体" w:hAnsi="宋体" w:cs="宋体"/>
                <w:i w:val="0"/>
                <w:color w:val="000000"/>
                <w:kern w:val="0"/>
                <w:sz w:val="22"/>
                <w:szCs w:val="22"/>
                <w:u w:val="none"/>
                <w:lang w:val="en-US" w:eastAsia="zh-CN" w:bidi="ar"/>
              </w:rPr>
              <w:t>根据</w:t>
            </w:r>
            <w:r>
              <w:rPr>
                <w:rFonts w:hint="eastAsia" w:ascii="宋体" w:hAnsi="宋体" w:eastAsia="宋体" w:cs="宋体"/>
                <w:i w:val="0"/>
                <w:color w:val="000000"/>
                <w:kern w:val="0"/>
                <w:sz w:val="22"/>
                <w:szCs w:val="22"/>
                <w:u w:val="none"/>
                <w:lang w:val="en-US" w:eastAsia="zh-CN" w:bidi="ar"/>
              </w:rPr>
              <w:t>访谈调研情</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况进行评分，得分大于等于XX%,得满分；实际完成率大于60%且小</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于XX%的，按超过的比重赋分，计算公式为：得分=（实际完成率-60%）</w:t>
            </w:r>
          </w:p>
          <w:p>
            <w:pPr>
              <w:keepNext w:val="0"/>
              <w:keepLines w:val="0"/>
              <w:pageBreakBefore w:val="0"/>
              <w:widowControl/>
              <w:suppressLineNumbers w:val="0"/>
              <w:kinsoku/>
              <w:wordWrap/>
              <w:bidi w:val="0"/>
              <w:spacing w:line="570" w:lineRule="exact"/>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/（1-60%）×指标分值；完成率小于60%为不及格，不得分。</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r>
              <w:rPr>
                <w:rFonts w:hint="eastAsia" w:ascii="宋体" w:hAnsi="宋体" w:cs="宋体"/>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95</w:t>
            </w:r>
            <w:r>
              <w:rPr>
                <w:rFonts w:hint="eastAsia" w:ascii="宋体" w:hAnsi="宋体" w:eastAsia="宋体" w:cs="宋体"/>
                <w:i w:val="0"/>
                <w:color w:val="000000"/>
                <w:kern w:val="0"/>
                <w:sz w:val="22"/>
                <w:szCs w:val="22"/>
                <w:u w:val="none"/>
                <w:lang w:val="en-US" w:eastAsia="zh-CN" w:bidi="ar"/>
              </w:rPr>
              <w:t>%</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7358" w:type="dxa"/>
            <w:gridSpan w:val="6"/>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40" w:type="dxa"/>
            <w:gridSpan w:val="2"/>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pageBreakBefore w:val="0"/>
              <w:kinsoku/>
              <w:wordWrap/>
              <w:bidi w:val="0"/>
              <w:spacing w:line="570" w:lineRule="exact"/>
              <w:jc w:val="center"/>
              <w:rPr>
                <w:rFonts w:hint="eastAsia" w:ascii="宋体" w:hAnsi="宋体" w:eastAsia="宋体" w:cs="宋体"/>
                <w:i w:val="0"/>
                <w:color w:val="000000"/>
                <w:sz w:val="22"/>
                <w:szCs w:val="22"/>
                <w:u w:val="none"/>
              </w:rPr>
            </w:pPr>
          </w:p>
        </w:tc>
        <w:tc>
          <w:tcPr>
            <w:tcW w:w="4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54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bidi w:val="0"/>
              <w:spacing w:line="570" w:lineRule="exact"/>
              <w:jc w:val="center"/>
              <w:textAlignment w:val="center"/>
              <w:rPr>
                <w:rFonts w:hint="default"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98.8</w:t>
            </w:r>
          </w:p>
        </w:tc>
      </w:tr>
    </w:tbl>
    <w:p>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hint="default" w:ascii="Times New Roman" w:hAnsi="Times New Roman" w:eastAsia="仿宋_GB2312" w:cs="Times New Roman"/>
          <w:b w:val="0"/>
          <w:bCs/>
          <w:color w:val="auto"/>
          <w:kern w:val="0"/>
          <w:sz w:val="32"/>
          <w:szCs w:val="32"/>
          <w:highlight w:val="none"/>
          <w:lang w:val="en-US" w:eastAsia="zh-CN"/>
        </w:rPr>
        <w:sectPr>
          <w:pgSz w:w="11906" w:h="16838"/>
          <w:pgMar w:top="1800" w:right="1440" w:bottom="1800" w:left="1440" w:header="851" w:footer="992" w:gutter="0"/>
          <w:pgNumType w:fmt="numberInDash"/>
          <w:cols w:space="425" w:num="1"/>
          <w:docGrid w:type="lines" w:linePitch="312" w:charSpace="0"/>
        </w:sectPr>
      </w:pPr>
    </w:p>
    <w:p>
      <w:pPr>
        <w:pStyle w:val="2"/>
        <w:bidi w:val="0"/>
        <w:rPr>
          <w:rFonts w:hint="eastAsia"/>
          <w:lang w:val="en-US" w:eastAsia="zh-CN"/>
        </w:rPr>
      </w:pPr>
      <w:bookmarkStart w:id="258" w:name="_Toc15575"/>
      <w:bookmarkStart w:id="259" w:name="_Toc26838_WPSOffice_Level1"/>
      <w:bookmarkStart w:id="260" w:name="_Toc29155"/>
      <w:r>
        <w:rPr>
          <w:rFonts w:hint="eastAsia"/>
          <w:lang w:val="en-US" w:eastAsia="zh-CN"/>
        </w:rPr>
        <w:t>附件3访谈</w:t>
      </w:r>
      <w:bookmarkEnd w:id="258"/>
      <w:r>
        <w:rPr>
          <w:rFonts w:hint="eastAsia"/>
          <w:lang w:val="en-US" w:eastAsia="zh-CN"/>
        </w:rPr>
        <w:t>报告</w:t>
      </w:r>
      <w:bookmarkEnd w:id="259"/>
      <w:bookmarkEnd w:id="260"/>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b w:val="0"/>
          <w:bCs/>
          <w:kern w:val="0"/>
          <w:sz w:val="40"/>
          <w:szCs w:val="40"/>
        </w:rPr>
      </w:pPr>
      <w:bookmarkStart w:id="261" w:name="_Toc15312"/>
      <w:bookmarkStart w:id="262" w:name="_Toc29636_WPSOffice_Level1"/>
      <w:bookmarkStart w:id="263" w:name="_Toc10947"/>
      <w:bookmarkStart w:id="264" w:name="_Toc30622"/>
      <w:bookmarkStart w:id="265" w:name="_Toc6164_WPSOffice_Level2"/>
      <w:r>
        <w:rPr>
          <w:rFonts w:hint="eastAsia" w:ascii="方正小标宋_GBK" w:hAnsi="方正小标宋_GBK" w:eastAsia="方正小标宋_GBK" w:cs="方正小标宋_GBK"/>
          <w:b w:val="0"/>
          <w:bCs/>
          <w:kern w:val="0"/>
          <w:sz w:val="40"/>
          <w:szCs w:val="40"/>
        </w:rPr>
        <w:t>2022年伽师县克孜勒博依生态综合整治工程项目相关负责人访谈提纲</w:t>
      </w:r>
      <w:bookmarkEnd w:id="261"/>
      <w:bookmarkEnd w:id="262"/>
      <w:bookmarkEnd w:id="263"/>
      <w:bookmarkEnd w:id="264"/>
      <w:bookmarkEnd w:id="265"/>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1"/>
        <w:rPr>
          <w:rFonts w:hint="eastAsia" w:ascii="方正仿宋_GBK" w:hAnsi="方正仿宋_GBK" w:eastAsia="方正仿宋_GBK" w:cs="方正仿宋_GBK"/>
          <w:b/>
          <w:bCs/>
          <w:kern w:val="0"/>
          <w:sz w:val="32"/>
          <w:szCs w:val="32"/>
        </w:rPr>
      </w:pPr>
      <w:bookmarkStart w:id="266" w:name="_Toc11974"/>
      <w:bookmarkStart w:id="267" w:name="_Toc24709"/>
      <w:bookmarkStart w:id="268" w:name="_Toc14809"/>
      <w:r>
        <w:rPr>
          <w:rFonts w:hint="eastAsia" w:ascii="方正仿宋_GBK" w:hAnsi="方正仿宋_GBK" w:eastAsia="方正仿宋_GBK" w:cs="方正仿宋_GBK"/>
          <w:b/>
          <w:bCs/>
          <w:kern w:val="0"/>
          <w:sz w:val="32"/>
          <w:szCs w:val="32"/>
        </w:rPr>
        <w:t>1.请您从以下几点谈谈该项目的概况</w:t>
      </w:r>
      <w:bookmarkEnd w:id="266"/>
      <w:bookmarkEnd w:id="267"/>
      <w:bookmarkEnd w:id="268"/>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kern w:val="0"/>
          <w:sz w:val="32"/>
          <w:szCs w:val="32"/>
        </w:rPr>
      </w:pPr>
      <w:bookmarkStart w:id="269" w:name="_Toc26050"/>
      <w:bookmarkStart w:id="270" w:name="_Toc28738"/>
      <w:bookmarkStart w:id="271" w:name="_Toc27067"/>
      <w:bookmarkStart w:id="272" w:name="_Toc23379_WPSOffice_Level2"/>
      <w:bookmarkStart w:id="273" w:name="_Toc3068_WPSOffice_Level2"/>
      <w:bookmarkStart w:id="274" w:name="_Toc27003"/>
      <w:bookmarkStart w:id="275" w:name="_Toc29710_WPSOffice_Level1"/>
      <w:r>
        <w:rPr>
          <w:rFonts w:hint="eastAsia" w:ascii="方正仿宋_GBK" w:hAnsi="方正仿宋_GBK" w:eastAsia="方正仿宋_GBK" w:cs="方正仿宋_GBK"/>
          <w:b/>
          <w:bCs/>
          <w:kern w:val="0"/>
          <w:sz w:val="32"/>
          <w:szCs w:val="32"/>
        </w:rPr>
        <w:t>（1）项目立项时间与背景；</w:t>
      </w:r>
      <w:bookmarkEnd w:id="269"/>
      <w:bookmarkEnd w:id="270"/>
      <w:bookmarkEnd w:id="271"/>
      <w:bookmarkEnd w:id="272"/>
      <w:bookmarkEnd w:id="273"/>
      <w:bookmarkEnd w:id="274"/>
      <w:bookmarkEnd w:id="275"/>
    </w:p>
    <w:p>
      <w:pPr>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方正仿宋_GBK" w:hAnsi="方正仿宋_GBK" w:eastAsia="方正仿宋_GBK" w:cs="方正仿宋_GBK"/>
          <w:kern w:val="16959"/>
          <w:sz w:val="32"/>
          <w:szCs w:val="32"/>
        </w:rPr>
      </w:pPr>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项目立项时间2021年8月。</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16959"/>
          <w:sz w:val="32"/>
          <w:szCs w:val="32"/>
        </w:rPr>
      </w:pPr>
      <w:r>
        <w:rPr>
          <w:rFonts w:hint="eastAsia" w:ascii="方正仿宋_GBK" w:hAnsi="方正仿宋_GBK" w:eastAsia="方正仿宋_GBK" w:cs="方正仿宋_GBK"/>
          <w:kern w:val="16959"/>
          <w:sz w:val="32"/>
          <w:szCs w:val="32"/>
        </w:rPr>
        <w:t>项目背景：主要在工程建设区因地制宜地采取土地整治工程及绿化等防治措施，达到有效治理工程建设防治责任范围内的水土流失，改善生态环境的目的。实施后，减少水土流失总量的控制率达到90％，可以改善工程区生态环境，并控制工程对周边区域的负面环境影响。可以利用工程实施的契机带动当地贫困人口的就业及专业技能提升，积极促进地方经济发展、促进社会进步、提高当地人民生活水平，社会效益显著。</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kern w:val="16959"/>
          <w:sz w:val="32"/>
          <w:szCs w:val="32"/>
        </w:rPr>
      </w:pPr>
      <w:r>
        <w:rPr>
          <w:rFonts w:hint="eastAsia" w:ascii="方正仿宋_GBK" w:hAnsi="方正仿宋_GBK" w:eastAsia="方正仿宋_GBK" w:cs="方正仿宋_GBK"/>
          <w:kern w:val="16959"/>
          <w:sz w:val="32"/>
          <w:szCs w:val="32"/>
        </w:rPr>
        <w:t>本项目的实施将极大地改善农牧业生产基础条件、带动乡镇企业的发展、扩大生产规模、增加农民收入，为灌区各族人民的脱贫致富、提高经济文化生活水平奠定坚实的基础，对社会的稳定和发展，边疆巩固都将起到积极的推动作用，也将为全县和地区“两个文明”建设做出贡献。</w:t>
      </w:r>
    </w:p>
    <w:p>
      <w:pPr>
        <w:pageBreakBefore w:val="0"/>
        <w:widowControl w:val="0"/>
        <w:numPr>
          <w:ilvl w:val="0"/>
          <w:numId w:val="6"/>
        </w:numPr>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kern w:val="0"/>
          <w:sz w:val="32"/>
          <w:szCs w:val="32"/>
        </w:rPr>
      </w:pPr>
      <w:bookmarkStart w:id="276" w:name="_Toc12697"/>
      <w:bookmarkStart w:id="277" w:name="_Toc16144_WPSOffice_Level1"/>
      <w:bookmarkStart w:id="278" w:name="_Toc286_WPSOffice_Level2"/>
      <w:bookmarkStart w:id="279" w:name="_Toc32562"/>
      <w:bookmarkStart w:id="280" w:name="_Toc10366_WPSOffice_Level2"/>
      <w:bookmarkStart w:id="281" w:name="_Toc13131"/>
      <w:bookmarkStart w:id="282" w:name="_Toc14715"/>
      <w:r>
        <w:rPr>
          <w:rFonts w:hint="eastAsia" w:ascii="方正仿宋_GBK" w:hAnsi="方正仿宋_GBK" w:eastAsia="方正仿宋_GBK" w:cs="方正仿宋_GBK"/>
          <w:b/>
          <w:bCs/>
          <w:kern w:val="0"/>
          <w:sz w:val="32"/>
          <w:szCs w:val="32"/>
        </w:rPr>
        <w:t>项目立项的目标；</w:t>
      </w:r>
      <w:bookmarkEnd w:id="276"/>
      <w:bookmarkEnd w:id="277"/>
      <w:bookmarkEnd w:id="278"/>
      <w:bookmarkEnd w:id="279"/>
      <w:bookmarkEnd w:id="280"/>
      <w:bookmarkEnd w:id="281"/>
      <w:bookmarkEnd w:id="282"/>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kern w:val="16959"/>
          <w:sz w:val="32"/>
          <w:szCs w:val="32"/>
        </w:rPr>
      </w:pPr>
      <w:bookmarkStart w:id="283" w:name="_Toc24247"/>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项目主要用于伽师县克孜勒博依镇坎迪尔勒克（19）村实施24113.43亩土地平整及高效节水，排碱渠，电路等配套附属工程。工程建设新增的水土流失得到有效治理。主要在工程建设区因地制宜地采取拦渣、土地整治工程及绿化（主体设计）等防治措施达到有效治理工程建设防治责任范围内的水土流失，改善生态环境的目的。</w:t>
      </w:r>
      <w:bookmarkEnd w:id="283"/>
      <w:r>
        <w:rPr>
          <w:rFonts w:hint="eastAsia" w:ascii="方正仿宋_GBK" w:hAnsi="方正仿宋_GBK" w:eastAsia="方正仿宋_GBK" w:cs="方正仿宋_GBK"/>
          <w:kern w:val="16959"/>
          <w:sz w:val="32"/>
          <w:szCs w:val="32"/>
        </w:rPr>
        <w:t xml:space="preserve"> </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kern w:val="0"/>
          <w:sz w:val="32"/>
          <w:szCs w:val="32"/>
        </w:rPr>
      </w:pPr>
      <w:bookmarkStart w:id="284" w:name="_Toc3473"/>
      <w:bookmarkStart w:id="285" w:name="_Toc10328_WPSOffice_Level2"/>
      <w:bookmarkStart w:id="286" w:name="_Toc19957_WPSOffice_Level2"/>
      <w:bookmarkStart w:id="287" w:name="_Toc1013"/>
      <w:bookmarkStart w:id="288" w:name="_Toc18326"/>
      <w:bookmarkStart w:id="289" w:name="_Toc28712"/>
      <w:bookmarkStart w:id="290" w:name="_Toc15261_WPSOffice_Level1"/>
      <w:r>
        <w:rPr>
          <w:rFonts w:hint="eastAsia" w:ascii="方正仿宋_GBK" w:hAnsi="方正仿宋_GBK" w:eastAsia="方正仿宋_GBK" w:cs="方正仿宋_GBK"/>
          <w:b/>
          <w:bCs/>
          <w:kern w:val="0"/>
          <w:sz w:val="32"/>
          <w:szCs w:val="32"/>
        </w:rPr>
        <w:t>（3）2022年伽师县克孜勒博依生态综合整治工程项目的内容与实施情况</w:t>
      </w:r>
      <w:bookmarkEnd w:id="284"/>
      <w:bookmarkEnd w:id="285"/>
      <w:bookmarkEnd w:id="286"/>
      <w:bookmarkEnd w:id="287"/>
      <w:bookmarkEnd w:id="288"/>
      <w:bookmarkEnd w:id="289"/>
      <w:bookmarkEnd w:id="290"/>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kern w:val="16959"/>
          <w:sz w:val="32"/>
          <w:szCs w:val="32"/>
        </w:rPr>
      </w:pPr>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通过对项目区的渠、路、灌溉排水系统进行合理布局，对项目区进行总体规划，全面提升农田质量，开展灌溉与排水、田间道路、土地平整、土壤改良、农田生态林建设、农田输配电以及其他相关工程建设，保障项目区高效利用的建设活动。本项目实施土地平整面积28924亩；新建生态支渠1条，长度10.29km，新建生 态斗渠2条，斗渠总长7.34km；新建田间道路31条，总长66.88km，其中土路50.25 km，砂砾石道路16.63km；新建排渠47条，排渠总长59.16km，其中斗排5条，斗排总长17.81km，农排 42条，农排总长41.35km；新建高效节水灌溉面积23179亩，共分为28个滴灌系统，种植作物为杏李、开心果等果树，新建15座沉砂池及泵站，并配套相关机电设备及附属设施。</w:t>
      </w:r>
    </w:p>
    <w:p>
      <w:pPr>
        <w:pageBreakBefore w:val="0"/>
        <w:widowControl w:val="0"/>
        <w:numPr>
          <w:ilvl w:val="0"/>
          <w:numId w:val="6"/>
        </w:numPr>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kern w:val="0"/>
          <w:sz w:val="32"/>
          <w:szCs w:val="32"/>
        </w:rPr>
      </w:pPr>
      <w:bookmarkStart w:id="291" w:name="_Toc13085"/>
      <w:bookmarkStart w:id="292" w:name="_Toc10664_WPSOffice_Level1"/>
      <w:bookmarkStart w:id="293" w:name="_Toc18765_WPSOffice_Level3"/>
      <w:bookmarkStart w:id="294" w:name="_Toc13733"/>
      <w:bookmarkStart w:id="295" w:name="_Toc19972"/>
      <w:bookmarkStart w:id="296" w:name="_Toc31330"/>
      <w:bookmarkStart w:id="297" w:name="_Toc24453_WPSOffice_Level3"/>
      <w:r>
        <w:rPr>
          <w:rFonts w:hint="eastAsia" w:ascii="方正仿宋_GBK" w:hAnsi="方正仿宋_GBK" w:eastAsia="方正仿宋_GBK" w:cs="方正仿宋_GBK"/>
          <w:b/>
          <w:bCs/>
          <w:kern w:val="0"/>
          <w:sz w:val="32"/>
          <w:szCs w:val="32"/>
        </w:rPr>
        <w:t>该项目取得的成绩与经验做法</w:t>
      </w:r>
      <w:bookmarkEnd w:id="291"/>
      <w:bookmarkEnd w:id="292"/>
      <w:bookmarkEnd w:id="293"/>
      <w:bookmarkEnd w:id="294"/>
      <w:bookmarkEnd w:id="295"/>
      <w:bookmarkEnd w:id="296"/>
      <w:bookmarkEnd w:id="297"/>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kern w:val="16959"/>
          <w:sz w:val="32"/>
          <w:szCs w:val="32"/>
        </w:rPr>
      </w:pPr>
      <w:bookmarkStart w:id="298" w:name="_Toc20149"/>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该项目取得生态效益为主，方案实施后，减少水土流失总量的控制率达到90％。因此，从总体上看，本工程水土保持方案的实施，可以改善工程区生态环境，并控制工程对周边区域的负面环境影响。同时也有社会效益，抑制了项目区内沙粒活动源，防治并保护项目区内的沙质弃料活化移动从而形成再造沙丘。</w:t>
      </w:r>
      <w:bookmarkEnd w:id="298"/>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方正仿宋_GBK" w:hAnsi="方正仿宋_GBK" w:eastAsia="方正仿宋_GBK" w:cs="方正仿宋_GBK"/>
          <w:b/>
          <w:bCs/>
          <w:kern w:val="0"/>
          <w:sz w:val="32"/>
          <w:szCs w:val="32"/>
        </w:rPr>
      </w:pPr>
      <w:bookmarkStart w:id="299" w:name="_Toc11464"/>
      <w:bookmarkStart w:id="300" w:name="_Toc1697"/>
      <w:bookmarkStart w:id="301" w:name="_Toc17397"/>
      <w:r>
        <w:rPr>
          <w:rFonts w:hint="eastAsia" w:ascii="方正仿宋_GBK" w:hAnsi="方正仿宋_GBK" w:eastAsia="方正仿宋_GBK" w:cs="方正仿宋_GBK"/>
          <w:b/>
          <w:bCs/>
          <w:kern w:val="0"/>
          <w:sz w:val="32"/>
          <w:szCs w:val="32"/>
          <w:lang w:val="en-US" w:eastAsia="zh-CN"/>
        </w:rPr>
        <w:t>2.</w:t>
      </w:r>
      <w:r>
        <w:rPr>
          <w:rFonts w:hint="eastAsia" w:ascii="方正仿宋_GBK" w:hAnsi="方正仿宋_GBK" w:eastAsia="方正仿宋_GBK" w:cs="方正仿宋_GBK"/>
          <w:b/>
          <w:bCs/>
          <w:kern w:val="0"/>
          <w:sz w:val="32"/>
          <w:szCs w:val="32"/>
        </w:rPr>
        <w:t>请您简要介绍该项目的预算申请编报、审批和拨付流程</w:t>
      </w:r>
      <w:bookmarkEnd w:id="299"/>
      <w:bookmarkEnd w:id="300"/>
      <w:bookmarkEnd w:id="301"/>
      <w:r>
        <w:rPr>
          <w:rFonts w:hint="eastAsia" w:ascii="方正仿宋_GBK" w:hAnsi="方正仿宋_GBK" w:eastAsia="方正仿宋_GBK" w:cs="方正仿宋_GBK"/>
          <w:b/>
          <w:bCs/>
          <w:kern w:val="0"/>
          <w:sz w:val="32"/>
          <w:szCs w:val="32"/>
        </w:rPr>
        <w:t>？</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kern w:val="16959"/>
          <w:sz w:val="32"/>
          <w:szCs w:val="32"/>
        </w:rPr>
      </w:pPr>
      <w:bookmarkStart w:id="302" w:name="_Toc24027"/>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严格按照财政部门对专项债券项目的预算申请编报、审批和拨付流程开展相关工作。</w:t>
      </w:r>
      <w:bookmarkEnd w:id="302"/>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3.</w:t>
      </w:r>
      <w:r>
        <w:rPr>
          <w:rFonts w:hint="eastAsia" w:ascii="方正仿宋_GBK" w:hAnsi="方正仿宋_GBK" w:eastAsia="方正仿宋_GBK" w:cs="方正仿宋_GBK"/>
          <w:b/>
          <w:bCs/>
          <w:kern w:val="0"/>
          <w:sz w:val="32"/>
          <w:szCs w:val="32"/>
        </w:rPr>
        <w:t>请您简要介绍该项目经费项目实施的关键环节有哪些？针对各环节已制定的管理办法有哪些？以及上述办法的实际实施过程中是如何操作的。</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kern w:val="0"/>
          <w:sz w:val="32"/>
          <w:szCs w:val="32"/>
        </w:rPr>
      </w:pPr>
      <w:bookmarkStart w:id="303" w:name="_Toc4977"/>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项目实施关键环节有编写实施方案，立项，选址，评审，招投标，施工，竣工验收等；项目编写实施方案按照有关文件，招投标法，资金使用管理办法等；实施前相关部门审核，立项，确定招标控制价，政府公开招标，签订施工合同，监督施工过程，组织相关部门竣工验收，施工资料整理送审。</w:t>
      </w:r>
      <w:bookmarkEnd w:id="303"/>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4.</w:t>
      </w:r>
      <w:r>
        <w:rPr>
          <w:rFonts w:hint="eastAsia" w:ascii="方正仿宋_GBK" w:hAnsi="方正仿宋_GBK" w:eastAsia="方正仿宋_GBK" w:cs="方正仿宋_GBK"/>
          <w:b/>
          <w:bCs/>
          <w:kern w:val="0"/>
          <w:sz w:val="32"/>
          <w:szCs w:val="32"/>
        </w:rPr>
        <w:t>请您谈谈作为项目实施单位，为确保达到经费的合理支出都做了哪些监督和约束工作？</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kern w:val="0"/>
          <w:sz w:val="32"/>
          <w:szCs w:val="32"/>
        </w:rPr>
      </w:pPr>
      <w:bookmarkStart w:id="304" w:name="_Toc22577"/>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为确保项目资金合理我单位专门派人监督施工进度和施工质量，甚至监督农民工账号是否正常开通，符合支付资金让施工单位申请资金，提供税务发票，才能按照财务报账制度要求支付项目资金。</w:t>
      </w:r>
      <w:bookmarkEnd w:id="304"/>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5.</w:t>
      </w:r>
      <w:r>
        <w:rPr>
          <w:rFonts w:hint="eastAsia" w:ascii="方正仿宋_GBK" w:hAnsi="方正仿宋_GBK" w:eastAsia="方正仿宋_GBK" w:cs="方正仿宋_GBK"/>
          <w:b/>
          <w:bCs/>
          <w:kern w:val="0"/>
          <w:sz w:val="32"/>
          <w:szCs w:val="32"/>
        </w:rPr>
        <w:t>该项目实施过程中涉及的部门或单位有哪些？相互之间是如何联合确保项目顺利开展的？</w:t>
      </w:r>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b w:val="0"/>
          <w:bCs w:val="0"/>
          <w:kern w:val="16959"/>
          <w:sz w:val="32"/>
          <w:szCs w:val="32"/>
        </w:rPr>
      </w:pPr>
      <w:bookmarkStart w:id="305" w:name="_Toc22937"/>
      <w:r>
        <w:rPr>
          <w:rFonts w:hint="eastAsia" w:ascii="方正仿宋_GBK" w:hAnsi="方正仿宋_GBK" w:eastAsia="方正仿宋_GBK" w:cs="方正仿宋_GBK"/>
          <w:b w:val="0"/>
          <w:bCs w:val="0"/>
          <w:kern w:val="0"/>
          <w:sz w:val="32"/>
          <w:szCs w:val="32"/>
        </w:rPr>
        <w:t>答：</w:t>
      </w:r>
      <w:r>
        <w:rPr>
          <w:rFonts w:hint="eastAsia" w:ascii="方正仿宋_GBK" w:hAnsi="方正仿宋_GBK" w:eastAsia="方正仿宋_GBK" w:cs="方正仿宋_GBK"/>
          <w:b w:val="0"/>
          <w:bCs w:val="0"/>
          <w:kern w:val="16959"/>
          <w:sz w:val="32"/>
          <w:szCs w:val="32"/>
        </w:rPr>
        <w:t>项目实施过程中有以下单位协助项目实施，发改委：负责办理立项。住建局：负责办理基建类项目招投标前期手续。环保局：负责环评报告。自然资源局：项目主要实施单位，编写实施方案，选址，招投标，项目资金支出，验收等。审计局：负责督促按时报送审计项目资料。</w:t>
      </w:r>
      <w:bookmarkEnd w:id="305"/>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1"/>
        <w:rPr>
          <w:rFonts w:hint="eastAsia" w:ascii="方正仿宋_GBK" w:hAnsi="方正仿宋_GBK" w:eastAsia="方正仿宋_GBK" w:cs="方正仿宋_GBK"/>
          <w:b/>
          <w:bCs/>
          <w:kern w:val="0"/>
          <w:sz w:val="32"/>
          <w:szCs w:val="32"/>
        </w:rPr>
      </w:pPr>
      <w:bookmarkStart w:id="306" w:name="_Toc13314"/>
      <w:bookmarkStart w:id="307" w:name="_Toc23503"/>
      <w:bookmarkStart w:id="308" w:name="_Toc9685"/>
      <w:r>
        <w:rPr>
          <w:rFonts w:hint="eastAsia" w:ascii="方正仿宋_GBK" w:hAnsi="方正仿宋_GBK" w:eastAsia="方正仿宋_GBK" w:cs="方正仿宋_GBK"/>
          <w:b/>
          <w:bCs/>
          <w:kern w:val="0"/>
          <w:sz w:val="32"/>
          <w:szCs w:val="32"/>
          <w:lang w:val="en-US" w:eastAsia="zh-CN"/>
        </w:rPr>
        <w:t>6.</w:t>
      </w:r>
      <w:r>
        <w:rPr>
          <w:rFonts w:hint="eastAsia" w:ascii="方正仿宋_GBK" w:hAnsi="方正仿宋_GBK" w:eastAsia="方正仿宋_GBK" w:cs="方正仿宋_GBK"/>
          <w:b/>
          <w:bCs/>
          <w:kern w:val="0"/>
          <w:sz w:val="32"/>
          <w:szCs w:val="32"/>
        </w:rPr>
        <w:t>通过本项目经费，您认为是否达到了其预期效果？</w:t>
      </w:r>
      <w:bookmarkEnd w:id="306"/>
      <w:bookmarkEnd w:id="307"/>
      <w:bookmarkEnd w:id="308"/>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kern w:val="16959"/>
          <w:sz w:val="32"/>
          <w:szCs w:val="32"/>
        </w:rPr>
      </w:pPr>
      <w:bookmarkStart w:id="309" w:name="_Toc20852"/>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我认为达到预期效果，可以有效</w:t>
      </w:r>
      <w:r>
        <w:rPr>
          <w:rFonts w:hint="eastAsia" w:ascii="方正仿宋_GBK" w:hAnsi="方正仿宋_GBK" w:eastAsia="方正仿宋_GBK" w:cs="方正仿宋_GBK"/>
          <w:kern w:val="16959"/>
          <w:sz w:val="32"/>
          <w:szCs w:val="32"/>
          <w:lang w:val="en-US" w:eastAsia="zh-CN"/>
        </w:rPr>
        <w:t>地</w:t>
      </w:r>
      <w:r>
        <w:rPr>
          <w:rFonts w:hint="eastAsia" w:ascii="方正仿宋_GBK" w:hAnsi="方正仿宋_GBK" w:eastAsia="方正仿宋_GBK" w:cs="方正仿宋_GBK"/>
          <w:kern w:val="16959"/>
          <w:sz w:val="32"/>
          <w:szCs w:val="32"/>
        </w:rPr>
        <w:t>改善项目区及周边的生态环境并带动当地经济发展。通过实施土地平整工程，并配套相应的微灌管道及附属设施，对项目区内渠道进行防渗，不仅可以使农田灌水均匀，提高渠系水利用系数，还可以实现水肥一体化，精确灌溉，达到节水增产的效果。</w:t>
      </w:r>
      <w:bookmarkEnd w:id="309"/>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0"/>
          <w:sz w:val="32"/>
          <w:szCs w:val="32"/>
          <w:lang w:eastAsia="zh-CN"/>
        </w:rPr>
      </w:pPr>
      <w:r>
        <w:rPr>
          <w:rFonts w:hint="eastAsia" w:ascii="方正仿宋_GBK" w:hAnsi="方正仿宋_GBK" w:eastAsia="方正仿宋_GBK" w:cs="方正仿宋_GBK"/>
          <w:b/>
          <w:bCs/>
          <w:kern w:val="0"/>
          <w:sz w:val="32"/>
          <w:szCs w:val="32"/>
          <w:lang w:val="en-US" w:eastAsia="zh-CN"/>
        </w:rPr>
        <w:t>7.</w:t>
      </w:r>
      <w:r>
        <w:rPr>
          <w:rFonts w:hint="eastAsia" w:ascii="方正仿宋_GBK" w:hAnsi="方正仿宋_GBK" w:eastAsia="方正仿宋_GBK" w:cs="方正仿宋_GBK"/>
          <w:b/>
          <w:bCs/>
          <w:kern w:val="0"/>
          <w:sz w:val="32"/>
          <w:szCs w:val="32"/>
        </w:rPr>
        <w:t>请您谈谈该项目实施过程中出现的问题或难点，以及下一步的工作规划？</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kern w:val="16959"/>
          <w:sz w:val="32"/>
          <w:szCs w:val="32"/>
        </w:rPr>
      </w:pPr>
      <w:bookmarkStart w:id="310" w:name="_Toc22673"/>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实施过程中出现的问题或难点：项目区盐碱特别大，多年没进水，运营方浇水稍多就会造成沉砂池、泵房、渠道等建筑物下沉或垮塌，造成很多矛盾。</w:t>
      </w:r>
      <w:bookmarkEnd w:id="310"/>
    </w:p>
    <w:p>
      <w:pPr>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kern w:val="16959"/>
          <w:sz w:val="32"/>
          <w:szCs w:val="32"/>
        </w:rPr>
      </w:pPr>
      <w:bookmarkStart w:id="311" w:name="_Toc13438"/>
      <w:r>
        <w:rPr>
          <w:rFonts w:hint="eastAsia" w:ascii="方正仿宋_GBK" w:hAnsi="方正仿宋_GBK" w:eastAsia="方正仿宋_GBK" w:cs="方正仿宋_GBK"/>
          <w:kern w:val="16959"/>
          <w:sz w:val="32"/>
          <w:szCs w:val="32"/>
        </w:rPr>
        <w:t>下一步的工作规划：建议施工方或运营方在建筑物四周加大土方堆积，减少下沉或垮塌风险。</w:t>
      </w:r>
      <w:bookmarkEnd w:id="311"/>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8.</w:t>
      </w:r>
      <w:r>
        <w:rPr>
          <w:rFonts w:hint="eastAsia" w:ascii="方正仿宋_GBK" w:hAnsi="方正仿宋_GBK" w:eastAsia="方正仿宋_GBK" w:cs="方正仿宋_GBK"/>
          <w:b/>
          <w:bCs/>
          <w:kern w:val="0"/>
          <w:sz w:val="32"/>
          <w:szCs w:val="32"/>
        </w:rPr>
        <w:t>请您简要说明一下，单位财务管理制度是否健全？对于规范财政专项经费管理方面做了哪些工作？</w:t>
      </w:r>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color w:val="auto"/>
          <w:kern w:val="16959"/>
          <w:sz w:val="32"/>
          <w:szCs w:val="32"/>
        </w:rPr>
      </w:pPr>
      <w:bookmarkStart w:id="312" w:name="_Toc24417"/>
      <w:r>
        <w:rPr>
          <w:rFonts w:hint="eastAsia" w:ascii="方正仿宋_GBK" w:hAnsi="方正仿宋_GBK" w:eastAsia="方正仿宋_GBK" w:cs="方正仿宋_GBK"/>
          <w:b/>
          <w:bCs/>
          <w:color w:val="auto"/>
          <w:kern w:val="0"/>
          <w:sz w:val="32"/>
          <w:szCs w:val="32"/>
        </w:rPr>
        <w:t>答：</w:t>
      </w:r>
      <w:r>
        <w:rPr>
          <w:rFonts w:hint="eastAsia" w:ascii="方正仿宋_GBK" w:hAnsi="方正仿宋_GBK" w:eastAsia="方正仿宋_GBK" w:cs="方正仿宋_GBK"/>
          <w:color w:val="auto"/>
          <w:kern w:val="16959"/>
          <w:sz w:val="32"/>
          <w:szCs w:val="32"/>
        </w:rPr>
        <w:t>我单位财务管理制度是齐全的，根据财务管理规章制度，衔接资金管制制度，债券资金管理制度等文件基础</w:t>
      </w:r>
      <w:r>
        <w:rPr>
          <w:rFonts w:hint="eastAsia" w:ascii="方正仿宋_GBK" w:hAnsi="方正仿宋_GBK" w:eastAsia="方正仿宋_GBK" w:cs="方正仿宋_GBK"/>
          <w:color w:val="auto"/>
          <w:kern w:val="16959"/>
          <w:sz w:val="32"/>
          <w:szCs w:val="32"/>
          <w:lang w:val="en-US" w:eastAsia="zh-CN"/>
        </w:rPr>
        <w:t>上</w:t>
      </w:r>
      <w:r>
        <w:rPr>
          <w:rFonts w:hint="eastAsia" w:ascii="方正仿宋_GBK" w:hAnsi="方正仿宋_GBK" w:eastAsia="方正仿宋_GBK" w:cs="方正仿宋_GBK"/>
          <w:color w:val="auto"/>
          <w:kern w:val="16959"/>
          <w:sz w:val="32"/>
          <w:szCs w:val="32"/>
        </w:rPr>
        <w:t>制定了伽师县自然资源局财务管理制度，单位领导班子上会研究相关费用才能支出资金。</w:t>
      </w:r>
      <w:bookmarkEnd w:id="312"/>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color w:val="auto"/>
          <w:kern w:val="0"/>
          <w:sz w:val="32"/>
          <w:szCs w:val="32"/>
        </w:rPr>
      </w:pPr>
      <w:bookmarkStart w:id="313" w:name="_Toc11111"/>
      <w:r>
        <w:rPr>
          <w:rFonts w:hint="eastAsia" w:ascii="方正仿宋_GBK" w:hAnsi="方正仿宋_GBK" w:eastAsia="方正仿宋_GBK" w:cs="方正仿宋_GBK"/>
          <w:b/>
          <w:bCs/>
          <w:color w:val="auto"/>
          <w:kern w:val="0"/>
          <w:sz w:val="32"/>
          <w:szCs w:val="32"/>
          <w:lang w:val="en-US" w:eastAsia="zh-CN"/>
        </w:rPr>
        <w:t>9</w:t>
      </w:r>
      <w:r>
        <w:rPr>
          <w:rFonts w:hint="eastAsia" w:ascii="方正仿宋_GBK" w:hAnsi="方正仿宋_GBK" w:eastAsia="方正仿宋_GBK" w:cs="方正仿宋_GBK"/>
          <w:b/>
          <w:bCs/>
          <w:color w:val="auto"/>
          <w:kern w:val="0"/>
          <w:sz w:val="32"/>
          <w:szCs w:val="32"/>
        </w:rPr>
        <w:t>.请您简要说明一下，单位专项债券收支、还本付息及专项收入是否纳入政府性基金预算管理？</w:t>
      </w:r>
      <w:bookmarkEnd w:id="313"/>
    </w:p>
    <w:p>
      <w:pPr>
        <w:pageBreakBefore w:val="0"/>
        <w:widowControl w:val="0"/>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kern w:val="16959"/>
          <w:sz w:val="32"/>
          <w:szCs w:val="32"/>
        </w:rPr>
      </w:pPr>
      <w:bookmarkStart w:id="314" w:name="_Toc1843"/>
      <w:r>
        <w:rPr>
          <w:rFonts w:hint="eastAsia" w:ascii="方正仿宋_GBK" w:hAnsi="方正仿宋_GBK" w:eastAsia="方正仿宋_GBK" w:cs="方正仿宋_GBK"/>
          <w:b/>
          <w:bCs/>
          <w:kern w:val="0"/>
          <w:sz w:val="32"/>
          <w:szCs w:val="32"/>
        </w:rPr>
        <w:t>答：</w:t>
      </w:r>
      <w:r>
        <w:rPr>
          <w:rFonts w:hint="eastAsia" w:ascii="方正仿宋_GBK" w:hAnsi="方正仿宋_GBK" w:eastAsia="方正仿宋_GBK" w:cs="方正仿宋_GBK"/>
          <w:kern w:val="16959"/>
          <w:sz w:val="32"/>
          <w:szCs w:val="32"/>
        </w:rPr>
        <w:t>专项债券收支、还本付息及专项收入严格按照要求申请纳入政府性基金预算管理。</w:t>
      </w:r>
      <w:bookmarkEnd w:id="314"/>
    </w:p>
    <w:p>
      <w:pPr>
        <w:pStyle w:val="4"/>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eastAsia" w:ascii="方正仿宋_GBK" w:hAnsi="方正仿宋_GBK" w:eastAsia="方正仿宋_GBK" w:cs="方正仿宋_GBK"/>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pStyle w:val="2"/>
        <w:bidi w:val="0"/>
        <w:rPr>
          <w:rFonts w:hint="eastAsia"/>
          <w:lang w:val="en-US" w:eastAsia="zh-CN"/>
        </w:rPr>
      </w:pPr>
      <w:bookmarkStart w:id="315" w:name="_Toc30477_WPSOffice_Level1"/>
      <w:r>
        <w:rPr>
          <w:rFonts w:hint="eastAsia"/>
          <w:lang w:val="en-US" w:eastAsia="zh-CN"/>
        </w:rPr>
        <w:t>附件4满意度问卷调查</w:t>
      </w:r>
      <w:bookmarkEnd w:id="315"/>
    </w:p>
    <w:p>
      <w:pPr>
        <w:keepLines w:val="0"/>
        <w:spacing w:after="400"/>
        <w:ind w:firstLine="160"/>
        <w:jc w:val="center"/>
        <w:rPr>
          <w:rFonts w:hint="eastAsia" w:ascii="方正黑体_GBK" w:hAnsi="方正黑体_GBK" w:eastAsia="方正黑体_GBK" w:cs="方正黑体_GBK"/>
          <w:b w:val="0"/>
          <w:bCs/>
          <w:sz w:val="32"/>
          <w:szCs w:val="32"/>
        </w:rPr>
      </w:pPr>
      <w:bookmarkStart w:id="316" w:name="_Toc415_WPSOffice_Level2"/>
      <w:r>
        <w:rPr>
          <w:rFonts w:hint="eastAsia" w:ascii="方正黑体_GBK" w:hAnsi="方正黑体_GBK" w:eastAsia="方正黑体_GBK" w:cs="方正黑体_GBK"/>
          <w:b w:val="0"/>
          <w:bCs/>
          <w:sz w:val="32"/>
          <w:szCs w:val="32"/>
        </w:rPr>
        <w:t>伽师县克孜勒博依生态综合</w:t>
      </w:r>
      <w:r>
        <w:rPr>
          <w:rFonts w:hint="eastAsia" w:ascii="方正黑体_GBK" w:hAnsi="方正黑体_GBK" w:eastAsia="方正黑体_GBK" w:cs="方正黑体_GBK"/>
          <w:b w:val="0"/>
          <w:bCs/>
          <w:sz w:val="32"/>
          <w:szCs w:val="32"/>
          <w:lang w:val="en-US" w:eastAsia="zh-CN"/>
        </w:rPr>
        <w:t>整治</w:t>
      </w:r>
      <w:r>
        <w:rPr>
          <w:rFonts w:hint="eastAsia" w:ascii="方正黑体_GBK" w:hAnsi="方正黑体_GBK" w:eastAsia="方正黑体_GBK" w:cs="方正黑体_GBK"/>
          <w:b w:val="0"/>
          <w:bCs/>
          <w:sz w:val="32"/>
          <w:szCs w:val="32"/>
        </w:rPr>
        <w:t>工程（现代农业产业园）项目</w:t>
      </w:r>
      <w:bookmarkEnd w:id="316"/>
    </w:p>
    <w:p>
      <w:pPr>
        <w:rPr>
          <w:b/>
          <w:sz w:val="32"/>
        </w:rPr>
      </w:pPr>
      <w:r>
        <w:rPr>
          <w:b w:val="0"/>
          <w:color w:val="000000"/>
          <w:sz w:val="24"/>
        </w:rPr>
        <w:t xml:space="preserve">第1题   你是否伽师县户籍？      </w:t>
      </w:r>
      <w:r>
        <w:rPr>
          <w:b w:val="0"/>
          <w:color w:val="0066FF"/>
          <w:sz w:val="24"/>
        </w:rPr>
        <w:t>[单选题]</w:t>
      </w:r>
    </w:p>
    <w:p>
      <w:pPr>
        <w:rPr>
          <w:b w:val="0"/>
          <w:color w:val="0066FF"/>
          <w:sz w:val="24"/>
        </w:rPr>
      </w:pPr>
    </w:p>
    <w:tbl>
      <w:tblPr>
        <w:tblStyle w:val="11"/>
        <w:tblW w:w="8522"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3185"/>
        <w:gridCol w:w="1038"/>
        <w:gridCol w:w="429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选项</w:t>
            </w:r>
          </w:p>
        </w:tc>
        <w:tc>
          <w:tcPr>
            <w:tcW w:w="1038" w:type="dxa"/>
            <w:shd w:val="clear" w:color="auto" w:fill="F5F5F5"/>
            <w:vAlign w:val="center"/>
          </w:tcPr>
          <w:p>
            <w:pPr>
              <w:jc w:val="center"/>
            </w:pPr>
            <w:r>
              <w:t>小计</w:t>
            </w:r>
          </w:p>
        </w:tc>
        <w:tc>
          <w:tcPr>
            <w:tcW w:w="4299" w:type="dxa"/>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是</w:t>
            </w:r>
          </w:p>
        </w:tc>
        <w:tc>
          <w:tcPr>
            <w:tcW w:w="1038" w:type="dxa"/>
            <w:shd w:val="clear" w:color="auto" w:fill="FFFFFF"/>
            <w:vAlign w:val="center"/>
          </w:tcPr>
          <w:p>
            <w:pPr>
              <w:jc w:val="center"/>
            </w:pPr>
            <w:r>
              <w:rPr>
                <w:rFonts w:hint="eastAsia" w:eastAsia="宋体"/>
                <w:lang w:val="en-US" w:eastAsia="zh-CN"/>
              </w:rPr>
              <w:t>22</w:t>
            </w:r>
            <w:r>
              <w:t>9</w:t>
            </w:r>
          </w:p>
        </w:tc>
        <w:tc>
          <w:tcPr>
            <w:tcW w:w="4299" w:type="dxa"/>
            <w:shd w:val="clear" w:color="auto" w:fill="FFFFFF"/>
            <w:vAlign w:val="center"/>
          </w:tcPr>
          <w:p>
            <w:pPr>
              <w:jc w:val="left"/>
            </w:pPr>
            <w:r>
              <w:drawing>
                <wp:inline distT="0" distB="0" distL="114300" distR="114300">
                  <wp:extent cx="1352550" cy="11430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AFAFA"/>
            <w:vAlign w:val="center"/>
          </w:tcPr>
          <w:p>
            <w:pPr>
              <w:jc w:val="left"/>
            </w:pPr>
            <w:r>
              <w:t>不是</w:t>
            </w:r>
          </w:p>
        </w:tc>
        <w:tc>
          <w:tcPr>
            <w:tcW w:w="1038" w:type="dxa"/>
            <w:shd w:val="clear" w:color="auto" w:fill="FAFAFA"/>
            <w:vAlign w:val="center"/>
          </w:tcPr>
          <w:p>
            <w:pPr>
              <w:jc w:val="center"/>
            </w:pPr>
            <w:r>
              <w:t>0</w:t>
            </w:r>
          </w:p>
        </w:tc>
        <w:tc>
          <w:tcPr>
            <w:tcW w:w="4299" w:type="dxa"/>
            <w:shd w:val="clear" w:color="auto" w:fill="FAFAFA"/>
            <w:vAlign w:val="center"/>
          </w:tcPr>
          <w:p>
            <w:pPr>
              <w:jc w:val="left"/>
            </w:pPr>
            <w:r>
              <w:drawing>
                <wp:inline distT="0" distB="0" distL="114300" distR="114300">
                  <wp:extent cx="1352550" cy="114300"/>
                  <wp:effectExtent l="0" t="0" r="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本题有效填写人次</w:t>
            </w:r>
          </w:p>
        </w:tc>
        <w:tc>
          <w:tcPr>
            <w:tcW w:w="1038" w:type="dxa"/>
            <w:shd w:val="clear" w:color="auto" w:fill="F5F5F5"/>
            <w:vAlign w:val="center"/>
          </w:tcPr>
          <w:p>
            <w:pPr>
              <w:jc w:val="center"/>
            </w:pPr>
            <w:r>
              <w:rPr>
                <w:rFonts w:hint="eastAsia" w:eastAsia="宋体"/>
                <w:lang w:val="en-US" w:eastAsia="zh-CN"/>
              </w:rPr>
              <w:t>2</w:t>
            </w:r>
            <w:r>
              <w:t>29</w:t>
            </w:r>
          </w:p>
        </w:tc>
        <w:tc>
          <w:tcPr>
            <w:tcW w:w="4299" w:type="dxa"/>
            <w:shd w:val="clear" w:color="auto" w:fill="F5F5F5"/>
            <w:vAlign w:val="center"/>
          </w:tcPr>
          <w:p>
            <w:pPr>
              <w:jc w:val="left"/>
            </w:pPr>
          </w:p>
        </w:tc>
      </w:tr>
    </w:tbl>
    <w:p/>
    <w:p/>
    <w:p>
      <w:r>
        <w:rPr>
          <w:b w:val="0"/>
          <w:color w:val="000000"/>
          <w:sz w:val="24"/>
        </w:rPr>
        <w:t xml:space="preserve">第2题   你觉得该项目的实施农业产业园建设促进农林牧发展吗？      </w:t>
      </w:r>
      <w:r>
        <w:rPr>
          <w:b w:val="0"/>
          <w:color w:val="0066FF"/>
          <w:sz w:val="24"/>
        </w:rPr>
        <w:t>[单选题]</w:t>
      </w:r>
    </w:p>
    <w:p>
      <w:pPr>
        <w:rPr>
          <w:b w:val="0"/>
          <w:color w:val="0066FF"/>
          <w:sz w:val="24"/>
        </w:rPr>
      </w:pPr>
    </w:p>
    <w:tbl>
      <w:tblPr>
        <w:tblStyle w:val="11"/>
        <w:tblW w:w="8522"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3185"/>
        <w:gridCol w:w="1038"/>
        <w:gridCol w:w="429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选项</w:t>
            </w:r>
          </w:p>
        </w:tc>
        <w:tc>
          <w:tcPr>
            <w:tcW w:w="1038" w:type="dxa"/>
            <w:shd w:val="clear" w:color="auto" w:fill="F5F5F5"/>
            <w:vAlign w:val="center"/>
          </w:tcPr>
          <w:p>
            <w:pPr>
              <w:jc w:val="center"/>
            </w:pPr>
            <w:r>
              <w:t>小计</w:t>
            </w:r>
          </w:p>
        </w:tc>
        <w:tc>
          <w:tcPr>
            <w:tcW w:w="4299" w:type="dxa"/>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有所提升</w:t>
            </w:r>
          </w:p>
        </w:tc>
        <w:tc>
          <w:tcPr>
            <w:tcW w:w="1038" w:type="dxa"/>
            <w:shd w:val="clear" w:color="auto" w:fill="FFFFFF"/>
            <w:vAlign w:val="center"/>
          </w:tcPr>
          <w:p>
            <w:pPr>
              <w:jc w:val="center"/>
            </w:pPr>
            <w:r>
              <w:rPr>
                <w:rFonts w:hint="eastAsia" w:eastAsia="宋体"/>
                <w:lang w:val="en-US" w:eastAsia="zh-CN"/>
              </w:rPr>
              <w:t>2</w:t>
            </w:r>
            <w:r>
              <w:t>29</w:t>
            </w:r>
          </w:p>
        </w:tc>
        <w:tc>
          <w:tcPr>
            <w:tcW w:w="4299" w:type="dxa"/>
            <w:shd w:val="clear" w:color="auto" w:fill="FFFFFF"/>
            <w:vAlign w:val="center"/>
          </w:tcPr>
          <w:p>
            <w:pPr>
              <w:jc w:val="left"/>
            </w:pPr>
            <w:r>
              <w:drawing>
                <wp:inline distT="0" distB="0" distL="114300" distR="114300">
                  <wp:extent cx="1352550" cy="11430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AFAFA"/>
            <w:vAlign w:val="center"/>
          </w:tcPr>
          <w:p>
            <w:pPr>
              <w:jc w:val="left"/>
            </w:pPr>
            <w:r>
              <w:t>效果一般</w:t>
            </w:r>
          </w:p>
        </w:tc>
        <w:tc>
          <w:tcPr>
            <w:tcW w:w="1038" w:type="dxa"/>
            <w:shd w:val="clear" w:color="auto" w:fill="FAFAFA"/>
            <w:vAlign w:val="center"/>
          </w:tcPr>
          <w:p>
            <w:pPr>
              <w:jc w:val="center"/>
            </w:pPr>
            <w:r>
              <w:t>0</w:t>
            </w:r>
          </w:p>
        </w:tc>
        <w:tc>
          <w:tcPr>
            <w:tcW w:w="4299" w:type="dxa"/>
            <w:shd w:val="clear" w:color="auto" w:fill="FAFAFA"/>
            <w:vAlign w:val="center"/>
          </w:tcPr>
          <w:p>
            <w:pPr>
              <w:jc w:val="left"/>
            </w:pPr>
            <w:r>
              <w:drawing>
                <wp:inline distT="0" distB="0" distL="114300" distR="114300">
                  <wp:extent cx="1352550" cy="114300"/>
                  <wp:effectExtent l="0" t="0" r="0"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不理解</w:t>
            </w:r>
          </w:p>
        </w:tc>
        <w:tc>
          <w:tcPr>
            <w:tcW w:w="1038" w:type="dxa"/>
            <w:shd w:val="clear" w:color="auto" w:fill="FFFFFF"/>
            <w:vAlign w:val="center"/>
          </w:tcPr>
          <w:p>
            <w:pPr>
              <w:jc w:val="center"/>
            </w:pPr>
            <w:r>
              <w:t>0</w:t>
            </w:r>
          </w:p>
        </w:tc>
        <w:tc>
          <w:tcPr>
            <w:tcW w:w="4299" w:type="dxa"/>
            <w:shd w:val="clear" w:color="auto" w:fill="FFFFFF"/>
            <w:vAlign w:val="center"/>
          </w:tcPr>
          <w:p>
            <w:pPr>
              <w:jc w:val="left"/>
            </w:pPr>
            <w:r>
              <w:drawing>
                <wp:inline distT="0" distB="0" distL="114300" distR="114300">
                  <wp:extent cx="1352550" cy="114300"/>
                  <wp:effectExtent l="0" t="0" r="0" b="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本题有效填写人次</w:t>
            </w:r>
          </w:p>
        </w:tc>
        <w:tc>
          <w:tcPr>
            <w:tcW w:w="1038" w:type="dxa"/>
            <w:shd w:val="clear" w:color="auto" w:fill="F5F5F5"/>
            <w:vAlign w:val="center"/>
          </w:tcPr>
          <w:p>
            <w:pPr>
              <w:jc w:val="center"/>
            </w:pPr>
            <w:r>
              <w:rPr>
                <w:rFonts w:hint="eastAsia" w:eastAsia="宋体"/>
                <w:lang w:val="en-US" w:eastAsia="zh-CN"/>
              </w:rPr>
              <w:t>2</w:t>
            </w:r>
            <w:r>
              <w:t>29</w:t>
            </w:r>
          </w:p>
        </w:tc>
        <w:tc>
          <w:tcPr>
            <w:tcW w:w="4299" w:type="dxa"/>
            <w:shd w:val="clear" w:color="auto" w:fill="F5F5F5"/>
            <w:vAlign w:val="center"/>
          </w:tcPr>
          <w:p>
            <w:pPr>
              <w:jc w:val="left"/>
            </w:pPr>
          </w:p>
        </w:tc>
      </w:tr>
    </w:tbl>
    <w:p/>
    <w:p/>
    <w:p>
      <w:r>
        <w:rPr>
          <w:b w:val="0"/>
          <w:color w:val="000000"/>
          <w:sz w:val="24"/>
        </w:rPr>
        <w:t xml:space="preserve">第3题   是否改善项目区水土流失改善情况      </w:t>
      </w:r>
      <w:r>
        <w:rPr>
          <w:b w:val="0"/>
          <w:color w:val="0066FF"/>
          <w:sz w:val="24"/>
        </w:rPr>
        <w:t>[单选题]</w:t>
      </w:r>
    </w:p>
    <w:p>
      <w:pPr>
        <w:rPr>
          <w:b w:val="0"/>
          <w:color w:val="0066FF"/>
          <w:sz w:val="24"/>
        </w:rPr>
      </w:pPr>
    </w:p>
    <w:tbl>
      <w:tblPr>
        <w:tblStyle w:val="11"/>
        <w:tblW w:w="8522"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3185"/>
        <w:gridCol w:w="1038"/>
        <w:gridCol w:w="4299"/>
      </w:tblGrid>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选项</w:t>
            </w:r>
          </w:p>
        </w:tc>
        <w:tc>
          <w:tcPr>
            <w:tcW w:w="1038" w:type="dxa"/>
            <w:shd w:val="clear" w:color="auto" w:fill="F5F5F5"/>
            <w:vAlign w:val="center"/>
          </w:tcPr>
          <w:p>
            <w:pPr>
              <w:jc w:val="center"/>
            </w:pPr>
            <w:r>
              <w:t>小计</w:t>
            </w:r>
          </w:p>
        </w:tc>
        <w:tc>
          <w:tcPr>
            <w:tcW w:w="4299" w:type="dxa"/>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有效改善</w:t>
            </w:r>
          </w:p>
        </w:tc>
        <w:tc>
          <w:tcPr>
            <w:tcW w:w="1038" w:type="dxa"/>
            <w:shd w:val="clear" w:color="auto" w:fill="FFFFFF"/>
            <w:vAlign w:val="center"/>
          </w:tcPr>
          <w:p>
            <w:pPr>
              <w:jc w:val="center"/>
            </w:pPr>
            <w:r>
              <w:rPr>
                <w:rFonts w:hint="eastAsia" w:eastAsia="宋体"/>
                <w:lang w:val="en-US" w:eastAsia="zh-CN"/>
              </w:rPr>
              <w:t>2</w:t>
            </w:r>
            <w:r>
              <w:t>29</w:t>
            </w:r>
          </w:p>
        </w:tc>
        <w:tc>
          <w:tcPr>
            <w:tcW w:w="4299" w:type="dxa"/>
            <w:shd w:val="clear" w:color="auto" w:fill="FFFFFF"/>
            <w:vAlign w:val="center"/>
          </w:tcPr>
          <w:p>
            <w:pPr>
              <w:jc w:val="left"/>
            </w:pPr>
            <w:r>
              <w:drawing>
                <wp:inline distT="0" distB="0" distL="114300" distR="114300">
                  <wp:extent cx="135255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AFAFA"/>
            <w:vAlign w:val="center"/>
          </w:tcPr>
          <w:p>
            <w:pPr>
              <w:jc w:val="left"/>
            </w:pPr>
            <w:r>
              <w:t>一般</w:t>
            </w:r>
          </w:p>
        </w:tc>
        <w:tc>
          <w:tcPr>
            <w:tcW w:w="1038" w:type="dxa"/>
            <w:shd w:val="clear" w:color="auto" w:fill="FAFAFA"/>
            <w:vAlign w:val="center"/>
          </w:tcPr>
          <w:p>
            <w:pPr>
              <w:jc w:val="center"/>
            </w:pPr>
            <w:r>
              <w:t>0</w:t>
            </w:r>
          </w:p>
        </w:tc>
        <w:tc>
          <w:tcPr>
            <w:tcW w:w="4299" w:type="dxa"/>
            <w:shd w:val="clear" w:color="auto" w:fill="FAFAFA"/>
            <w:vAlign w:val="center"/>
          </w:tcPr>
          <w:p>
            <w:pPr>
              <w:jc w:val="left"/>
            </w:pPr>
            <w:r>
              <w:drawing>
                <wp:inline distT="0" distB="0" distL="114300" distR="114300">
                  <wp:extent cx="1352550" cy="114300"/>
                  <wp:effectExtent l="0" t="0" r="0" b="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不理解</w:t>
            </w:r>
          </w:p>
        </w:tc>
        <w:tc>
          <w:tcPr>
            <w:tcW w:w="1038" w:type="dxa"/>
            <w:shd w:val="clear" w:color="auto" w:fill="FFFFFF"/>
            <w:vAlign w:val="center"/>
          </w:tcPr>
          <w:p>
            <w:pPr>
              <w:jc w:val="center"/>
            </w:pPr>
            <w:r>
              <w:t>0</w:t>
            </w:r>
          </w:p>
        </w:tc>
        <w:tc>
          <w:tcPr>
            <w:tcW w:w="4299" w:type="dxa"/>
            <w:shd w:val="clear" w:color="auto" w:fill="FFFFFF"/>
            <w:vAlign w:val="center"/>
          </w:tcPr>
          <w:p>
            <w:pPr>
              <w:jc w:val="left"/>
            </w:pPr>
            <w:r>
              <w:drawing>
                <wp:inline distT="0" distB="0" distL="114300" distR="114300">
                  <wp:extent cx="1352550" cy="1143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本题有效填写人次</w:t>
            </w:r>
          </w:p>
        </w:tc>
        <w:tc>
          <w:tcPr>
            <w:tcW w:w="1038" w:type="dxa"/>
            <w:shd w:val="clear" w:color="auto" w:fill="F5F5F5"/>
            <w:vAlign w:val="center"/>
          </w:tcPr>
          <w:p>
            <w:pPr>
              <w:jc w:val="center"/>
            </w:pPr>
            <w:r>
              <w:rPr>
                <w:rFonts w:hint="eastAsia" w:eastAsia="宋体"/>
                <w:lang w:val="en-US" w:eastAsia="zh-CN"/>
              </w:rPr>
              <w:t>2</w:t>
            </w:r>
            <w:r>
              <w:t>29</w:t>
            </w:r>
          </w:p>
        </w:tc>
        <w:tc>
          <w:tcPr>
            <w:tcW w:w="4299" w:type="dxa"/>
            <w:shd w:val="clear" w:color="auto" w:fill="F5F5F5"/>
            <w:vAlign w:val="center"/>
          </w:tcPr>
          <w:p>
            <w:pPr>
              <w:jc w:val="left"/>
            </w:pPr>
          </w:p>
        </w:tc>
      </w:tr>
    </w:tbl>
    <w:p/>
    <w:p/>
    <w:p>
      <w:r>
        <w:rPr>
          <w:b w:val="0"/>
          <w:color w:val="000000"/>
          <w:sz w:val="24"/>
        </w:rPr>
        <w:t xml:space="preserve">第4题   你觉得该项目实施有没有必要？      </w:t>
      </w:r>
      <w:r>
        <w:rPr>
          <w:b w:val="0"/>
          <w:color w:val="0066FF"/>
          <w:sz w:val="24"/>
        </w:rPr>
        <w:t>[单选题]</w:t>
      </w:r>
    </w:p>
    <w:p>
      <w:pPr>
        <w:rPr>
          <w:b w:val="0"/>
          <w:color w:val="0066FF"/>
          <w:sz w:val="24"/>
        </w:rPr>
      </w:pPr>
    </w:p>
    <w:tbl>
      <w:tblPr>
        <w:tblStyle w:val="11"/>
        <w:tblW w:w="8522"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3185"/>
        <w:gridCol w:w="1038"/>
        <w:gridCol w:w="4299"/>
      </w:tblGrid>
      <w:tr>
        <w:tblPrEx>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选项</w:t>
            </w:r>
          </w:p>
        </w:tc>
        <w:tc>
          <w:tcPr>
            <w:tcW w:w="1038" w:type="dxa"/>
            <w:shd w:val="clear" w:color="auto" w:fill="F5F5F5"/>
            <w:vAlign w:val="center"/>
          </w:tcPr>
          <w:p>
            <w:pPr>
              <w:jc w:val="center"/>
            </w:pPr>
            <w:r>
              <w:t>小计</w:t>
            </w:r>
          </w:p>
        </w:tc>
        <w:tc>
          <w:tcPr>
            <w:tcW w:w="4299" w:type="dxa"/>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非常必要</w:t>
            </w:r>
          </w:p>
        </w:tc>
        <w:tc>
          <w:tcPr>
            <w:tcW w:w="1038" w:type="dxa"/>
            <w:shd w:val="clear" w:color="auto" w:fill="FFFFFF"/>
            <w:vAlign w:val="center"/>
          </w:tcPr>
          <w:p>
            <w:pPr>
              <w:jc w:val="center"/>
            </w:pPr>
            <w:r>
              <w:rPr>
                <w:rFonts w:hint="eastAsia" w:eastAsia="宋体"/>
                <w:lang w:val="en-US" w:eastAsia="zh-CN"/>
              </w:rPr>
              <w:t>2</w:t>
            </w:r>
            <w:r>
              <w:t>29</w:t>
            </w:r>
          </w:p>
        </w:tc>
        <w:tc>
          <w:tcPr>
            <w:tcW w:w="4299" w:type="dxa"/>
            <w:shd w:val="clear" w:color="auto" w:fill="FFFFFF"/>
            <w:vAlign w:val="center"/>
          </w:tcPr>
          <w:p>
            <w:pPr>
              <w:jc w:val="left"/>
            </w:pPr>
            <w:r>
              <w:drawing>
                <wp:inline distT="0" distB="0" distL="114300" distR="114300">
                  <wp:extent cx="1352550" cy="114300"/>
                  <wp:effectExtent l="0" t="0" r="0" b="0"/>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AFAFA"/>
            <w:vAlign w:val="center"/>
          </w:tcPr>
          <w:p>
            <w:pPr>
              <w:jc w:val="left"/>
            </w:pPr>
            <w:r>
              <w:t>一般</w:t>
            </w:r>
          </w:p>
        </w:tc>
        <w:tc>
          <w:tcPr>
            <w:tcW w:w="1038" w:type="dxa"/>
            <w:shd w:val="clear" w:color="auto" w:fill="FAFAFA"/>
            <w:vAlign w:val="center"/>
          </w:tcPr>
          <w:p>
            <w:pPr>
              <w:jc w:val="center"/>
            </w:pPr>
            <w:r>
              <w:t>0</w:t>
            </w:r>
          </w:p>
        </w:tc>
        <w:tc>
          <w:tcPr>
            <w:tcW w:w="4299" w:type="dxa"/>
            <w:shd w:val="clear" w:color="auto" w:fill="FAFAFA"/>
            <w:vAlign w:val="center"/>
          </w:tcPr>
          <w:p>
            <w:pPr>
              <w:jc w:val="left"/>
            </w:pPr>
            <w:r>
              <w:drawing>
                <wp:inline distT="0" distB="0" distL="114300" distR="114300">
                  <wp:extent cx="1352550" cy="114300"/>
                  <wp:effectExtent l="0" t="0" r="0" b="0"/>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不必要</w:t>
            </w:r>
          </w:p>
        </w:tc>
        <w:tc>
          <w:tcPr>
            <w:tcW w:w="1038" w:type="dxa"/>
            <w:shd w:val="clear" w:color="auto" w:fill="FFFFFF"/>
            <w:vAlign w:val="center"/>
          </w:tcPr>
          <w:p>
            <w:pPr>
              <w:jc w:val="center"/>
            </w:pPr>
            <w:r>
              <w:t>0</w:t>
            </w:r>
          </w:p>
        </w:tc>
        <w:tc>
          <w:tcPr>
            <w:tcW w:w="4299" w:type="dxa"/>
            <w:shd w:val="clear" w:color="auto" w:fill="FFFFFF"/>
            <w:vAlign w:val="center"/>
          </w:tcPr>
          <w:p>
            <w:pPr>
              <w:jc w:val="left"/>
            </w:pPr>
            <w:r>
              <w:drawing>
                <wp:inline distT="0" distB="0" distL="114300" distR="114300">
                  <wp:extent cx="1352550" cy="114300"/>
                  <wp:effectExtent l="0" t="0" r="0" b="0"/>
                  <wp:docPr id="1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本题有效填写人次</w:t>
            </w:r>
          </w:p>
        </w:tc>
        <w:tc>
          <w:tcPr>
            <w:tcW w:w="1038" w:type="dxa"/>
            <w:shd w:val="clear" w:color="auto" w:fill="F5F5F5"/>
            <w:vAlign w:val="center"/>
          </w:tcPr>
          <w:p>
            <w:pPr>
              <w:jc w:val="center"/>
            </w:pPr>
            <w:r>
              <w:rPr>
                <w:rFonts w:hint="eastAsia" w:eastAsia="宋体"/>
                <w:lang w:val="en-US" w:eastAsia="zh-CN"/>
              </w:rPr>
              <w:t>2</w:t>
            </w:r>
            <w:r>
              <w:t>29</w:t>
            </w:r>
          </w:p>
        </w:tc>
        <w:tc>
          <w:tcPr>
            <w:tcW w:w="4299" w:type="dxa"/>
            <w:shd w:val="clear" w:color="auto" w:fill="F5F5F5"/>
            <w:vAlign w:val="center"/>
          </w:tcPr>
          <w:p>
            <w:pPr>
              <w:jc w:val="left"/>
            </w:pPr>
          </w:p>
        </w:tc>
      </w:tr>
    </w:tbl>
    <w:p/>
    <w:p/>
    <w:p>
      <w:r>
        <w:rPr>
          <w:b w:val="0"/>
          <w:color w:val="000000"/>
          <w:sz w:val="24"/>
        </w:rPr>
        <w:t xml:space="preserve">第5题   你对该项目实施满意度？      </w:t>
      </w:r>
      <w:r>
        <w:rPr>
          <w:b w:val="0"/>
          <w:color w:val="0066FF"/>
          <w:sz w:val="24"/>
        </w:rPr>
        <w:t>[单选题]</w:t>
      </w:r>
    </w:p>
    <w:p>
      <w:pPr>
        <w:rPr>
          <w:b w:val="0"/>
          <w:color w:val="0066FF"/>
          <w:sz w:val="24"/>
        </w:rPr>
      </w:pPr>
    </w:p>
    <w:tbl>
      <w:tblPr>
        <w:tblStyle w:val="11"/>
        <w:tblW w:w="8522" w:type="dxa"/>
        <w:tblInd w:w="0" w:type="dxa"/>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
      <w:tblGrid>
        <w:gridCol w:w="3185"/>
        <w:gridCol w:w="1038"/>
        <w:gridCol w:w="4299"/>
      </w:tblGrid>
      <w:tr>
        <w:tblPrEx>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选项</w:t>
            </w:r>
          </w:p>
        </w:tc>
        <w:tc>
          <w:tcPr>
            <w:tcW w:w="1038" w:type="dxa"/>
            <w:shd w:val="clear" w:color="auto" w:fill="F5F5F5"/>
            <w:vAlign w:val="center"/>
          </w:tcPr>
          <w:p>
            <w:pPr>
              <w:jc w:val="center"/>
            </w:pPr>
            <w:r>
              <w:t>小计</w:t>
            </w:r>
          </w:p>
        </w:tc>
        <w:tc>
          <w:tcPr>
            <w:tcW w:w="4299" w:type="dxa"/>
            <w:shd w:val="clear" w:color="auto" w:fill="F5F5F5"/>
            <w:vAlign w:val="center"/>
          </w:tcPr>
          <w:p>
            <w:pPr>
              <w:jc w:val="left"/>
            </w:pPr>
            <w:r>
              <w:t>比例</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非常满意</w:t>
            </w:r>
          </w:p>
        </w:tc>
        <w:tc>
          <w:tcPr>
            <w:tcW w:w="1038" w:type="dxa"/>
            <w:shd w:val="clear" w:color="auto" w:fill="FFFFFF"/>
            <w:vAlign w:val="center"/>
          </w:tcPr>
          <w:p>
            <w:pPr>
              <w:jc w:val="center"/>
            </w:pPr>
            <w:r>
              <w:rPr>
                <w:rFonts w:hint="eastAsia" w:eastAsia="宋体"/>
                <w:lang w:val="en-US" w:eastAsia="zh-CN"/>
              </w:rPr>
              <w:t>2</w:t>
            </w:r>
            <w:r>
              <w:t>29</w:t>
            </w:r>
          </w:p>
        </w:tc>
        <w:tc>
          <w:tcPr>
            <w:tcW w:w="4299" w:type="dxa"/>
            <w:shd w:val="clear" w:color="auto" w:fill="FFFFFF"/>
            <w:vAlign w:val="center"/>
          </w:tcPr>
          <w:p>
            <w:pPr>
              <w:jc w:val="left"/>
            </w:pPr>
            <w:r>
              <w:drawing>
                <wp:inline distT="0" distB="0" distL="114300" distR="114300">
                  <wp:extent cx="1352550" cy="114300"/>
                  <wp:effectExtent l="0" t="0" r="0" b="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8"/>
                          <a:stretch>
                            <a:fillRect/>
                          </a:stretch>
                        </pic:blipFill>
                        <pic:spPr>
                          <a:xfrm>
                            <a:off x="0" y="0"/>
                            <a:ext cx="1352550" cy="114300"/>
                          </a:xfrm>
                          <a:prstGeom prst="rect">
                            <a:avLst/>
                          </a:prstGeom>
                          <a:noFill/>
                          <a:ln>
                            <a:noFill/>
                          </a:ln>
                        </pic:spPr>
                      </pic:pic>
                    </a:graphicData>
                  </a:graphic>
                </wp:inline>
              </w:drawing>
            </w:r>
            <w:r>
              <w:t>100%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AFAFA"/>
            <w:vAlign w:val="center"/>
          </w:tcPr>
          <w:p>
            <w:pPr>
              <w:jc w:val="left"/>
            </w:pPr>
            <w:r>
              <w:t>一般</w:t>
            </w:r>
          </w:p>
        </w:tc>
        <w:tc>
          <w:tcPr>
            <w:tcW w:w="1038" w:type="dxa"/>
            <w:shd w:val="clear" w:color="auto" w:fill="FAFAFA"/>
            <w:vAlign w:val="center"/>
          </w:tcPr>
          <w:p>
            <w:pPr>
              <w:jc w:val="center"/>
            </w:pPr>
            <w:r>
              <w:t>0</w:t>
            </w:r>
          </w:p>
        </w:tc>
        <w:tc>
          <w:tcPr>
            <w:tcW w:w="4299" w:type="dxa"/>
            <w:shd w:val="clear" w:color="auto" w:fill="FAFAFA"/>
            <w:vAlign w:val="center"/>
          </w:tcPr>
          <w:p>
            <w:pPr>
              <w:jc w:val="left"/>
            </w:pPr>
            <w:r>
              <w:drawing>
                <wp:inline distT="0" distB="0" distL="114300" distR="114300">
                  <wp:extent cx="1352550" cy="114300"/>
                  <wp:effectExtent l="0" t="0" r="0" b="0"/>
                  <wp:docPr id="1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FFFFF"/>
            <w:vAlign w:val="center"/>
          </w:tcPr>
          <w:p>
            <w:pPr>
              <w:jc w:val="left"/>
            </w:pPr>
            <w:r>
              <w:t>不满意</w:t>
            </w:r>
          </w:p>
        </w:tc>
        <w:tc>
          <w:tcPr>
            <w:tcW w:w="1038" w:type="dxa"/>
            <w:shd w:val="clear" w:color="auto" w:fill="FFFFFF"/>
            <w:vAlign w:val="center"/>
          </w:tcPr>
          <w:p>
            <w:pPr>
              <w:jc w:val="center"/>
            </w:pPr>
            <w:r>
              <w:t>0</w:t>
            </w:r>
          </w:p>
        </w:tc>
        <w:tc>
          <w:tcPr>
            <w:tcW w:w="4299" w:type="dxa"/>
            <w:shd w:val="clear" w:color="auto" w:fill="FFFFFF"/>
            <w:vAlign w:val="center"/>
          </w:tcPr>
          <w:p>
            <w:pPr>
              <w:jc w:val="left"/>
            </w:pPr>
            <w:r>
              <w:drawing>
                <wp:inline distT="0" distB="0" distL="114300" distR="114300">
                  <wp:extent cx="1352550" cy="114300"/>
                  <wp:effectExtent l="0" t="0" r="0" b="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9"/>
                          <a:stretch>
                            <a:fillRect/>
                          </a:stretch>
                        </pic:blipFill>
                        <pic:spPr>
                          <a:xfrm>
                            <a:off x="0" y="0"/>
                            <a:ext cx="1352550" cy="114300"/>
                          </a:xfrm>
                          <a:prstGeom prst="rect">
                            <a:avLst/>
                          </a:prstGeom>
                          <a:noFill/>
                          <a:ln>
                            <a:noFill/>
                          </a:ln>
                        </pic:spPr>
                      </pic:pic>
                    </a:graphicData>
                  </a:graphic>
                </wp:inline>
              </w:drawing>
            </w:r>
            <w:r>
              <w:t>0%</w:t>
            </w:r>
          </w:p>
        </w:tc>
      </w:tr>
      <w:tr>
        <w:tblPrEx>
          <w:tblBorders>
            <w:top w:val="single" w:color="E0E0E0" w:sz="4" w:space="0"/>
            <w:left w:val="single" w:color="E0E0E0" w:sz="4" w:space="0"/>
            <w:bottom w:val="single" w:color="E0E0E0" w:sz="4" w:space="0"/>
            <w:right w:val="single" w:color="E0E0E0" w:sz="4" w:space="0"/>
            <w:insideH w:val="single" w:color="E0E0E0" w:sz="4" w:space="0"/>
            <w:insideV w:val="single" w:color="E0E0E0" w:sz="4" w:space="0"/>
          </w:tblBorders>
          <w:tblLayout w:type="fixed"/>
          <w:tblCellMar>
            <w:top w:w="0" w:type="dxa"/>
            <w:left w:w="108" w:type="dxa"/>
            <w:bottom w:w="0" w:type="dxa"/>
            <w:right w:w="108" w:type="dxa"/>
          </w:tblCellMar>
        </w:tblPrEx>
        <w:trPr>
          <w:trHeight w:val="500" w:hRule="atLeast"/>
        </w:trPr>
        <w:tc>
          <w:tcPr>
            <w:tcW w:w="3185" w:type="dxa"/>
            <w:shd w:val="clear" w:color="auto" w:fill="F5F5F5"/>
            <w:vAlign w:val="center"/>
          </w:tcPr>
          <w:p>
            <w:pPr>
              <w:jc w:val="left"/>
            </w:pPr>
            <w:r>
              <w:t>本题有效填写人次</w:t>
            </w:r>
          </w:p>
        </w:tc>
        <w:tc>
          <w:tcPr>
            <w:tcW w:w="1038" w:type="dxa"/>
            <w:shd w:val="clear" w:color="auto" w:fill="F5F5F5"/>
            <w:vAlign w:val="center"/>
          </w:tcPr>
          <w:p>
            <w:pPr>
              <w:jc w:val="center"/>
            </w:pPr>
            <w:r>
              <w:rPr>
                <w:rFonts w:hint="eastAsia" w:eastAsia="宋体"/>
                <w:lang w:val="en-US" w:eastAsia="zh-CN"/>
              </w:rPr>
              <w:t>2</w:t>
            </w:r>
            <w:r>
              <w:t>29</w:t>
            </w:r>
          </w:p>
        </w:tc>
        <w:tc>
          <w:tcPr>
            <w:tcW w:w="4299" w:type="dxa"/>
            <w:shd w:val="clear" w:color="auto" w:fill="F5F5F5"/>
            <w:vAlign w:val="center"/>
          </w:tcPr>
          <w:p>
            <w:pPr>
              <w:jc w:val="left"/>
            </w:pPr>
          </w:p>
        </w:tc>
      </w:tr>
    </w:tbl>
    <w:p/>
    <w:p/>
    <w:p>
      <w:r>
        <w:rPr>
          <w:b w:val="0"/>
          <w:color w:val="000000"/>
          <w:sz w:val="24"/>
        </w:rPr>
        <w:t xml:space="preserve">第6题   你对该项目有什么意见？      </w:t>
      </w:r>
      <w:r>
        <w:rPr>
          <w:b w:val="0"/>
          <w:color w:val="0066FF"/>
          <w:sz w:val="24"/>
        </w:rPr>
        <w:t>[填空题]</w:t>
      </w:r>
    </w:p>
    <w:p>
      <w:pPr>
        <w:keepLines w:val="0"/>
        <w:jc w:val="left"/>
        <w:rPr>
          <w:b w:val="0"/>
          <w:color w:val="0066FF"/>
          <w:sz w:val="24"/>
        </w:rPr>
      </w:pPr>
      <w:r>
        <w:rPr>
          <w:b w:val="0"/>
          <w:color w:val="666666"/>
          <w:sz w:val="24"/>
        </w:rPr>
        <w:t>填空题数据请通过下载详细数据获取</w:t>
      </w:r>
    </w:p>
    <w:p>
      <w:pPr>
        <w:rPr>
          <w:b w:val="0"/>
          <w:color w:val="666666"/>
          <w:sz w:val="24"/>
        </w:rPr>
      </w:pPr>
    </w:p>
    <w:p>
      <w:pPr>
        <w:pStyle w:val="16"/>
        <w:ind w:firstLine="734"/>
        <w:rPr>
          <w:rStyle w:val="14"/>
          <w:rFonts w:hint="default" w:hAnsi="仿宋_GB2312" w:cs="仿宋_GB2312"/>
          <w:b w:val="0"/>
          <w:bCs/>
          <w:i w:val="0"/>
          <w:caps w:val="0"/>
          <w:color w:val="000000"/>
          <w:spacing w:val="0"/>
          <w:w w:val="100"/>
          <w:kern w:val="2"/>
          <w:sz w:val="32"/>
          <w:szCs w:val="32"/>
          <w:highlight w:val="none"/>
          <w:lang w:val="en-US" w:eastAsia="zh-CN" w:bidi="ar-SA"/>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Yb2gj">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5B0A7"/>
    <w:multiLevelType w:val="singleLevel"/>
    <w:tmpl w:val="9465B0A7"/>
    <w:lvl w:ilvl="0" w:tentative="0">
      <w:start w:val="1"/>
      <w:numFmt w:val="decimal"/>
      <w:suff w:val="nothing"/>
      <w:lvlText w:val="（%1）"/>
      <w:lvlJc w:val="left"/>
    </w:lvl>
  </w:abstractNum>
  <w:abstractNum w:abstractNumId="1">
    <w:nsid w:val="B089AC0A"/>
    <w:multiLevelType w:val="singleLevel"/>
    <w:tmpl w:val="B089AC0A"/>
    <w:lvl w:ilvl="0" w:tentative="0">
      <w:start w:val="5"/>
      <w:numFmt w:val="decimal"/>
      <w:suff w:val="nothing"/>
      <w:lvlText w:val="（%1）"/>
      <w:lvlJc w:val="left"/>
      <w:pPr>
        <w:ind w:left="77"/>
      </w:pPr>
    </w:lvl>
  </w:abstractNum>
  <w:abstractNum w:abstractNumId="2">
    <w:nsid w:val="D1F62DFD"/>
    <w:multiLevelType w:val="singleLevel"/>
    <w:tmpl w:val="D1F62DFD"/>
    <w:lvl w:ilvl="0" w:tentative="0">
      <w:start w:val="1"/>
      <w:numFmt w:val="chineseCounting"/>
      <w:suff w:val="nothing"/>
      <w:lvlText w:val="%1、"/>
      <w:lvlJc w:val="left"/>
      <w:rPr>
        <w:rFonts w:hint="eastAsia"/>
      </w:rPr>
    </w:lvl>
  </w:abstractNum>
  <w:abstractNum w:abstractNumId="3">
    <w:nsid w:val="D8178033"/>
    <w:multiLevelType w:val="singleLevel"/>
    <w:tmpl w:val="D8178033"/>
    <w:lvl w:ilvl="0" w:tentative="0">
      <w:start w:val="2"/>
      <w:numFmt w:val="decimal"/>
      <w:suff w:val="nothing"/>
      <w:lvlText w:val="（%1）"/>
      <w:lvlJc w:val="left"/>
    </w:lvl>
  </w:abstractNum>
  <w:abstractNum w:abstractNumId="4">
    <w:nsid w:val="0000000E"/>
    <w:multiLevelType w:val="singleLevel"/>
    <w:tmpl w:val="0000000E"/>
    <w:lvl w:ilvl="0" w:tentative="0">
      <w:start w:val="2"/>
      <w:numFmt w:val="chineseCounting"/>
      <w:suff w:val="nothing"/>
      <w:lvlText w:val="%1、"/>
      <w:lvlJc w:val="left"/>
      <w:rPr>
        <w:rFonts w:hint="eastAsia"/>
      </w:rPr>
    </w:lvl>
  </w:abstractNum>
  <w:abstractNum w:abstractNumId="5">
    <w:nsid w:val="7F63E697"/>
    <w:multiLevelType w:val="singleLevel"/>
    <w:tmpl w:val="7F63E697"/>
    <w:lvl w:ilvl="0" w:tentative="0">
      <w:start w:val="2"/>
      <w:numFmt w:val="decimal"/>
      <w:suff w:val="nothing"/>
      <w:lvlText w:val="（%1）"/>
      <w:lvlJc w:val="left"/>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3ZWE1ZWEwMGYzYjg5MzkxZDdjM2JkZjk3ODEyNjgifQ=="/>
  </w:docVars>
  <w:rsids>
    <w:rsidRoot w:val="00172A27"/>
    <w:rsid w:val="019B41C3"/>
    <w:rsid w:val="02105DD0"/>
    <w:rsid w:val="02EF3F68"/>
    <w:rsid w:val="034C027D"/>
    <w:rsid w:val="07115897"/>
    <w:rsid w:val="08FF6B9F"/>
    <w:rsid w:val="09050067"/>
    <w:rsid w:val="0AA85CB8"/>
    <w:rsid w:val="0BAF146D"/>
    <w:rsid w:val="0C3938BE"/>
    <w:rsid w:val="0CA041F5"/>
    <w:rsid w:val="0CCF4BBC"/>
    <w:rsid w:val="0E3F3873"/>
    <w:rsid w:val="0FDF247B"/>
    <w:rsid w:val="103709CC"/>
    <w:rsid w:val="12CF74C5"/>
    <w:rsid w:val="13C5449C"/>
    <w:rsid w:val="15816542"/>
    <w:rsid w:val="18827DF4"/>
    <w:rsid w:val="1A703458"/>
    <w:rsid w:val="1A9133CF"/>
    <w:rsid w:val="1B7900EB"/>
    <w:rsid w:val="1CF04A7D"/>
    <w:rsid w:val="1F4061DF"/>
    <w:rsid w:val="1F701025"/>
    <w:rsid w:val="20EF18B5"/>
    <w:rsid w:val="239A7550"/>
    <w:rsid w:val="23D9697F"/>
    <w:rsid w:val="27415C20"/>
    <w:rsid w:val="2747736E"/>
    <w:rsid w:val="286E4D4F"/>
    <w:rsid w:val="2B93360A"/>
    <w:rsid w:val="2CA60F5C"/>
    <w:rsid w:val="2CB661C9"/>
    <w:rsid w:val="304E4FB8"/>
    <w:rsid w:val="31280191"/>
    <w:rsid w:val="316A07AA"/>
    <w:rsid w:val="333006C4"/>
    <w:rsid w:val="3386693F"/>
    <w:rsid w:val="35533BE2"/>
    <w:rsid w:val="36780183"/>
    <w:rsid w:val="389C3213"/>
    <w:rsid w:val="39736669"/>
    <w:rsid w:val="3B1F7599"/>
    <w:rsid w:val="3C544530"/>
    <w:rsid w:val="3F46695C"/>
    <w:rsid w:val="3F602894"/>
    <w:rsid w:val="41B82F29"/>
    <w:rsid w:val="42666D6B"/>
    <w:rsid w:val="430B2591"/>
    <w:rsid w:val="431E4B47"/>
    <w:rsid w:val="45F54BAC"/>
    <w:rsid w:val="4A944660"/>
    <w:rsid w:val="4AFB6AB2"/>
    <w:rsid w:val="4C39104D"/>
    <w:rsid w:val="50783AB1"/>
    <w:rsid w:val="514A54BF"/>
    <w:rsid w:val="531E2D4A"/>
    <w:rsid w:val="555119C7"/>
    <w:rsid w:val="556F09A2"/>
    <w:rsid w:val="55937AF8"/>
    <w:rsid w:val="5836376B"/>
    <w:rsid w:val="5A740E30"/>
    <w:rsid w:val="5ABC055D"/>
    <w:rsid w:val="5B637E94"/>
    <w:rsid w:val="5BC17EBA"/>
    <w:rsid w:val="5C416D52"/>
    <w:rsid w:val="5C857CA0"/>
    <w:rsid w:val="5DDC5CDC"/>
    <w:rsid w:val="5E451AD3"/>
    <w:rsid w:val="5FA36AB1"/>
    <w:rsid w:val="60037188"/>
    <w:rsid w:val="60140E2F"/>
    <w:rsid w:val="60BD3FA9"/>
    <w:rsid w:val="610D4F8B"/>
    <w:rsid w:val="632E6FDA"/>
    <w:rsid w:val="638135AD"/>
    <w:rsid w:val="64CC6AAA"/>
    <w:rsid w:val="653E4681"/>
    <w:rsid w:val="66B331C9"/>
    <w:rsid w:val="6AFF53AE"/>
    <w:rsid w:val="6B3C7DBA"/>
    <w:rsid w:val="6DAA1953"/>
    <w:rsid w:val="6ED42F6E"/>
    <w:rsid w:val="6FD55BD2"/>
    <w:rsid w:val="73AA5466"/>
    <w:rsid w:val="73EA229D"/>
    <w:rsid w:val="74EA2DFC"/>
    <w:rsid w:val="77EF45AC"/>
    <w:rsid w:val="79067AA1"/>
    <w:rsid w:val="796077AE"/>
    <w:rsid w:val="7A354073"/>
    <w:rsid w:val="7ABF63C5"/>
    <w:rsid w:val="7B1D23D5"/>
    <w:rsid w:val="7C127041"/>
    <w:rsid w:val="7DCA1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left"/>
    </w:pPr>
    <w:rPr>
      <w:rFonts w:ascii="Calibri" w:hAnsi="Calibri" w:eastAsia="宋体" w:cs="Times New Roman"/>
      <w:kern w:val="0"/>
      <w:sz w:val="24"/>
      <w:szCs w:val="24"/>
      <w:lang w:val="en-US" w:eastAsia="zh-CN" w:bidi="ar"/>
    </w:rPr>
  </w:style>
  <w:style w:type="paragraph" w:styleId="2">
    <w:name w:val="heading 1"/>
    <w:basedOn w:val="1"/>
    <w:next w:val="1"/>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3">
    <w:name w:val="heading 2"/>
    <w:basedOn w:val="1"/>
    <w:next w:val="1"/>
    <w:qFormat/>
    <w:uiPriority w:val="0"/>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index 6"/>
    <w:basedOn w:val="1"/>
    <w:next w:val="1"/>
    <w:qFormat/>
    <w:uiPriority w:val="0"/>
    <w:pPr>
      <w:ind w:left="1000" w:leftChars="1000"/>
    </w:pPr>
    <w:rPr>
      <w:rFonts w:hint="eastAsi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Strong"/>
    <w:basedOn w:val="12"/>
    <w:qFormat/>
    <w:uiPriority w:val="0"/>
    <w:rPr>
      <w:b/>
      <w:bCs/>
    </w:rPr>
  </w:style>
  <w:style w:type="character" w:customStyle="1" w:styleId="14">
    <w:name w:val="NormalCharacter"/>
    <w:semiHidden/>
    <w:qFormat/>
    <w:uiPriority w:val="0"/>
    <w:rPr>
      <w:rFonts w:ascii="Calibri" w:hAnsi="Calibri" w:eastAsia="宋体" w:cs="Times New Roman"/>
      <w:kern w:val="0"/>
      <w:sz w:val="24"/>
      <w:szCs w:val="24"/>
      <w:lang w:val="en-US" w:eastAsia="zh-CN" w:bidi="ar"/>
    </w:rPr>
  </w:style>
  <w:style w:type="paragraph" w:customStyle="1" w:styleId="15">
    <w:name w:val="Body text|1"/>
    <w:basedOn w:val="1"/>
    <w:qFormat/>
    <w:uiPriority w:val="0"/>
    <w:pPr>
      <w:widowControl w:val="0"/>
      <w:shd w:val="clear" w:color="auto" w:fill="auto"/>
      <w:spacing w:line="377" w:lineRule="auto"/>
      <w:ind w:firstLine="400"/>
    </w:pPr>
    <w:rPr>
      <w:rFonts w:ascii="宋体" w:hAnsi="宋体" w:eastAsia="宋体" w:cs="宋体"/>
      <w:sz w:val="28"/>
      <w:szCs w:val="28"/>
      <w:u w:val="none"/>
      <w:shd w:val="clear" w:color="auto" w:fill="auto"/>
      <w:lang w:val="zh-TW" w:eastAsia="zh-TW" w:bidi="zh-TW"/>
    </w:rPr>
  </w:style>
  <w:style w:type="paragraph" w:customStyle="1" w:styleId="16">
    <w:name w:val="GB正文"/>
    <w:basedOn w:val="1"/>
    <w:qFormat/>
    <w:uiPriority w:val="0"/>
    <w:pPr>
      <w:spacing w:line="590" w:lineRule="exact"/>
      <w:ind w:firstLine="707" w:firstLineChars="221"/>
    </w:pPr>
    <w:rPr>
      <w:rFonts w:ascii="仿宋_GB2312" w:hAnsi="Times New Roman" w:eastAsia="仿宋_GB2312"/>
      <w:color w:val="000000"/>
      <w:spacing w:val="6"/>
      <w:sz w:val="32"/>
      <w:szCs w:val="32"/>
    </w:rPr>
  </w:style>
  <w:style w:type="paragraph" w:customStyle="1" w:styleId="17">
    <w:name w:val="黑体1"/>
    <w:basedOn w:val="1"/>
    <w:qFormat/>
    <w:uiPriority w:val="0"/>
    <w:pPr>
      <w:widowControl/>
      <w:overflowPunct w:val="0"/>
      <w:autoSpaceDE w:val="0"/>
      <w:autoSpaceDN w:val="0"/>
      <w:adjustRightInd w:val="0"/>
      <w:spacing w:line="560" w:lineRule="exact"/>
      <w:ind w:firstLine="803" w:firstLineChars="250"/>
      <w:textAlignment w:val="baseline"/>
    </w:pPr>
    <w:rPr>
      <w:rFonts w:ascii="黑体" w:hAnsi="黑体" w:eastAsia="黑体"/>
      <w:b/>
      <w:kern w:val="0"/>
      <w:sz w:val="32"/>
      <w:szCs w:val="28"/>
    </w:rPr>
  </w:style>
  <w:style w:type="paragraph" w:customStyle="1" w:styleId="18">
    <w:name w:val="闻政正文"/>
    <w:basedOn w:val="1"/>
    <w:qFormat/>
    <w:uiPriority w:val="0"/>
    <w:pPr>
      <w:spacing w:line="500" w:lineRule="exact"/>
      <w:ind w:firstLine="883" w:firstLineChars="200"/>
    </w:pPr>
    <w:rPr>
      <w:rFonts w:ascii="Times New Roman" w:hAnsi="Times New Roman" w:eastAsia="仿宋_GB2312"/>
      <w:kern w:val="0"/>
      <w:sz w:val="28"/>
      <w:szCs w:val="28"/>
    </w:rPr>
  </w:style>
  <w:style w:type="paragraph" w:customStyle="1" w:styleId="19">
    <w:name w:val="列出段落1"/>
    <w:basedOn w:val="1"/>
    <w:qFormat/>
    <w:uiPriority w:val="0"/>
    <w:pPr>
      <w:ind w:firstLine="420" w:firstLineChars="200"/>
    </w:pPr>
  </w:style>
  <w:style w:type="character" w:customStyle="1" w:styleId="20">
    <w:name w:val="font41"/>
    <w:basedOn w:val="12"/>
    <w:qFormat/>
    <w:uiPriority w:val="0"/>
    <w:rPr>
      <w:rFonts w:hint="default" w:ascii="Times New Roman" w:hAnsi="Times New Roman" w:cs="Times New Roman"/>
      <w:color w:val="000000"/>
      <w:sz w:val="22"/>
      <w:szCs w:val="22"/>
      <w:u w:val="none"/>
    </w:rPr>
  </w:style>
  <w:style w:type="character" w:customStyle="1" w:styleId="21">
    <w:name w:val="font31"/>
    <w:basedOn w:val="12"/>
    <w:qFormat/>
    <w:uiPriority w:val="0"/>
    <w:rPr>
      <w:rFonts w:hint="eastAsia" w:ascii="仿宋" w:hAnsi="仿宋" w:eastAsia="仿宋" w:cs="仿宋"/>
      <w:color w:val="000000"/>
      <w:sz w:val="22"/>
      <w:szCs w:val="22"/>
      <w:u w:val="none"/>
    </w:rPr>
  </w:style>
  <w:style w:type="paragraph" w:customStyle="1" w:styleId="22">
    <w:name w:val="Default"/>
    <w:qFormat/>
    <w:uiPriority w:val="0"/>
    <w:pPr>
      <w:widowControl w:val="0"/>
      <w:autoSpaceDE w:val="0"/>
      <w:autoSpaceDN w:val="0"/>
      <w:adjustRightInd w:val="0"/>
    </w:pPr>
    <w:rPr>
      <w:rFonts w:ascii="HYb2gj" w:hAnsi="Calibri" w:eastAsia="HYb2gj" w:cs="HYb2gj"/>
      <w:color w:val="000000"/>
      <w:sz w:val="24"/>
      <w:szCs w:val="24"/>
      <w:lang w:val="en-US" w:eastAsia="zh-CN" w:bidi="ar-SA"/>
    </w:rPr>
  </w:style>
  <w:style w:type="paragraph" w:customStyle="1" w:styleId="23">
    <w:name w:val="UserStyle_4"/>
    <w:basedOn w:val="1"/>
    <w:qFormat/>
    <w:uiPriority w:val="0"/>
    <w:pPr>
      <w:spacing w:line="500" w:lineRule="exact"/>
      <w:ind w:firstLine="883" w:firstLineChars="200"/>
      <w:jc w:val="both"/>
      <w:textAlignment w:val="baseline"/>
    </w:pPr>
    <w:rPr>
      <w:rFonts w:ascii="Times New Roman" w:hAnsi="Times New Roman" w:eastAsia="仿宋_GB2312"/>
      <w:kern w:val="0"/>
      <w:sz w:val="28"/>
      <w:szCs w:val="28"/>
      <w:lang w:val="en-US" w:eastAsia="zh-CN" w:bidi="ar-SA"/>
    </w:rPr>
  </w:style>
  <w:style w:type="paragraph" w:customStyle="1" w:styleId="24">
    <w:name w:val="列表段落1"/>
    <w:basedOn w:val="1"/>
    <w:qFormat/>
    <w:uiPriority w:val="34"/>
    <w:pPr>
      <w:ind w:firstLine="420" w:firstLineChars="200"/>
    </w:pPr>
  </w:style>
  <w:style w:type="paragraph" w:customStyle="1" w:styleId="25">
    <w:name w:val="WPSOffice手动目录 1"/>
    <w:qFormat/>
    <w:uiPriority w:val="0"/>
    <w:pPr>
      <w:ind w:leftChars="0"/>
    </w:pPr>
    <w:rPr>
      <w:rFonts w:ascii="Times New Roman" w:hAnsi="Times New Roman" w:eastAsia="宋体" w:cs="Times New Roman"/>
      <w:sz w:val="20"/>
      <w:szCs w:val="20"/>
    </w:rPr>
  </w:style>
  <w:style w:type="paragraph" w:customStyle="1" w:styleId="26">
    <w:name w:val="WPSOffice手动目录 2"/>
    <w:qFormat/>
    <w:uiPriority w:val="0"/>
    <w:pPr>
      <w:ind w:leftChars="200"/>
    </w:pPr>
    <w:rPr>
      <w:rFonts w:ascii="Times New Roman" w:hAnsi="Times New Roman" w:eastAsia="宋体" w:cs="Times New Roman"/>
      <w:sz w:val="20"/>
      <w:szCs w:val="20"/>
    </w:rPr>
  </w:style>
  <w:style w:type="paragraph" w:customStyle="1" w:styleId="27">
    <w:name w:val="闻政-正文二级标题"/>
    <w:basedOn w:val="3"/>
    <w:next w:val="28"/>
    <w:qFormat/>
    <w:uiPriority w:val="3"/>
    <w:pPr>
      <w:spacing w:before="120" w:after="60" w:line="500" w:lineRule="exact"/>
      <w:ind w:left="200" w:leftChars="200" w:firstLine="0" w:firstLineChars="0"/>
    </w:pPr>
    <w:rPr>
      <w:rFonts w:ascii="Times New Roman" w:hAnsi="Times New Roman"/>
      <w:sz w:val="28"/>
    </w:rPr>
  </w:style>
  <w:style w:type="paragraph" w:customStyle="1" w:styleId="28">
    <w:name w:val="闻政-正文段落文字"/>
    <w:basedOn w:val="1"/>
    <w:qFormat/>
    <w:uiPriority w:val="3"/>
    <w:pPr>
      <w:spacing w:line="500" w:lineRule="exact"/>
      <w:ind w:firstLine="200"/>
    </w:pPr>
    <w:rPr>
      <w:rFonts w:cs="Times New Roman"/>
      <w:kern w:val="0"/>
      <w:szCs w:val="28"/>
    </w:rPr>
  </w:style>
  <w:style w:type="paragraph" w:styleId="29">
    <w:name w:val="List Paragraph"/>
    <w:basedOn w:val="1"/>
    <w:qFormat/>
    <w:uiPriority w:val="34"/>
    <w:pPr>
      <w:ind w:firstLine="420"/>
    </w:p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paragraph" w:customStyle="1" w:styleId="31">
    <w:name w:val="列表段落"/>
    <w:basedOn w:val="32"/>
    <w:unhideWhenUsed/>
    <w:qFormat/>
    <w:uiPriority w:val="99"/>
    <w:pPr>
      <w:ind w:firstLine="0" w:firstLineChars="200"/>
    </w:pPr>
  </w:style>
  <w:style w:type="paragraph" w:customStyle="1" w:styleId="32">
    <w:name w:val="正文1"/>
    <w:qFormat/>
    <w:uiPriority w:val="0"/>
    <w:pPr>
      <w:widowControl w:val="0"/>
      <w:suppressAutoHyphens w:val="0"/>
      <w:bidi w:val="0"/>
      <w:spacing w:beforeLines="0" w:beforeAutospacing="0" w:afterLines="0" w:afterAutospacing="0"/>
      <w:jc w:val="both"/>
    </w:pPr>
    <w:rPr>
      <w:rFonts w:cs="Arial" w:asciiTheme="minorHAnsi" w:hAnsiTheme="minorHAnsi" w:eastAsiaTheme="minorEastAsia"/>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6daccde-c198-4c78-b4d5-8e867cae177f}"/>
        <w:style w:val=""/>
        <w:category>
          <w:name w:val="常规"/>
          <w:gallery w:val="placeholder"/>
        </w:category>
        <w:types>
          <w:type w:val="bbPlcHdr"/>
        </w:types>
        <w:behaviors>
          <w:behavior w:val="content"/>
        </w:behaviors>
        <w:description w:val=""/>
        <w:guid w:val="{36daccde-c198-4c78-b4d5-8e867cae177f}"/>
      </w:docPartPr>
      <w:docPartBody>
        <w:p>
          <w:r>
            <w:rPr>
              <w:color w:val="808080"/>
            </w:rPr>
            <w:t>单击此处输入文字。</w:t>
          </w:r>
        </w:p>
      </w:docPartBody>
    </w:docPart>
    <w:docPart>
      <w:docPartPr>
        <w:name w:val="{0ec0944d-8e63-47ee-8dcf-690f0af300bb}"/>
        <w:style w:val=""/>
        <w:category>
          <w:name w:val="常规"/>
          <w:gallery w:val="placeholder"/>
        </w:category>
        <w:types>
          <w:type w:val="bbPlcHdr"/>
        </w:types>
        <w:behaviors>
          <w:behavior w:val="content"/>
        </w:behaviors>
        <w:description w:val=""/>
        <w:guid w:val="{0ec0944d-8e63-47ee-8dcf-690f0af300bb}"/>
      </w:docPartPr>
      <w:docPartBody>
        <w:p>
          <w:r>
            <w:rPr>
              <w:color w:val="808080"/>
            </w:rPr>
            <w:t>单击此处输入文字。</w:t>
          </w:r>
        </w:p>
      </w:docPartBody>
    </w:docPart>
    <w:docPart>
      <w:docPartPr>
        <w:name w:val="{792257da-d4a1-43fd-9917-78d13534a225}"/>
        <w:style w:val=""/>
        <w:category>
          <w:name w:val="常规"/>
          <w:gallery w:val="placeholder"/>
        </w:category>
        <w:types>
          <w:type w:val="bbPlcHdr"/>
        </w:types>
        <w:behaviors>
          <w:behavior w:val="content"/>
        </w:behaviors>
        <w:description w:val=""/>
        <w:guid w:val="{792257da-d4a1-43fd-9917-78d13534a225}"/>
      </w:docPartPr>
      <w:docPartBody>
        <w:p>
          <w:r>
            <w:rPr>
              <w:color w:val="808080"/>
            </w:rPr>
            <w:t>单击此处输入文字。</w:t>
          </w:r>
        </w:p>
      </w:docPartBody>
    </w:docPart>
    <w:docPart>
      <w:docPartPr>
        <w:name w:val="{2fe77112-c70e-454c-8f0a-e244d89f0a62}"/>
        <w:style w:val=""/>
        <w:category>
          <w:name w:val="常规"/>
          <w:gallery w:val="placeholder"/>
        </w:category>
        <w:types>
          <w:type w:val="bbPlcHdr"/>
        </w:types>
        <w:behaviors>
          <w:behavior w:val="content"/>
        </w:behaviors>
        <w:description w:val=""/>
        <w:guid w:val="{2fe77112-c70e-454c-8f0a-e244d89f0a62}"/>
      </w:docPartPr>
      <w:docPartBody>
        <w:p>
          <w:r>
            <w:rPr>
              <w:color w:val="808080"/>
            </w:rPr>
            <w:t>单击此处输入文字。</w:t>
          </w:r>
        </w:p>
      </w:docPartBody>
    </w:docPart>
    <w:docPart>
      <w:docPartPr>
        <w:name w:val="{7e20a1a9-d54f-4a66-8590-beb3b7c8a511}"/>
        <w:style w:val=""/>
        <w:category>
          <w:name w:val="常规"/>
          <w:gallery w:val="placeholder"/>
        </w:category>
        <w:types>
          <w:type w:val="bbPlcHdr"/>
        </w:types>
        <w:behaviors>
          <w:behavior w:val="content"/>
        </w:behaviors>
        <w:description w:val=""/>
        <w:guid w:val="{7e20a1a9-d54f-4a66-8590-beb3b7c8a511}"/>
      </w:docPartPr>
      <w:docPartBody>
        <w:p>
          <w:r>
            <w:rPr>
              <w:color w:val="808080"/>
            </w:rPr>
            <w:t>单击此处输入文字。</w:t>
          </w:r>
        </w:p>
      </w:docPartBody>
    </w:docPart>
    <w:docPart>
      <w:docPartPr>
        <w:name w:val="{3167eaed-3ffb-4300-9912-81207225e0f5}"/>
        <w:style w:val=""/>
        <w:category>
          <w:name w:val="常规"/>
          <w:gallery w:val="placeholder"/>
        </w:category>
        <w:types>
          <w:type w:val="bbPlcHdr"/>
        </w:types>
        <w:behaviors>
          <w:behavior w:val="content"/>
        </w:behaviors>
        <w:description w:val=""/>
        <w:guid w:val="{3167eaed-3ffb-4300-9912-81207225e0f5}"/>
      </w:docPartPr>
      <w:docPartBody>
        <w:p>
          <w:r>
            <w:rPr>
              <w:color w:val="808080"/>
            </w:rPr>
            <w:t>单击此处输入文字。</w:t>
          </w:r>
        </w:p>
      </w:docPartBody>
    </w:docPart>
    <w:docPart>
      <w:docPartPr>
        <w:name w:val="{3f4f55fd-d005-4b07-b557-5ddd13a25e80}"/>
        <w:style w:val=""/>
        <w:category>
          <w:name w:val="常规"/>
          <w:gallery w:val="placeholder"/>
        </w:category>
        <w:types>
          <w:type w:val="bbPlcHdr"/>
        </w:types>
        <w:behaviors>
          <w:behavior w:val="content"/>
        </w:behaviors>
        <w:description w:val=""/>
        <w:guid w:val="{3f4f55fd-d005-4b07-b557-5ddd13a25e80}"/>
      </w:docPartPr>
      <w:docPartBody>
        <w:p>
          <w:r>
            <w:rPr>
              <w:color w:val="808080"/>
            </w:rPr>
            <w:t>单击此处输入文字。</w:t>
          </w:r>
        </w:p>
      </w:docPartBody>
    </w:docPart>
    <w:docPart>
      <w:docPartPr>
        <w:name w:val="{474b9dce-4189-4094-b763-0af5edbaaee3}"/>
        <w:style w:val=""/>
        <w:category>
          <w:name w:val="常规"/>
          <w:gallery w:val="placeholder"/>
        </w:category>
        <w:types>
          <w:type w:val="bbPlcHdr"/>
        </w:types>
        <w:behaviors>
          <w:behavior w:val="content"/>
        </w:behaviors>
        <w:description w:val=""/>
        <w:guid w:val="{474b9dce-4189-4094-b763-0af5edbaaee3}"/>
      </w:docPartPr>
      <w:docPartBody>
        <w:p>
          <w:r>
            <w:rPr>
              <w:color w:val="808080"/>
            </w:rPr>
            <w:t>单击此处输入文字。</w:t>
          </w:r>
        </w:p>
      </w:docPartBody>
    </w:docPart>
    <w:docPart>
      <w:docPartPr>
        <w:name w:val="{1b9e874b-3379-40b0-a3cf-cd4e70976b67}"/>
        <w:style w:val=""/>
        <w:category>
          <w:name w:val="常规"/>
          <w:gallery w:val="placeholder"/>
        </w:category>
        <w:types>
          <w:type w:val="bbPlcHdr"/>
        </w:types>
        <w:behaviors>
          <w:behavior w:val="content"/>
        </w:behaviors>
        <w:description w:val=""/>
        <w:guid w:val="{1b9e874b-3379-40b0-a3cf-cd4e70976b67}"/>
      </w:docPartPr>
      <w:docPartBody>
        <w:p>
          <w:r>
            <w:rPr>
              <w:color w:val="808080"/>
            </w:rPr>
            <w:t>单击此处输入文字。</w:t>
          </w:r>
        </w:p>
      </w:docPartBody>
    </w:docPart>
    <w:docPart>
      <w:docPartPr>
        <w:name w:val="{d37bb6af-146a-49a8-8a1b-f090498a226a}"/>
        <w:style w:val=""/>
        <w:category>
          <w:name w:val="常规"/>
          <w:gallery w:val="placeholder"/>
        </w:category>
        <w:types>
          <w:type w:val="bbPlcHdr"/>
        </w:types>
        <w:behaviors>
          <w:behavior w:val="content"/>
        </w:behaviors>
        <w:description w:val=""/>
        <w:guid w:val="{d37bb6af-146a-49a8-8a1b-f090498a226a}"/>
      </w:docPartPr>
      <w:docPartBody>
        <w:p>
          <w:r>
            <w:rPr>
              <w:color w:val="808080"/>
            </w:rPr>
            <w:t>单击此处输入文字。</w:t>
          </w:r>
        </w:p>
      </w:docPartBody>
    </w:docPart>
    <w:docPart>
      <w:docPartPr>
        <w:name w:val="{52c243f1-f18f-4f95-ba88-bcbfa9546732}"/>
        <w:style w:val=""/>
        <w:category>
          <w:name w:val="常规"/>
          <w:gallery w:val="placeholder"/>
        </w:category>
        <w:types>
          <w:type w:val="bbPlcHdr"/>
        </w:types>
        <w:behaviors>
          <w:behavior w:val="content"/>
        </w:behaviors>
        <w:description w:val=""/>
        <w:guid w:val="{52c243f1-f18f-4f95-ba88-bcbfa9546732}"/>
      </w:docPartPr>
      <w:docPartBody>
        <w:p>
          <w:r>
            <w:rPr>
              <w:color w:val="808080"/>
            </w:rPr>
            <w:t>单击此处输入文字。</w:t>
          </w:r>
        </w:p>
      </w:docPartBody>
    </w:docPart>
    <w:docPart>
      <w:docPartPr>
        <w:name w:val="{25d11d75-4533-403c-8c6e-fe2389f3cd1f}"/>
        <w:style w:val=""/>
        <w:category>
          <w:name w:val="常规"/>
          <w:gallery w:val="placeholder"/>
        </w:category>
        <w:types>
          <w:type w:val="bbPlcHdr"/>
        </w:types>
        <w:behaviors>
          <w:behavior w:val="content"/>
        </w:behaviors>
        <w:description w:val=""/>
        <w:guid w:val="{25d11d75-4533-403c-8c6e-fe2389f3cd1f}"/>
      </w:docPartPr>
      <w:docPartBody>
        <w:p>
          <w:r>
            <w:rPr>
              <w:color w:val="808080"/>
            </w:rPr>
            <w:t>单击此处输入文字。</w:t>
          </w:r>
        </w:p>
      </w:docPartBody>
    </w:docPart>
    <w:docPart>
      <w:docPartPr>
        <w:name w:val="{42d9845c-84ea-4f2e-bc4f-814afa86d712}"/>
        <w:style w:val=""/>
        <w:category>
          <w:name w:val="常规"/>
          <w:gallery w:val="placeholder"/>
        </w:category>
        <w:types>
          <w:type w:val="bbPlcHdr"/>
        </w:types>
        <w:behaviors>
          <w:behavior w:val="content"/>
        </w:behaviors>
        <w:description w:val=""/>
        <w:guid w:val="{42d9845c-84ea-4f2e-bc4f-814afa86d712}"/>
      </w:docPartPr>
      <w:docPartBody>
        <w:p>
          <w:r>
            <w:rPr>
              <w:color w:val="808080"/>
            </w:rPr>
            <w:t>单击此处输入文字。</w:t>
          </w:r>
        </w:p>
      </w:docPartBody>
    </w:docPart>
    <w:docPart>
      <w:docPartPr>
        <w:name w:val="{541c18da-b5a8-4a0e-a4e5-e3a92939fc4d}"/>
        <w:style w:val=""/>
        <w:category>
          <w:name w:val="常规"/>
          <w:gallery w:val="placeholder"/>
        </w:category>
        <w:types>
          <w:type w:val="bbPlcHdr"/>
        </w:types>
        <w:behaviors>
          <w:behavior w:val="content"/>
        </w:behaviors>
        <w:description w:val=""/>
        <w:guid w:val="{541c18da-b5a8-4a0e-a4e5-e3a92939fc4d}"/>
      </w:docPartPr>
      <w:docPartBody>
        <w:p>
          <w:r>
            <w:rPr>
              <w:color w:val="808080"/>
            </w:rPr>
            <w:t>单击此处输入文字。</w:t>
          </w:r>
        </w:p>
      </w:docPartBody>
    </w:docPart>
    <w:docPart>
      <w:docPartPr>
        <w:name w:val="{cf4361d2-e655-4e99-8e20-5b6815e834f7}"/>
        <w:style w:val=""/>
        <w:category>
          <w:name w:val="常规"/>
          <w:gallery w:val="placeholder"/>
        </w:category>
        <w:types>
          <w:type w:val="bbPlcHdr"/>
        </w:types>
        <w:behaviors>
          <w:behavior w:val="content"/>
        </w:behaviors>
        <w:description w:val=""/>
        <w:guid w:val="{cf4361d2-e655-4e99-8e20-5b6815e834f7}"/>
      </w:docPartPr>
      <w:docPartBody>
        <w:p>
          <w:r>
            <w:rPr>
              <w:color w:val="808080"/>
            </w:rPr>
            <w:t>单击此处输入文字。</w:t>
          </w:r>
        </w:p>
      </w:docPartBody>
    </w:docPart>
    <w:docPart>
      <w:docPartPr>
        <w:name w:val="{fbf87536-a8c7-4dfc-bb5e-efcc8c6c9998}"/>
        <w:style w:val=""/>
        <w:category>
          <w:name w:val="常规"/>
          <w:gallery w:val="placeholder"/>
        </w:category>
        <w:types>
          <w:type w:val="bbPlcHdr"/>
        </w:types>
        <w:behaviors>
          <w:behavior w:val="content"/>
        </w:behaviors>
        <w:description w:val=""/>
        <w:guid w:val="{fbf87536-a8c7-4dfc-bb5e-efcc8c6c9998}"/>
      </w:docPartPr>
      <w:docPartBody>
        <w:p>
          <w:r>
            <w:rPr>
              <w:color w:val="808080"/>
            </w:rPr>
            <w:t>单击此处输入文字。</w:t>
          </w:r>
        </w:p>
      </w:docPartBody>
    </w:docPart>
    <w:docPart>
      <w:docPartPr>
        <w:name w:val="{ed867455-8877-48a2-8e55-21a616119155}"/>
        <w:style w:val=""/>
        <w:category>
          <w:name w:val="常规"/>
          <w:gallery w:val="placeholder"/>
        </w:category>
        <w:types>
          <w:type w:val="bbPlcHdr"/>
        </w:types>
        <w:behaviors>
          <w:behavior w:val="content"/>
        </w:behaviors>
        <w:description w:val=""/>
        <w:guid w:val="{ed867455-8877-48a2-8e55-21a616119155}"/>
      </w:docPartPr>
      <w:docPartBody>
        <w:p>
          <w:r>
            <w:rPr>
              <w:color w:val="808080"/>
            </w:rPr>
            <w:t>单击此处输入文字。</w:t>
          </w:r>
        </w:p>
      </w:docPartBody>
    </w:docPart>
    <w:docPart>
      <w:docPartPr>
        <w:name w:val="{22a04ccd-3d5d-44e3-bd6a-9efb13504747}"/>
        <w:style w:val=""/>
        <w:category>
          <w:name w:val="常规"/>
          <w:gallery w:val="placeholder"/>
        </w:category>
        <w:types>
          <w:type w:val="bbPlcHdr"/>
        </w:types>
        <w:behaviors>
          <w:behavior w:val="content"/>
        </w:behaviors>
        <w:description w:val=""/>
        <w:guid w:val="{22a04ccd-3d5d-44e3-bd6a-9efb13504747}"/>
      </w:docPartPr>
      <w:docPartBody>
        <w:p>
          <w:r>
            <w:rPr>
              <w:color w:val="808080"/>
            </w:rPr>
            <w:t>单击此处输入文字。</w:t>
          </w:r>
        </w:p>
      </w:docPartBody>
    </w:docPart>
    <w:docPart>
      <w:docPartPr>
        <w:name w:val="{cacc2180-1326-4efd-bc5c-bc1ed886a9c4}"/>
        <w:style w:val=""/>
        <w:category>
          <w:name w:val="常规"/>
          <w:gallery w:val="placeholder"/>
        </w:category>
        <w:types>
          <w:type w:val="bbPlcHdr"/>
        </w:types>
        <w:behaviors>
          <w:behavior w:val="content"/>
        </w:behaviors>
        <w:description w:val=""/>
        <w:guid w:val="{cacc2180-1326-4efd-bc5c-bc1ed886a9c4}"/>
      </w:docPartPr>
      <w:docPartBody>
        <w:p>
          <w:r>
            <w:rPr>
              <w:color w:val="808080"/>
            </w:rPr>
            <w:t>单击此处输入文字。</w:t>
          </w:r>
        </w:p>
      </w:docPartBody>
    </w:docPart>
    <w:docPart>
      <w:docPartPr>
        <w:name w:val="{974d9a5a-8d38-4a92-8fde-e5ed004b85b7}"/>
        <w:style w:val=""/>
        <w:category>
          <w:name w:val="常规"/>
          <w:gallery w:val="placeholder"/>
        </w:category>
        <w:types>
          <w:type w:val="bbPlcHdr"/>
        </w:types>
        <w:behaviors>
          <w:behavior w:val="content"/>
        </w:behaviors>
        <w:description w:val=""/>
        <w:guid w:val="{974d9a5a-8d38-4a92-8fde-e5ed004b85b7}"/>
      </w:docPartPr>
      <w:docPartBody>
        <w:p>
          <w:r>
            <w:rPr>
              <w:color w:val="808080"/>
            </w:rPr>
            <w:t>单击此处输入文字。</w:t>
          </w:r>
        </w:p>
      </w:docPartBody>
    </w:docPart>
    <w:docPart>
      <w:docPartPr>
        <w:name w:val="{7f37ac78-8a9d-48ee-b8e0-d00836ad1c35}"/>
        <w:style w:val=""/>
        <w:category>
          <w:name w:val="常规"/>
          <w:gallery w:val="placeholder"/>
        </w:category>
        <w:types>
          <w:type w:val="bbPlcHdr"/>
        </w:types>
        <w:behaviors>
          <w:behavior w:val="content"/>
        </w:behaviors>
        <w:description w:val=""/>
        <w:guid w:val="{7f37ac78-8a9d-48ee-b8e0-d00836ad1c35}"/>
      </w:docPartPr>
      <w:docPartBody>
        <w:p>
          <w:r>
            <w:rPr>
              <w:color w:val="808080"/>
            </w:rPr>
            <w:t>单击此处输入文字。</w:t>
          </w:r>
        </w:p>
      </w:docPartBody>
    </w:docPart>
    <w:docPart>
      <w:docPartPr>
        <w:name w:val="{19f4311f-0438-4415-999c-7fb088ff2b78}"/>
        <w:style w:val=""/>
        <w:category>
          <w:name w:val="常规"/>
          <w:gallery w:val="placeholder"/>
        </w:category>
        <w:types>
          <w:type w:val="bbPlcHdr"/>
        </w:types>
        <w:behaviors>
          <w:behavior w:val="content"/>
        </w:behaviors>
        <w:description w:val=""/>
        <w:guid w:val="{19f4311f-0438-4415-999c-7fb088ff2b78}"/>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16907</Words>
  <Characters>18133</Characters>
  <Lines>0</Lines>
  <Paragraphs>0</Paragraphs>
  <TotalTime>17</TotalTime>
  <ScaleCrop>false</ScaleCrop>
  <LinksUpToDate>false</LinksUpToDate>
  <CharactersWithSpaces>18321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2023-03-08T03:59:00Z</dcterms:created>
  <dc:creator>Qin.</dc:creator>
  <cp:lastModifiedBy>Admin</cp:lastModifiedBy>
  <cp:lastPrinted>2023-07-11T14:30:00Z</cp:lastPrinted>
  <dcterms:modified xsi:type="dcterms:W3CDTF">2023-10-26T16:27:10Z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B59467DB1F1044D2A991BFA8111380F1</vt:lpwstr>
  </property>
</Properties>
</file>