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bidi w:val="0"/>
        <w:spacing w:line="570" w:lineRule="exact"/>
        <w:jc w:val="center"/>
        <w:outlineLvl w:val="0"/>
        <w:rPr>
          <w:rFonts w:hint="default" w:ascii="Times New Roman" w:hAnsi="Times New Roman" w:eastAsia="黑体" w:cs="Times New Roman"/>
          <w:b/>
          <w:bCs/>
          <w:color w:val="auto"/>
          <w:sz w:val="52"/>
          <w:szCs w:val="52"/>
          <w:highlight w:val="none"/>
          <w:lang w:val="en-US" w:eastAsia="zh-CN"/>
        </w:rPr>
      </w:pPr>
    </w:p>
    <w:p>
      <w:pPr>
        <w:pageBreakBefore w:val="0"/>
        <w:kinsoku/>
        <w:wordWrap/>
        <w:bidi w:val="0"/>
        <w:spacing w:line="570" w:lineRule="exact"/>
        <w:jc w:val="center"/>
        <w:outlineLvl w:val="0"/>
        <w:rPr>
          <w:rFonts w:hint="default" w:ascii="Times New Roman" w:hAnsi="Times New Roman" w:eastAsia="黑体" w:cs="Times New Roman"/>
          <w:b/>
          <w:bCs/>
          <w:color w:val="auto"/>
          <w:sz w:val="52"/>
          <w:szCs w:val="52"/>
          <w:highlight w:val="none"/>
          <w:lang w:val="en-US" w:eastAsia="zh-CN"/>
        </w:rPr>
      </w:pPr>
    </w:p>
    <w:p>
      <w:pPr>
        <w:pageBreakBefore w:val="0"/>
        <w:kinsoku/>
        <w:wordWrap/>
        <w:bidi w:val="0"/>
        <w:spacing w:line="570" w:lineRule="exact"/>
        <w:jc w:val="center"/>
        <w:outlineLvl w:val="0"/>
        <w:rPr>
          <w:rFonts w:hint="eastAsia" w:ascii="方正小标宋_GBK" w:hAnsi="方正小标宋_GBK" w:eastAsia="方正小标宋_GBK" w:cs="方正小标宋_GBK"/>
          <w:b/>
          <w:bCs/>
          <w:color w:val="auto"/>
          <w:sz w:val="40"/>
          <w:szCs w:val="40"/>
          <w:highlight w:val="none"/>
          <w:lang w:val="en-US" w:eastAsia="zh-CN"/>
        </w:rPr>
      </w:pPr>
      <w:bookmarkStart w:id="0" w:name="_Toc22366"/>
      <w:bookmarkStart w:id="1" w:name="_Toc21564"/>
      <w:r>
        <w:rPr>
          <w:rFonts w:hint="eastAsia" w:ascii="方正小标宋_GBK" w:hAnsi="方正小标宋_GBK" w:eastAsia="方正小标宋_GBK" w:cs="方正小标宋_GBK"/>
          <w:b/>
          <w:bCs/>
          <w:color w:val="auto"/>
          <w:sz w:val="40"/>
          <w:szCs w:val="40"/>
          <w:highlight w:val="none"/>
          <w:lang w:val="en-US" w:eastAsia="zh-CN"/>
        </w:rPr>
        <w:t>喀什地区伽师县2022年度</w:t>
      </w:r>
      <w:bookmarkEnd w:id="0"/>
      <w:bookmarkEnd w:id="1"/>
    </w:p>
    <w:p>
      <w:pPr>
        <w:pageBreakBefore w:val="0"/>
        <w:kinsoku/>
        <w:wordWrap/>
        <w:bidi w:val="0"/>
        <w:spacing w:line="570" w:lineRule="exact"/>
        <w:jc w:val="center"/>
        <w:outlineLvl w:val="0"/>
        <w:rPr>
          <w:rFonts w:hint="eastAsia" w:ascii="方正小标宋_GBK" w:hAnsi="方正小标宋_GBK" w:eastAsia="方正小标宋_GBK" w:cs="方正小标宋_GBK"/>
          <w:b/>
          <w:bCs/>
          <w:color w:val="auto"/>
          <w:sz w:val="40"/>
          <w:szCs w:val="40"/>
          <w:highlight w:val="none"/>
          <w:lang w:val="en-US" w:eastAsia="zh-CN"/>
        </w:rPr>
      </w:pPr>
      <w:bookmarkStart w:id="2" w:name="_Toc7240"/>
      <w:bookmarkStart w:id="3" w:name="_Toc3248"/>
      <w:r>
        <w:rPr>
          <w:rFonts w:hint="eastAsia" w:ascii="方正小标宋_GBK" w:hAnsi="方正小标宋_GBK" w:eastAsia="方正小标宋_GBK" w:cs="方正小标宋_GBK"/>
          <w:b/>
          <w:bCs/>
          <w:color w:val="auto"/>
          <w:sz w:val="40"/>
          <w:szCs w:val="40"/>
          <w:highlight w:val="none"/>
          <w:lang w:val="en-US" w:eastAsia="zh-CN"/>
        </w:rPr>
        <w:t>预算绩效评价报告</w:t>
      </w:r>
      <w:bookmarkEnd w:id="2"/>
      <w:bookmarkEnd w:id="3"/>
    </w:p>
    <w:p>
      <w:pPr>
        <w:pageBreakBefore w:val="0"/>
        <w:kinsoku/>
        <w:wordWrap/>
        <w:bidi w:val="0"/>
        <w:spacing w:line="570" w:lineRule="exact"/>
        <w:jc w:val="center"/>
        <w:rPr>
          <w:rFonts w:hint="default" w:ascii="Times New Roman" w:hAnsi="Times New Roman" w:eastAsia="方正小标宋_GBK" w:cs="Times New Roman"/>
          <w:b/>
          <w:bCs/>
          <w:color w:val="auto"/>
          <w:sz w:val="48"/>
          <w:szCs w:val="48"/>
          <w:highlight w:val="none"/>
          <w:lang w:val="en-US" w:eastAsia="zh-CN"/>
        </w:rPr>
      </w:pPr>
    </w:p>
    <w:p>
      <w:pPr>
        <w:pageBreakBefore w:val="0"/>
        <w:kinsoku/>
        <w:wordWrap/>
        <w:bidi w:val="0"/>
        <w:spacing w:line="570" w:lineRule="exact"/>
        <w:jc w:val="center"/>
        <w:rPr>
          <w:rFonts w:hint="default" w:ascii="Times New Roman" w:hAnsi="Times New Roman" w:eastAsia="方正小标宋_GBK" w:cs="Times New Roman"/>
          <w:b/>
          <w:bCs/>
          <w:color w:val="auto"/>
          <w:sz w:val="48"/>
          <w:szCs w:val="48"/>
          <w:highlight w:val="none"/>
          <w:lang w:val="en-US" w:eastAsia="zh-CN"/>
        </w:rPr>
      </w:pPr>
    </w:p>
    <w:p>
      <w:pPr>
        <w:pageBreakBefore w:val="0"/>
        <w:kinsoku/>
        <w:wordWrap/>
        <w:bidi w:val="0"/>
        <w:spacing w:line="570" w:lineRule="exact"/>
        <w:jc w:val="center"/>
        <w:rPr>
          <w:rFonts w:hint="default" w:ascii="Times New Roman" w:hAnsi="Times New Roman" w:eastAsia="方正小标宋_GBK" w:cs="Times New Roman"/>
          <w:b/>
          <w:bCs/>
          <w:color w:val="auto"/>
          <w:sz w:val="48"/>
          <w:szCs w:val="48"/>
          <w:highlight w:val="none"/>
          <w:lang w:val="en-US" w:eastAsia="zh-CN"/>
        </w:rPr>
      </w:pPr>
    </w:p>
    <w:p>
      <w:pPr>
        <w:pageBreakBefore w:val="0"/>
        <w:kinsoku/>
        <w:wordWrap/>
        <w:bidi w:val="0"/>
        <w:spacing w:line="570" w:lineRule="exact"/>
        <w:ind w:left="2236" w:leftChars="300" w:hanging="1516" w:hangingChars="474"/>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项目名称：伽师县2022年国有企业退休人员社会化服务项目</w:t>
      </w:r>
    </w:p>
    <w:p>
      <w:pPr>
        <w:pageBreakBefore w:val="0"/>
        <w:kinsoku/>
        <w:wordWrap/>
        <w:bidi w:val="0"/>
        <w:snapToGrid/>
        <w:spacing w:before="120" w:beforeAutospacing="0" w:after="120" w:afterAutospacing="0" w:line="570" w:lineRule="exact"/>
        <w:ind w:left="2236" w:leftChars="300" w:hanging="1516" w:hangingChars="474"/>
        <w:jc w:val="left"/>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项目单位：</w:t>
      </w:r>
      <w:r>
        <w:rPr>
          <w:rStyle w:val="16"/>
          <w:rFonts w:hint="eastAsia" w:ascii="黑体" w:hAnsi="黑体" w:eastAsia="黑体" w:cs="黑体"/>
          <w:b w:val="0"/>
          <w:i w:val="0"/>
          <w:caps w:val="0"/>
          <w:color w:val="auto"/>
          <w:spacing w:val="0"/>
          <w:w w:val="100"/>
          <w:kern w:val="0"/>
          <w:sz w:val="32"/>
          <w:szCs w:val="32"/>
          <w:highlight w:val="none"/>
          <w:lang w:val="en-US" w:eastAsia="zh-CN" w:bidi="en-US"/>
        </w:rPr>
        <w:t>伽师县财政局</w:t>
      </w:r>
    </w:p>
    <w:p>
      <w:pPr>
        <w:pageBreakBefore w:val="0"/>
        <w:kinsoku/>
        <w:wordWrap/>
        <w:bidi w:val="0"/>
        <w:snapToGrid/>
        <w:spacing w:before="120" w:beforeAutospacing="0" w:after="120" w:afterAutospacing="0" w:line="570" w:lineRule="exact"/>
        <w:ind w:left="2236" w:leftChars="300" w:hanging="1516" w:hangingChars="474"/>
        <w:jc w:val="left"/>
        <w:textAlignment w:val="baseline"/>
        <w:rPr>
          <w:rFonts w:hint="eastAsia" w:ascii="黑体" w:hAnsi="黑体" w:eastAsia="黑体" w:cs="黑体"/>
          <w:b w:val="0"/>
          <w:bCs w:val="0"/>
          <w:color w:val="auto"/>
          <w:sz w:val="32"/>
          <w:szCs w:val="32"/>
          <w:highlight w:val="none"/>
          <w:lang w:val="en-US" w:eastAsia="zh-CN"/>
        </w:rPr>
      </w:pPr>
      <w:r>
        <w:rPr>
          <w:rStyle w:val="16"/>
          <w:rFonts w:hint="eastAsia" w:ascii="黑体" w:hAnsi="黑体" w:eastAsia="黑体" w:cs="黑体"/>
          <w:b w:val="0"/>
          <w:i w:val="0"/>
          <w:caps w:val="0"/>
          <w:color w:val="auto"/>
          <w:spacing w:val="0"/>
          <w:w w:val="100"/>
          <w:kern w:val="0"/>
          <w:sz w:val="32"/>
          <w:szCs w:val="32"/>
          <w:highlight w:val="none"/>
          <w:lang w:val="en-US" w:eastAsia="zh-CN" w:bidi="en-US"/>
        </w:rPr>
        <w:t>主管部门：伽师县财政局</w:t>
      </w:r>
      <w:bookmarkStart w:id="216" w:name="_GoBack"/>
      <w:bookmarkEnd w:id="216"/>
    </w:p>
    <w:p>
      <w:pPr>
        <w:pageBreakBefore w:val="0"/>
        <w:kinsoku/>
        <w:wordWrap/>
        <w:bidi w:val="0"/>
        <w:snapToGrid/>
        <w:spacing w:before="120" w:beforeAutospacing="0" w:after="120" w:afterAutospacing="0" w:line="570" w:lineRule="exact"/>
        <w:ind w:left="2236" w:leftChars="300" w:hanging="1516" w:hangingChars="474"/>
        <w:jc w:val="left"/>
        <w:textAlignment w:val="baseline"/>
        <w:rPr>
          <w:rStyle w:val="16"/>
          <w:rFonts w:hint="eastAsia" w:ascii="黑体" w:hAnsi="黑体" w:eastAsia="黑体" w:cs="黑体"/>
          <w:b w:val="0"/>
          <w:i w:val="0"/>
          <w:caps w:val="0"/>
          <w:color w:val="auto"/>
          <w:spacing w:val="0"/>
          <w:w w:val="100"/>
          <w:kern w:val="0"/>
          <w:sz w:val="32"/>
          <w:szCs w:val="32"/>
          <w:highlight w:val="none"/>
          <w:lang w:val="en-US" w:eastAsia="zh-CN" w:bidi="en-US"/>
        </w:rPr>
      </w:pPr>
      <w:r>
        <w:rPr>
          <w:rStyle w:val="16"/>
          <w:rFonts w:hint="eastAsia" w:ascii="黑体" w:hAnsi="黑体" w:eastAsia="黑体" w:cs="黑体"/>
          <w:b w:val="0"/>
          <w:i w:val="0"/>
          <w:caps w:val="0"/>
          <w:color w:val="auto"/>
          <w:spacing w:val="0"/>
          <w:w w:val="100"/>
          <w:kern w:val="0"/>
          <w:sz w:val="32"/>
          <w:szCs w:val="32"/>
          <w:highlight w:val="none"/>
          <w:lang w:val="en-US" w:eastAsia="zh-CN" w:bidi="en-US"/>
        </w:rPr>
        <w:t>委托单位：伽师县财政局</w:t>
      </w:r>
    </w:p>
    <w:p>
      <w:pPr>
        <w:pageBreakBefore w:val="0"/>
        <w:kinsoku/>
        <w:wordWrap/>
        <w:bidi w:val="0"/>
        <w:spacing w:line="570" w:lineRule="exact"/>
        <w:ind w:left="1857" w:leftChars="300" w:hanging="1137" w:hangingChars="474"/>
        <w:jc w:val="left"/>
        <w:rPr>
          <w:rFonts w:hint="eastAsia" w:ascii="黑体" w:hAnsi="黑体" w:eastAsia="黑体" w:cs="黑体"/>
          <w:b w:val="0"/>
          <w:bCs w:val="0"/>
          <w:color w:val="auto"/>
          <w:sz w:val="32"/>
          <w:szCs w:val="32"/>
          <w:highlight w:val="none"/>
          <w:lang w:val="en-US" w:eastAsia="zh-CN"/>
        </w:rPr>
      </w:pPr>
      <w:r>
        <w:rPr>
          <w:color w:val="FF0000"/>
        </w:rPr>
        <w:drawing>
          <wp:anchor distT="0" distB="0" distL="114300" distR="114300" simplePos="0" relativeHeight="251659264" behindDoc="0" locked="0" layoutInCell="1" allowOverlap="1">
            <wp:simplePos x="0" y="0"/>
            <wp:positionH relativeFrom="column">
              <wp:posOffset>1855470</wp:posOffset>
            </wp:positionH>
            <wp:positionV relativeFrom="paragraph">
              <wp:posOffset>1054100</wp:posOffset>
            </wp:positionV>
            <wp:extent cx="1678305" cy="1394460"/>
            <wp:effectExtent l="0" t="0" r="17145" b="15240"/>
            <wp:wrapTopAndBottom/>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1678305" cy="1394460"/>
                    </a:xfrm>
                    <a:prstGeom prst="rect">
                      <a:avLst/>
                    </a:prstGeom>
                    <a:noFill/>
                    <a:ln>
                      <a:noFill/>
                    </a:ln>
                  </pic:spPr>
                </pic:pic>
              </a:graphicData>
            </a:graphic>
          </wp:anchor>
        </w:drawing>
      </w:r>
      <w:r>
        <w:rPr>
          <w:rFonts w:hint="eastAsia" w:ascii="黑体" w:hAnsi="黑体" w:eastAsia="黑体" w:cs="黑体"/>
          <w:b w:val="0"/>
          <w:bCs w:val="0"/>
          <w:color w:val="auto"/>
          <w:sz w:val="32"/>
          <w:szCs w:val="32"/>
          <w:highlight w:val="none"/>
          <w:lang w:val="en-US" w:eastAsia="zh-CN"/>
        </w:rPr>
        <w:t>评价机构：新疆永信中正项目管理咨询有限公司</w:t>
      </w:r>
    </w:p>
    <w:p>
      <w:pPr>
        <w:pStyle w:val="6"/>
        <w:pageBreakBefore w:val="0"/>
        <w:kinsoku/>
        <w:wordWrap/>
        <w:bidi w:val="0"/>
        <w:spacing w:line="570" w:lineRule="exact"/>
        <w:ind w:left="2236" w:leftChars="300" w:hanging="1516" w:hangingChars="474"/>
        <w:rPr>
          <w:rFonts w:hint="eastAsia" w:ascii="黑体" w:hAnsi="黑体" w:eastAsia="黑体" w:cs="黑体"/>
          <w:b w:val="0"/>
          <w:bCs w:val="0"/>
          <w:color w:val="auto"/>
          <w:kern w:val="0"/>
          <w:sz w:val="32"/>
          <w:szCs w:val="32"/>
          <w:highlight w:val="none"/>
          <w:lang w:val="en-US" w:eastAsia="zh-CN" w:bidi="ar"/>
        </w:rPr>
      </w:pPr>
      <w:r>
        <w:rPr>
          <w:rFonts w:hint="eastAsia" w:ascii="黑体" w:hAnsi="黑体" w:eastAsia="黑体" w:cs="黑体"/>
          <w:b w:val="0"/>
          <w:bCs w:val="0"/>
          <w:color w:val="auto"/>
          <w:kern w:val="0"/>
          <w:sz w:val="32"/>
          <w:szCs w:val="32"/>
          <w:highlight w:val="none"/>
          <w:lang w:val="en-US" w:eastAsia="zh-CN" w:bidi="ar"/>
        </w:rPr>
        <w:t>主评人：邹燕</w:t>
      </w:r>
    </w:p>
    <w:p>
      <w:pPr>
        <w:pageBreakBefore w:val="0"/>
        <w:kinsoku/>
        <w:wordWrap/>
        <w:bidi w:val="0"/>
        <w:spacing w:line="570" w:lineRule="exact"/>
        <w:jc w:val="center"/>
        <w:rPr>
          <w:rFonts w:hint="eastAsia" w:ascii="黑体" w:hAnsi="黑体" w:eastAsia="黑体" w:cs="黑体"/>
          <w:b w:val="0"/>
          <w:bCs w:val="0"/>
          <w:color w:val="auto"/>
          <w:sz w:val="32"/>
          <w:szCs w:val="32"/>
          <w:highlight w:val="none"/>
          <w:lang w:val="en-US" w:eastAsia="zh-CN"/>
        </w:rPr>
      </w:pPr>
    </w:p>
    <w:p>
      <w:pPr>
        <w:pageBreakBefore w:val="0"/>
        <w:kinsoku/>
        <w:wordWrap/>
        <w:bidi w:val="0"/>
        <w:spacing w:line="570" w:lineRule="exact"/>
        <w:ind w:firstLine="3520" w:firstLineChars="1100"/>
        <w:jc w:val="both"/>
        <w:rPr>
          <w:rFonts w:hint="eastAsia" w:ascii="黑体" w:hAnsi="黑体" w:eastAsia="黑体" w:cs="黑体"/>
          <w:b w:val="0"/>
          <w:bCs w:val="0"/>
          <w:color w:val="auto"/>
          <w:sz w:val="32"/>
          <w:szCs w:val="32"/>
          <w:highlight w:val="none"/>
          <w:lang w:val="en-US" w:eastAsia="zh-CN"/>
        </w:rPr>
        <w:sectPr>
          <w:pgSz w:w="11906" w:h="16838"/>
          <w:pgMar w:top="1984" w:right="1531" w:bottom="1701" w:left="1531" w:header="851" w:footer="992" w:gutter="0"/>
          <w:pgNumType w:fmt="numberInDash"/>
          <w:cols w:space="720" w:num="1"/>
          <w:docGrid w:type="lines" w:linePitch="312" w:charSpace="0"/>
        </w:sectPr>
      </w:pPr>
      <w:r>
        <w:rPr>
          <w:rFonts w:hint="eastAsia" w:ascii="黑体" w:hAnsi="黑体" w:eastAsia="黑体" w:cs="黑体"/>
          <w:b w:val="0"/>
          <w:bCs w:val="0"/>
          <w:color w:val="auto"/>
          <w:sz w:val="32"/>
          <w:szCs w:val="32"/>
          <w:highlight w:val="none"/>
          <w:lang w:val="en-US" w:eastAsia="zh-CN"/>
        </w:rPr>
        <w:t>2023年7月</w:t>
      </w:r>
    </w:p>
    <w:p>
      <w:pPr>
        <w:keepNext w:val="0"/>
        <w:keepLines w:val="0"/>
        <w:pageBreakBefore w:val="0"/>
        <w:kinsoku/>
        <w:wordWrap/>
        <w:topLinePunct w:val="0"/>
        <w:bidi w:val="0"/>
        <w:snapToGrid/>
        <w:spacing w:line="570" w:lineRule="exact"/>
        <w:jc w:val="center"/>
        <w:outlineLvl w:val="0"/>
        <w:rPr>
          <w:rFonts w:hint="eastAsia" w:ascii="方正小标宋_GBK" w:hAnsi="方正小标宋_GBK" w:eastAsia="方正小标宋_GBK" w:cs="方正小标宋_GBK"/>
          <w:b w:val="0"/>
          <w:bCs w:val="0"/>
          <w:color w:val="auto"/>
          <w:sz w:val="40"/>
          <w:szCs w:val="40"/>
          <w:highlight w:val="none"/>
          <w:lang w:val="en-US" w:eastAsia="zh-CN"/>
        </w:rPr>
      </w:pPr>
      <w:bookmarkStart w:id="4" w:name="_Toc5178"/>
      <w:bookmarkStart w:id="5" w:name="_Toc5695"/>
      <w:bookmarkStart w:id="6" w:name="_Toc11681"/>
      <w:r>
        <w:rPr>
          <w:rFonts w:hint="eastAsia" w:ascii="方正小标宋_GBK" w:hAnsi="方正小标宋_GBK" w:eastAsia="方正小标宋_GBK" w:cs="方正小标宋_GBK"/>
          <w:b w:val="0"/>
          <w:bCs w:val="0"/>
          <w:color w:val="auto"/>
          <w:sz w:val="40"/>
          <w:szCs w:val="40"/>
          <w:highlight w:val="none"/>
          <w:lang w:val="en-US" w:eastAsia="zh-CN"/>
        </w:rPr>
        <w:t>摘要</w:t>
      </w:r>
      <w:bookmarkEnd w:id="4"/>
      <w:bookmarkEnd w:id="5"/>
      <w:bookmarkEnd w:id="6"/>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outlineLvl w:val="0"/>
        <w:rPr>
          <w:rFonts w:hint="eastAsia" w:ascii="方正黑体_GBK" w:hAnsi="方正黑体_GBK" w:eastAsia="方正黑体_GBK" w:cs="方正黑体_GBK"/>
          <w:b w:val="0"/>
          <w:bCs w:val="0"/>
          <w:color w:val="auto"/>
          <w:kern w:val="0"/>
          <w:sz w:val="32"/>
          <w:szCs w:val="32"/>
          <w:highlight w:val="none"/>
          <w:lang w:val="en-US" w:eastAsia="zh-CN" w:bidi="en-US"/>
        </w:rPr>
      </w:pPr>
      <w:bookmarkStart w:id="7" w:name="_Toc2557"/>
      <w:bookmarkStart w:id="8" w:name="_Toc21206"/>
      <w:r>
        <w:rPr>
          <w:rFonts w:hint="eastAsia" w:ascii="方正黑体_GBK" w:hAnsi="方正黑体_GBK" w:eastAsia="方正黑体_GBK" w:cs="方正黑体_GBK"/>
          <w:b w:val="0"/>
          <w:bCs w:val="0"/>
          <w:color w:val="auto"/>
          <w:kern w:val="0"/>
          <w:sz w:val="32"/>
          <w:szCs w:val="32"/>
          <w:highlight w:val="none"/>
          <w:lang w:eastAsia="zh-CN" w:bidi="en-US"/>
        </w:rPr>
        <w:t>一、</w:t>
      </w:r>
      <w:bookmarkEnd w:id="7"/>
      <w:bookmarkEnd w:id="8"/>
      <w:r>
        <w:rPr>
          <w:rFonts w:hint="eastAsia" w:ascii="方正黑体_GBK" w:hAnsi="方正黑体_GBK" w:eastAsia="方正黑体_GBK" w:cs="方正黑体_GBK"/>
          <w:b w:val="0"/>
          <w:bCs w:val="0"/>
          <w:color w:val="auto"/>
          <w:kern w:val="0"/>
          <w:sz w:val="32"/>
          <w:szCs w:val="32"/>
          <w:highlight w:val="none"/>
          <w:lang w:eastAsia="zh-CN" w:bidi="en-US"/>
        </w:rPr>
        <w:t>基本情况</w:t>
      </w:r>
    </w:p>
    <w:p>
      <w:pPr>
        <w:pStyle w:val="4"/>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70" w:lineRule="exact"/>
        <w:ind w:firstLine="643" w:firstLineChars="200"/>
        <w:textAlignment w:val="auto"/>
        <w:rPr>
          <w:rFonts w:hint="eastAsia" w:ascii="方正楷体_GBK" w:hAnsi="方正楷体_GBK" w:eastAsia="方正楷体_GBK" w:cs="方正楷体_GBK"/>
          <w:b/>
          <w:bCs/>
          <w:color w:val="auto"/>
          <w:sz w:val="32"/>
          <w:szCs w:val="32"/>
          <w:highlight w:val="none"/>
          <w:lang w:val="en-US" w:eastAsia="zh-CN"/>
        </w:rPr>
      </w:pPr>
      <w:bookmarkStart w:id="9" w:name="_Toc23364"/>
      <w:r>
        <w:rPr>
          <w:rFonts w:hint="eastAsia" w:ascii="方正楷体_GBK" w:hAnsi="方正楷体_GBK" w:eastAsia="方正楷体_GBK" w:cs="方正楷体_GBK"/>
          <w:b/>
          <w:bCs/>
          <w:color w:val="auto"/>
          <w:sz w:val="32"/>
          <w:szCs w:val="32"/>
          <w:highlight w:val="none"/>
          <w:lang w:val="en-US" w:eastAsia="zh-CN"/>
        </w:rPr>
        <w:t>（一）项目概</w:t>
      </w:r>
      <w:bookmarkEnd w:id="9"/>
      <w:r>
        <w:rPr>
          <w:rFonts w:hint="eastAsia" w:ascii="方正楷体_GBK" w:hAnsi="方正楷体_GBK" w:eastAsia="方正楷体_GBK" w:cs="方正楷体_GBK"/>
          <w:b/>
          <w:bCs/>
          <w:color w:val="auto"/>
          <w:sz w:val="32"/>
          <w:szCs w:val="32"/>
          <w:highlight w:val="none"/>
          <w:lang w:val="en-US" w:eastAsia="zh-CN"/>
        </w:rPr>
        <w:t>况</w:t>
      </w:r>
    </w:p>
    <w:p>
      <w:pPr>
        <w:pStyle w:val="24"/>
        <w:pageBreakBefore w:val="0"/>
        <w:kinsoku/>
        <w:wordWrap/>
        <w:bidi w:val="0"/>
        <w:spacing w:line="570" w:lineRule="exact"/>
        <w:ind w:firstLine="640"/>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项目名称：</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伽师县2022年国有企业退休人员社会化管理项目（以下简称“该项目”或“项目”）</w:t>
      </w:r>
    </w:p>
    <w:p>
      <w:pPr>
        <w:pStyle w:val="24"/>
        <w:pageBreakBefore w:val="0"/>
        <w:kinsoku/>
        <w:wordWrap/>
        <w:bidi w:val="0"/>
        <w:spacing w:line="570" w:lineRule="exact"/>
        <w:ind w:firstLine="640"/>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项目背景</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国有企业退休人员社会化管理</w:t>
      </w:r>
      <w:r>
        <w:rPr>
          <w:rFonts w:hint="eastAsia" w:ascii="方正仿宋_GBK" w:hAnsi="方正仿宋_GBK" w:eastAsia="方正仿宋_GBK" w:cs="方正仿宋_GBK"/>
          <w:color w:val="auto"/>
          <w:sz w:val="32"/>
          <w:szCs w:val="32"/>
          <w:highlight w:val="none"/>
          <w:lang w:eastAsia="zh-CN"/>
        </w:rPr>
        <w:t>，是以习近平新时代中国特色社会主义思想为指导，全面贯彻落实党的十九大和十九届二中、三中、四中全会精神、全面深化国有企业改革，平稳有序推进</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国有企业退休人员社会化管理</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，为国有企业公平参与市场竞争创造条件。立足退休人员法定权益保障和服务需求，整合管理服务资源，创新服务管理方式，提升社区国有企业退休人员管理服务保障水平，确保</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国有企业退休人员</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共享全面建成小康社会新成果，</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伽师县2022年国有企业退休人员社会化管理项目</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根据</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关于支持地方做好中央企业及原中央下放企业退休人员社会化管理工作的通知》（财资〔2020〕1号）、《关于印发&lt;推进国有企业退休人员社会化管理的实施办法&gt;的通知》执行</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pStyle w:val="24"/>
        <w:pageBreakBefore w:val="0"/>
        <w:kinsoku/>
        <w:wordWrap/>
        <w:bidi w:val="0"/>
        <w:spacing w:line="570" w:lineRule="exact"/>
        <w:ind w:firstLine="640"/>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项目内容：该项目主要用于对转移至我县10个乡镇的79名国有企业退休人员进行社会化管理服务的经费补助，实现国有企业退休人员管理服务工作与原企业分离，减轻国有企业负担。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Chars="20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（二）评价工作概况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本次评价目的是为全面了解该项目预算编制合理性、资金使用合规性、项目管理的规范性、项目目标的实现情况、服务对象的满意度等，对2022年国有企业退休人员社会化服务项目支出的经济性、效率性、效益性和公平性进行客观、公正的测量、分析和评判，通过本次绩效评价来总结经验和教训，促进项目成果转化和应用，为今后类似项目的长效管理，提供可行性参考建议。项目组结合评价内容，从三方面对国有企业退休人员社会化服务项目实施绩效评价：一是通过资料查阅了解项目政策、立项背景和决策过程等；二是通过走访项目实施单位进行实地调研，了解项目实施完成真实情况；三是通过收集项目资料，梳理资料信息等基础数据采集、发放问卷、书面访谈等方式多渠道获取评价信息。</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bookmarkStart w:id="10" w:name="_Toc24416"/>
      <w:r>
        <w:rPr>
          <w:rFonts w:hint="eastAsia" w:ascii="方正黑体_GBK" w:hAnsi="方正黑体_GBK" w:eastAsia="方正黑体_GBK" w:cs="方正黑体_GBK"/>
          <w:b w:val="0"/>
          <w:bCs w:val="0"/>
          <w:color w:val="auto"/>
          <w:sz w:val="32"/>
          <w:szCs w:val="32"/>
          <w:highlight w:val="none"/>
          <w:lang w:val="en-US" w:eastAsia="zh-CN"/>
        </w:rPr>
        <w:t>二、绩效评价</w:t>
      </w:r>
      <w:bookmarkEnd w:id="10"/>
      <w:r>
        <w:rPr>
          <w:rFonts w:hint="eastAsia" w:ascii="方正黑体_GBK" w:hAnsi="方正黑体_GBK" w:eastAsia="方正黑体_GBK" w:cs="方正黑体_GBK"/>
          <w:b w:val="0"/>
          <w:bCs w:val="0"/>
          <w:color w:val="auto"/>
          <w:sz w:val="32"/>
          <w:szCs w:val="32"/>
          <w:highlight w:val="none"/>
          <w:lang w:val="en-US" w:eastAsia="zh-CN"/>
        </w:rPr>
        <w:t>结论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en-US"/>
        </w:rPr>
      </w:pPr>
      <w:r>
        <w:rPr>
          <w:rFonts w:hint="eastAsia" w:ascii="方正仿宋_GBK" w:hAnsi="方正仿宋_GBK" w:eastAsia="方正仿宋_GBK" w:cs="方正仿宋_GBK"/>
          <w:b w:val="0"/>
          <w:bCs w:val="0"/>
          <w:color w:val="auto"/>
          <w:kern w:val="0"/>
          <w:sz w:val="32"/>
          <w:szCs w:val="32"/>
          <w:highlight w:val="none"/>
          <w:lang w:val="en-US" w:eastAsia="zh-CN" w:bidi="en-US"/>
        </w:rPr>
        <w:t>通过调研、数据分析、访谈等方式，根据工作方案确定的指标体系及评分标准，对“2022年国有企业退休人员社会化服务项目”绩效进行客观评价，该项目组织比较规范，目标完成情况良好，部分指标实现了预期目标，项目最终得分为98.33分，评价级别属于“优”。</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方正黑体_GBK" w:hAnsi="方正黑体_GBK" w:eastAsia="方正黑体_GBK" w:cs="方正黑体_GBK"/>
          <w:b w:val="0"/>
          <w:bCs w:val="0"/>
          <w:color w:val="auto"/>
          <w:kern w:val="0"/>
          <w:sz w:val="32"/>
          <w:szCs w:val="32"/>
          <w:highlight w:val="none"/>
          <w:lang w:val="en-US" w:eastAsia="zh-CN" w:bidi="en-US"/>
        </w:rPr>
      </w:pPr>
      <w:r>
        <w:rPr>
          <w:rFonts w:hint="eastAsia" w:ascii="方正黑体_GBK" w:hAnsi="方正黑体_GBK" w:eastAsia="方正黑体_GBK" w:cs="方正黑体_GBK"/>
          <w:b w:val="0"/>
          <w:bCs w:val="0"/>
          <w:color w:val="auto"/>
          <w:kern w:val="0"/>
          <w:sz w:val="32"/>
          <w:szCs w:val="32"/>
          <w:highlight w:val="none"/>
          <w:lang w:val="en-US" w:eastAsia="zh-CN" w:bidi="en-US"/>
        </w:rPr>
        <w:t>主要经验及做法、存在的问题和改进的建议</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（一）主要经验及做法</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both"/>
        <w:textAlignment w:val="auto"/>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一是成立养老服务工作领导小组，明确责任，合理分工，密切协作，为养老服务工作顺利实施提供保障。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both"/>
        <w:textAlignment w:val="auto"/>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二是企业退休人员活动开展方面，利用有限的经费对社区工作予以支持，通过以点带面推动社区平台建设。同时督促各村（社区）根据自身特点与实际情况组织退休人员开展形式多样的文体活动。</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（二）存在问题与不足</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left"/>
        <w:textAlignment w:val="auto"/>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一是由于乡镇、社区档案管理人员不专业及人员流动性较大，导致部分党员关系转移证明不齐全，企业退休党员移交仅在党统系统内办理移交，未及时出具党员关系转移证明，导致退休人员档案寄存管理没有落实到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left"/>
        <w:textAlignment w:val="auto"/>
        <w:rPr>
          <w:rFonts w:hint="eastAsia" w:ascii="仿宋" w:hAnsi="仿宋" w:eastAsia="仿宋" w:cs="仿宋"/>
          <w:b w:val="0"/>
          <w:bCs w:val="0"/>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二是由于实施单位为各乡镇，主管单位与各乡镇项目负责人配合程度不够，导致项目完成后，资料未及时归档、提交财政局国资委备案。</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（三）建议和改进措施</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both"/>
        <w:textAlignment w:val="auto"/>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一是加强退管工作队伍建设，强化效能管理，健全规章制度，打造过硬的工作队伍，积极参加培训，提升退管服务水平。同时自觉接受社会公众监督，吸纳各方意见建议，确保社会化管理工作平稳有序开展；加强沟通协调，协调配合企业、社区、人事部门做好退休人员档案资料完善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both"/>
        <w:textAlignment w:val="auto"/>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二是完善档案管理机制，与项目实施单位做好沟通协调工作，建立台账，督促实施单位按时完成资料归档、提交财政局国资委备案。</w:t>
      </w:r>
    </w:p>
    <w:p>
      <w:pPr>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br w:type="page"/>
      </w:r>
    </w:p>
    <w:sdt>
      <w:sdtPr>
        <w:rPr>
          <w:rFonts w:hint="eastAsia" w:ascii="方正小标宋_GBK" w:hAnsi="方正小标宋_GBK" w:eastAsia="方正小标宋_GBK" w:cs="方正小标宋_GBK"/>
          <w:b w:val="0"/>
          <w:bCs w:val="0"/>
          <w:kern w:val="0"/>
          <w:sz w:val="40"/>
          <w:szCs w:val="40"/>
          <w:lang w:val="en-US" w:eastAsia="zh-CN" w:bidi="ar"/>
        </w:rPr>
        <w:id w:val="147463382"/>
        <w:docPartObj>
          <w:docPartGallery w:val="Table of Contents"/>
          <w:docPartUnique/>
        </w:docPartObj>
      </w:sdtPr>
      <w:sdtEndPr>
        <w:rPr>
          <w:rFonts w:hint="eastAsia" w:ascii="Times New Roman" w:hAnsi="Times New Roman" w:eastAsia="宋体" w:cs="Times New Roman"/>
          <w:b/>
          <w:bCs/>
          <w:kern w:val="0"/>
          <w:sz w:val="20"/>
          <w:szCs w:val="20"/>
          <w:lang w:val="en-US" w:eastAsia="zh-CN" w:bidi="ar"/>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b w:val="0"/>
              <w:bCs w:val="0"/>
              <w:sz w:val="40"/>
              <w:szCs w:val="40"/>
            </w:rPr>
          </w:pPr>
          <w:bookmarkStart w:id="11" w:name="_Toc16070_WPSOffice_Type2"/>
          <w:r>
            <w:rPr>
              <w:rFonts w:hint="eastAsia" w:ascii="方正小标宋_GBK" w:hAnsi="方正小标宋_GBK" w:eastAsia="方正小标宋_GBK" w:cs="方正小标宋_GBK"/>
              <w:b w:val="0"/>
              <w:bCs w:val="0"/>
              <w:sz w:val="40"/>
              <w:szCs w:val="40"/>
            </w:rPr>
            <w:t>目录</w:t>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_Toc16070_WPSOffice_Level1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eae67477-e984-4aae-8cfc-d5279f226ebb}"/>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一、 基本情况</w:t>
              </w:r>
            </w:sdtContent>
          </w:sdt>
          <w:r>
            <w:rPr>
              <w:rFonts w:hint="eastAsia" w:ascii="方正仿宋_GBK" w:hAnsi="方正仿宋_GBK" w:eastAsia="方正仿宋_GBK" w:cs="方正仿宋_GBK"/>
              <w:b/>
              <w:bCs/>
              <w:sz w:val="30"/>
              <w:szCs w:val="30"/>
            </w:rPr>
            <w:tab/>
          </w:r>
          <w:bookmarkStart w:id="12" w:name="_Toc16070_WPSOffice_Level1Page"/>
          <w:r>
            <w:rPr>
              <w:rFonts w:hint="eastAsia" w:ascii="方正仿宋_GBK" w:hAnsi="方正仿宋_GBK" w:eastAsia="方正仿宋_GBK" w:cs="方正仿宋_GBK"/>
              <w:b/>
              <w:bCs/>
              <w:sz w:val="30"/>
              <w:szCs w:val="30"/>
            </w:rPr>
            <w:t>1</w:t>
          </w:r>
          <w:bookmarkEnd w:id="12"/>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_Toc16070_WPSOffice_Level2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95a93f5a-eb79-46a4-b784-ab5f6db06c66}"/>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（一）项目概况</w:t>
              </w:r>
            </w:sdtContent>
          </w:sdt>
          <w:r>
            <w:rPr>
              <w:rFonts w:hint="eastAsia" w:ascii="方正仿宋_GBK" w:hAnsi="方正仿宋_GBK" w:eastAsia="方正仿宋_GBK" w:cs="方正仿宋_GBK"/>
              <w:sz w:val="30"/>
              <w:szCs w:val="30"/>
            </w:rPr>
            <w:tab/>
          </w:r>
          <w:bookmarkStart w:id="13" w:name="_Toc16070_WPSOffice_Level2Page"/>
          <w:r>
            <w:rPr>
              <w:rFonts w:hint="eastAsia" w:ascii="方正仿宋_GBK" w:hAnsi="方正仿宋_GBK" w:eastAsia="方正仿宋_GBK" w:cs="方正仿宋_GBK"/>
              <w:sz w:val="30"/>
              <w:szCs w:val="30"/>
            </w:rPr>
            <w:t>1</w:t>
          </w:r>
          <w:bookmarkEnd w:id="13"/>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_Toc30673_WPSOffice_Level2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f088ae92-0b93-4c9b-90d4-7f988475c15b}"/>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（二）项目绩效目标</w:t>
              </w:r>
            </w:sdtContent>
          </w:sdt>
          <w:r>
            <w:rPr>
              <w:rFonts w:hint="eastAsia" w:ascii="方正仿宋_GBK" w:hAnsi="方正仿宋_GBK" w:eastAsia="方正仿宋_GBK" w:cs="方正仿宋_GBK"/>
              <w:sz w:val="30"/>
              <w:szCs w:val="30"/>
            </w:rPr>
            <w:tab/>
          </w:r>
          <w:bookmarkStart w:id="14" w:name="_Toc30673_WPSOffice_Level2Page"/>
          <w:r>
            <w:rPr>
              <w:rFonts w:hint="eastAsia" w:ascii="方正仿宋_GBK" w:hAnsi="方正仿宋_GBK" w:eastAsia="方正仿宋_GBK" w:cs="方正仿宋_GBK"/>
              <w:sz w:val="30"/>
              <w:szCs w:val="30"/>
            </w:rPr>
            <w:t>6</w:t>
          </w:r>
          <w:bookmarkEnd w:id="14"/>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_Toc30673_WPSOffice_Level1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eb97e737-793a-442a-9f7f-26943b08fb5e}"/>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二、 绩效评价工作开展情况</w:t>
              </w:r>
            </w:sdtContent>
          </w:sdt>
          <w:r>
            <w:rPr>
              <w:rFonts w:hint="eastAsia" w:ascii="方正仿宋_GBK" w:hAnsi="方正仿宋_GBK" w:eastAsia="方正仿宋_GBK" w:cs="方正仿宋_GBK"/>
              <w:b/>
              <w:bCs/>
              <w:sz w:val="30"/>
              <w:szCs w:val="30"/>
            </w:rPr>
            <w:tab/>
          </w:r>
          <w:bookmarkStart w:id="15" w:name="_Toc30673_WPSOffice_Level1Page"/>
          <w:r>
            <w:rPr>
              <w:rFonts w:hint="eastAsia" w:ascii="方正仿宋_GBK" w:hAnsi="方正仿宋_GBK" w:eastAsia="方正仿宋_GBK" w:cs="方正仿宋_GBK"/>
              <w:b/>
              <w:bCs/>
              <w:sz w:val="30"/>
              <w:szCs w:val="30"/>
            </w:rPr>
            <w:t>8</w:t>
          </w:r>
          <w:bookmarkEnd w:id="15"/>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_Toc14270_WPSOffice_Level2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7a708c39-d0e9-4408-ad46-707a2eaf804c}"/>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（一）绩效评价目的、对象和范围</w:t>
              </w:r>
            </w:sdtContent>
          </w:sdt>
          <w:r>
            <w:rPr>
              <w:rFonts w:hint="eastAsia" w:ascii="方正仿宋_GBK" w:hAnsi="方正仿宋_GBK" w:eastAsia="方正仿宋_GBK" w:cs="方正仿宋_GBK"/>
              <w:sz w:val="30"/>
              <w:szCs w:val="30"/>
            </w:rPr>
            <w:tab/>
          </w:r>
          <w:bookmarkStart w:id="16" w:name="_Toc14270_WPSOffice_Level2Page"/>
          <w:r>
            <w:rPr>
              <w:rFonts w:hint="eastAsia" w:ascii="方正仿宋_GBK" w:hAnsi="方正仿宋_GBK" w:eastAsia="方正仿宋_GBK" w:cs="方正仿宋_GBK"/>
              <w:sz w:val="30"/>
              <w:szCs w:val="30"/>
            </w:rPr>
            <w:t>8</w:t>
          </w:r>
          <w:bookmarkEnd w:id="16"/>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_Toc28350_WPSOffice_Level2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25d622b2-d8c6-4e45-be2f-2832c11e56ec}"/>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（二）绩效评价原则、评价指标体系、评价方法评价标准</w:t>
              </w:r>
            </w:sdtContent>
          </w:sdt>
          <w:r>
            <w:rPr>
              <w:rFonts w:hint="eastAsia" w:ascii="方正仿宋_GBK" w:hAnsi="方正仿宋_GBK" w:eastAsia="方正仿宋_GBK" w:cs="方正仿宋_GBK"/>
              <w:sz w:val="30"/>
              <w:szCs w:val="30"/>
            </w:rPr>
            <w:tab/>
          </w:r>
          <w:bookmarkStart w:id="17" w:name="_Toc28350_WPSOffice_Level2Page"/>
          <w:r>
            <w:rPr>
              <w:rFonts w:hint="eastAsia" w:ascii="方正仿宋_GBK" w:hAnsi="方正仿宋_GBK" w:eastAsia="方正仿宋_GBK" w:cs="方正仿宋_GBK"/>
              <w:sz w:val="30"/>
              <w:szCs w:val="30"/>
            </w:rPr>
            <w:t>9</w:t>
          </w:r>
          <w:bookmarkEnd w:id="17"/>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_Toc32150_WPSOffice_Level2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0b0dfa86-6503-457b-85fb-bec7693b7af4}"/>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（三）绩效评价工作过程</w:t>
              </w:r>
            </w:sdtContent>
          </w:sdt>
          <w:r>
            <w:rPr>
              <w:rFonts w:hint="eastAsia" w:ascii="方正仿宋_GBK" w:hAnsi="方正仿宋_GBK" w:eastAsia="方正仿宋_GBK" w:cs="方正仿宋_GBK"/>
              <w:sz w:val="30"/>
              <w:szCs w:val="30"/>
            </w:rPr>
            <w:tab/>
          </w:r>
          <w:bookmarkStart w:id="18" w:name="_Toc32150_WPSOffice_Level2Page"/>
          <w:r>
            <w:rPr>
              <w:rFonts w:hint="eastAsia" w:ascii="方正仿宋_GBK" w:hAnsi="方正仿宋_GBK" w:eastAsia="方正仿宋_GBK" w:cs="方正仿宋_GBK"/>
              <w:sz w:val="30"/>
              <w:szCs w:val="30"/>
            </w:rPr>
            <w:t>14</w:t>
          </w:r>
          <w:bookmarkEnd w:id="18"/>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_Toc14270_WPSOffice_Level1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dccf819d-4d71-478f-9ec6-a328e56466ee}"/>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三、综合评价情况及评价结论</w:t>
              </w:r>
            </w:sdtContent>
          </w:sdt>
          <w:r>
            <w:rPr>
              <w:rFonts w:hint="eastAsia" w:ascii="方正仿宋_GBK" w:hAnsi="方正仿宋_GBK" w:eastAsia="方正仿宋_GBK" w:cs="方正仿宋_GBK"/>
              <w:b/>
              <w:bCs/>
              <w:sz w:val="30"/>
              <w:szCs w:val="30"/>
            </w:rPr>
            <w:tab/>
          </w:r>
          <w:bookmarkStart w:id="19" w:name="_Toc14270_WPSOffice_Level1Page"/>
          <w:r>
            <w:rPr>
              <w:rFonts w:hint="eastAsia" w:ascii="方正仿宋_GBK" w:hAnsi="方正仿宋_GBK" w:eastAsia="方正仿宋_GBK" w:cs="方正仿宋_GBK"/>
              <w:b/>
              <w:bCs/>
              <w:sz w:val="30"/>
              <w:szCs w:val="30"/>
            </w:rPr>
            <w:t>17</w:t>
          </w:r>
          <w:bookmarkEnd w:id="19"/>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_Toc11511_WPSOffice_Level2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2524a66f-c3c9-4dea-bf83-5b1cd262dad1}"/>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（一）综合评价情况</w:t>
              </w:r>
            </w:sdtContent>
          </w:sdt>
          <w:r>
            <w:rPr>
              <w:rFonts w:hint="eastAsia" w:ascii="方正仿宋_GBK" w:hAnsi="方正仿宋_GBK" w:eastAsia="方正仿宋_GBK" w:cs="方正仿宋_GBK"/>
              <w:sz w:val="30"/>
              <w:szCs w:val="30"/>
            </w:rPr>
            <w:tab/>
          </w:r>
          <w:bookmarkStart w:id="20" w:name="_Toc11511_WPSOffice_Level2Page"/>
          <w:r>
            <w:rPr>
              <w:rFonts w:hint="eastAsia" w:ascii="方正仿宋_GBK" w:hAnsi="方正仿宋_GBK" w:eastAsia="方正仿宋_GBK" w:cs="方正仿宋_GBK"/>
              <w:sz w:val="30"/>
              <w:szCs w:val="30"/>
            </w:rPr>
            <w:t>17</w:t>
          </w:r>
          <w:bookmarkEnd w:id="20"/>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_Toc25798_WPSOffice_Level2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49611c27-93ba-4f15-924c-74906c35b384}"/>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（二）综合评价结论</w:t>
              </w:r>
            </w:sdtContent>
          </w:sdt>
          <w:r>
            <w:rPr>
              <w:rFonts w:hint="eastAsia" w:ascii="方正仿宋_GBK" w:hAnsi="方正仿宋_GBK" w:eastAsia="方正仿宋_GBK" w:cs="方正仿宋_GBK"/>
              <w:sz w:val="30"/>
              <w:szCs w:val="30"/>
            </w:rPr>
            <w:tab/>
          </w:r>
          <w:bookmarkStart w:id="21" w:name="_Toc25798_WPSOffice_Level2Page"/>
          <w:r>
            <w:rPr>
              <w:rFonts w:hint="eastAsia" w:ascii="方正仿宋_GBK" w:hAnsi="方正仿宋_GBK" w:eastAsia="方正仿宋_GBK" w:cs="方正仿宋_GBK"/>
              <w:sz w:val="30"/>
              <w:szCs w:val="30"/>
            </w:rPr>
            <w:t>17</w:t>
          </w:r>
          <w:bookmarkEnd w:id="21"/>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_Toc7801_WPSOffice_Level2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f8a7dc80-89cd-4e07-982e-67df40d12693}"/>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表3-1项目指标得分情况汇总表</w:t>
              </w:r>
            </w:sdtContent>
          </w:sdt>
          <w:r>
            <w:rPr>
              <w:rFonts w:hint="eastAsia" w:ascii="方正仿宋_GBK" w:hAnsi="方正仿宋_GBK" w:eastAsia="方正仿宋_GBK" w:cs="方正仿宋_GBK"/>
              <w:sz w:val="30"/>
              <w:szCs w:val="30"/>
            </w:rPr>
            <w:tab/>
          </w:r>
          <w:bookmarkStart w:id="22" w:name="_Toc7801_WPSOffice_Level2Page"/>
          <w:r>
            <w:rPr>
              <w:rFonts w:hint="eastAsia" w:ascii="方正仿宋_GBK" w:hAnsi="方正仿宋_GBK" w:eastAsia="方正仿宋_GBK" w:cs="方正仿宋_GBK"/>
              <w:sz w:val="30"/>
              <w:szCs w:val="30"/>
            </w:rPr>
            <w:t>18</w:t>
          </w:r>
          <w:bookmarkEnd w:id="22"/>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_Toc28350_WPSOffice_Level1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def5fc1f-9237-49b6-9a7d-4286f2c03b5d}"/>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四、绩效评价指标分析</w:t>
              </w:r>
            </w:sdtContent>
          </w:sdt>
          <w:r>
            <w:rPr>
              <w:rFonts w:hint="eastAsia" w:ascii="方正仿宋_GBK" w:hAnsi="方正仿宋_GBK" w:eastAsia="方正仿宋_GBK" w:cs="方正仿宋_GBK"/>
              <w:b/>
              <w:bCs/>
              <w:sz w:val="30"/>
              <w:szCs w:val="30"/>
            </w:rPr>
            <w:tab/>
          </w:r>
          <w:bookmarkStart w:id="23" w:name="_Toc28350_WPSOffice_Level1Page"/>
          <w:r>
            <w:rPr>
              <w:rFonts w:hint="eastAsia" w:ascii="方正仿宋_GBK" w:hAnsi="方正仿宋_GBK" w:eastAsia="方正仿宋_GBK" w:cs="方正仿宋_GBK"/>
              <w:b/>
              <w:bCs/>
              <w:sz w:val="30"/>
              <w:szCs w:val="30"/>
            </w:rPr>
            <w:t>18</w:t>
          </w:r>
          <w:bookmarkEnd w:id="23"/>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_Toc29998_WPSOffice_Level2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eba05936-d550-4f3f-82f7-03e7d251f74c}"/>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（一）项目决策情况</w:t>
              </w:r>
            </w:sdtContent>
          </w:sdt>
          <w:r>
            <w:rPr>
              <w:rFonts w:hint="eastAsia" w:ascii="方正仿宋_GBK" w:hAnsi="方正仿宋_GBK" w:eastAsia="方正仿宋_GBK" w:cs="方正仿宋_GBK"/>
              <w:sz w:val="30"/>
              <w:szCs w:val="30"/>
            </w:rPr>
            <w:tab/>
          </w:r>
          <w:bookmarkStart w:id="24" w:name="_Toc29998_WPSOffice_Level2Page"/>
          <w:r>
            <w:rPr>
              <w:rFonts w:hint="eastAsia" w:ascii="方正仿宋_GBK" w:hAnsi="方正仿宋_GBK" w:eastAsia="方正仿宋_GBK" w:cs="方正仿宋_GBK"/>
              <w:sz w:val="30"/>
              <w:szCs w:val="30"/>
            </w:rPr>
            <w:t>18</w:t>
          </w:r>
          <w:bookmarkEnd w:id="24"/>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_Toc12303_WPSOffice_Level2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0d5d5c88-6ffb-4232-96b0-618666a338d3}"/>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（二）项目过程情况</w:t>
              </w:r>
            </w:sdtContent>
          </w:sdt>
          <w:r>
            <w:rPr>
              <w:rFonts w:hint="eastAsia" w:ascii="方正仿宋_GBK" w:hAnsi="方正仿宋_GBK" w:eastAsia="方正仿宋_GBK" w:cs="方正仿宋_GBK"/>
              <w:sz w:val="30"/>
              <w:szCs w:val="30"/>
            </w:rPr>
            <w:tab/>
          </w:r>
          <w:bookmarkStart w:id="25" w:name="_Toc12303_WPSOffice_Level2Page"/>
          <w:r>
            <w:rPr>
              <w:rFonts w:hint="eastAsia" w:ascii="方正仿宋_GBK" w:hAnsi="方正仿宋_GBK" w:eastAsia="方正仿宋_GBK" w:cs="方正仿宋_GBK"/>
              <w:sz w:val="30"/>
              <w:szCs w:val="30"/>
            </w:rPr>
            <w:t>24</w:t>
          </w:r>
          <w:bookmarkEnd w:id="25"/>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_Toc8986_WPSOffice_Level2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244c48d7-26b6-4bf3-90bf-d4f27198f763}"/>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（三）项目产出情况</w:t>
              </w:r>
            </w:sdtContent>
          </w:sdt>
          <w:r>
            <w:rPr>
              <w:rFonts w:hint="eastAsia" w:ascii="方正仿宋_GBK" w:hAnsi="方正仿宋_GBK" w:eastAsia="方正仿宋_GBK" w:cs="方正仿宋_GBK"/>
              <w:sz w:val="30"/>
              <w:szCs w:val="30"/>
            </w:rPr>
            <w:tab/>
          </w:r>
          <w:bookmarkStart w:id="26" w:name="_Toc8986_WPSOffice_Level2Page"/>
          <w:r>
            <w:rPr>
              <w:rFonts w:hint="eastAsia" w:ascii="方正仿宋_GBK" w:hAnsi="方正仿宋_GBK" w:eastAsia="方正仿宋_GBK" w:cs="方正仿宋_GBK"/>
              <w:sz w:val="30"/>
              <w:szCs w:val="30"/>
            </w:rPr>
            <w:t>27</w:t>
          </w:r>
          <w:bookmarkEnd w:id="26"/>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_Toc31965_WPSOffice_Level2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6e9d4a84-8aa0-44fe-b991-6f8cad1aa8f5}"/>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（四）项目效益情况</w:t>
              </w:r>
            </w:sdtContent>
          </w:sdt>
          <w:r>
            <w:rPr>
              <w:rFonts w:hint="eastAsia" w:ascii="方正仿宋_GBK" w:hAnsi="方正仿宋_GBK" w:eastAsia="方正仿宋_GBK" w:cs="方正仿宋_GBK"/>
              <w:sz w:val="30"/>
              <w:szCs w:val="30"/>
            </w:rPr>
            <w:tab/>
          </w:r>
          <w:bookmarkStart w:id="27" w:name="_Toc31965_WPSOffice_Level2Page"/>
          <w:r>
            <w:rPr>
              <w:rFonts w:hint="eastAsia" w:ascii="方正仿宋_GBK" w:hAnsi="方正仿宋_GBK" w:eastAsia="方正仿宋_GBK" w:cs="方正仿宋_GBK"/>
              <w:sz w:val="30"/>
              <w:szCs w:val="30"/>
            </w:rPr>
            <w:t>31</w:t>
          </w:r>
          <w:bookmarkEnd w:id="27"/>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_Toc32150_WPSOffice_Level1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f33e55d2-7981-485f-b4a8-8aea66f359d5}"/>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五、 主要经验及做法、存在的问题及原因分析</w:t>
              </w:r>
            </w:sdtContent>
          </w:sdt>
          <w:r>
            <w:rPr>
              <w:rFonts w:hint="eastAsia" w:ascii="方正仿宋_GBK" w:hAnsi="方正仿宋_GBK" w:eastAsia="方正仿宋_GBK" w:cs="方正仿宋_GBK"/>
              <w:b/>
              <w:bCs/>
              <w:sz w:val="30"/>
              <w:szCs w:val="30"/>
            </w:rPr>
            <w:tab/>
          </w:r>
          <w:bookmarkStart w:id="28" w:name="_Toc32150_WPSOffice_Level1Page"/>
          <w:r>
            <w:rPr>
              <w:rFonts w:hint="eastAsia" w:ascii="方正仿宋_GBK" w:hAnsi="方正仿宋_GBK" w:eastAsia="方正仿宋_GBK" w:cs="方正仿宋_GBK"/>
              <w:b/>
              <w:bCs/>
              <w:sz w:val="30"/>
              <w:szCs w:val="30"/>
            </w:rPr>
            <w:t>34</w:t>
          </w:r>
          <w:bookmarkEnd w:id="28"/>
          <w:r>
            <w:rPr>
              <w:rFonts w:hint="eastAsia" w:ascii="方正仿宋_GBK" w:hAnsi="方正仿宋_GBK" w:eastAsia="方正仿宋_GBK" w:cs="方正仿宋_GBK"/>
              <w:b/>
              <w:bCs/>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_Toc15641_WPSOffice_Level2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86f99c4b-d48f-4992-820f-a70a633d4889}"/>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（一）主要经验及做法</w:t>
              </w:r>
            </w:sdtContent>
          </w:sdt>
          <w:r>
            <w:rPr>
              <w:rFonts w:hint="eastAsia" w:ascii="方正仿宋_GBK" w:hAnsi="方正仿宋_GBK" w:eastAsia="方正仿宋_GBK" w:cs="方正仿宋_GBK"/>
              <w:sz w:val="30"/>
              <w:szCs w:val="30"/>
            </w:rPr>
            <w:tab/>
          </w:r>
          <w:bookmarkStart w:id="29" w:name="_Toc15641_WPSOffice_Level2Page"/>
          <w:r>
            <w:rPr>
              <w:rFonts w:hint="eastAsia" w:ascii="方正仿宋_GBK" w:hAnsi="方正仿宋_GBK" w:eastAsia="方正仿宋_GBK" w:cs="方正仿宋_GBK"/>
              <w:sz w:val="30"/>
              <w:szCs w:val="30"/>
            </w:rPr>
            <w:t>34</w:t>
          </w:r>
          <w:bookmarkEnd w:id="29"/>
          <w:r>
            <w:rPr>
              <w:rFonts w:hint="eastAsia" w:ascii="方正仿宋_GBK" w:hAnsi="方正仿宋_GBK" w:eastAsia="方正仿宋_GBK" w:cs="方正仿宋_GBK"/>
              <w:sz w:val="30"/>
              <w:szCs w:val="30"/>
            </w:rPr>
            <w:fldChar w:fldCharType="end"/>
          </w:r>
        </w:p>
        <w:p>
          <w:pPr>
            <w:pStyle w:val="28"/>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fldChar w:fldCharType="begin"/>
          </w:r>
          <w:r>
            <w:rPr>
              <w:rFonts w:hint="eastAsia" w:ascii="方正仿宋_GBK" w:hAnsi="方正仿宋_GBK" w:eastAsia="方正仿宋_GBK" w:cs="方正仿宋_GBK"/>
              <w:sz w:val="30"/>
              <w:szCs w:val="30"/>
            </w:rPr>
            <w:instrText xml:space="preserve"> HYPERLINK \l _Toc8520_WPSOffice_Level2 </w:instrText>
          </w:r>
          <w:r>
            <w:rPr>
              <w:rFonts w:hint="eastAsia" w:ascii="方正仿宋_GBK" w:hAnsi="方正仿宋_GBK" w:eastAsia="方正仿宋_GBK" w:cs="方正仿宋_GBK"/>
              <w:sz w:val="30"/>
              <w:szCs w:val="30"/>
            </w:rPr>
            <w:fldChar w:fldCharType="separate"/>
          </w:r>
          <w:sdt>
            <w:sdtPr>
              <w:rPr>
                <w:rFonts w:hint="eastAsia" w:ascii="方正仿宋_GBK" w:hAnsi="方正仿宋_GBK" w:eastAsia="方正仿宋_GBK" w:cs="方正仿宋_GBK"/>
                <w:kern w:val="0"/>
                <w:sz w:val="30"/>
                <w:szCs w:val="30"/>
                <w:lang w:val="en-US" w:eastAsia="zh-CN" w:bidi="ar"/>
              </w:rPr>
              <w:id w:val="147463382"/>
              <w:placeholder>
                <w:docPart w:val="{b4970ab8-9504-49f3-868e-2cf566d2cc20}"/>
              </w:placeholder>
            </w:sdtPr>
            <w:sdtEndPr>
              <w:rPr>
                <w:rFonts w:hint="eastAsia" w:ascii="方正仿宋_GBK" w:hAnsi="方正仿宋_GBK" w:eastAsia="方正仿宋_GBK" w:cs="方正仿宋_GBK"/>
                <w:kern w:val="0"/>
                <w:sz w:val="30"/>
                <w:szCs w:val="30"/>
                <w:lang w:val="en-US" w:eastAsia="zh-CN" w:bidi="ar"/>
              </w:rPr>
            </w:sdtEndPr>
            <w:sdtContent>
              <w:r>
                <w:rPr>
                  <w:rFonts w:hint="eastAsia" w:ascii="方正仿宋_GBK" w:hAnsi="方正仿宋_GBK" w:eastAsia="方正仿宋_GBK" w:cs="方正仿宋_GBK"/>
                  <w:sz w:val="30"/>
                  <w:szCs w:val="30"/>
                </w:rPr>
                <w:t>（二）存在问题与不足</w:t>
              </w:r>
            </w:sdtContent>
          </w:sdt>
          <w:r>
            <w:rPr>
              <w:rFonts w:hint="eastAsia" w:ascii="方正仿宋_GBK" w:hAnsi="方正仿宋_GBK" w:eastAsia="方正仿宋_GBK" w:cs="方正仿宋_GBK"/>
              <w:sz w:val="30"/>
              <w:szCs w:val="30"/>
            </w:rPr>
            <w:tab/>
          </w:r>
          <w:bookmarkStart w:id="30" w:name="_Toc8520_WPSOffice_Level2Page"/>
          <w:r>
            <w:rPr>
              <w:rFonts w:hint="eastAsia" w:ascii="方正仿宋_GBK" w:hAnsi="方正仿宋_GBK" w:eastAsia="方正仿宋_GBK" w:cs="方正仿宋_GBK"/>
              <w:sz w:val="30"/>
              <w:szCs w:val="30"/>
            </w:rPr>
            <w:t>34</w:t>
          </w:r>
          <w:bookmarkEnd w:id="30"/>
          <w:r>
            <w:rPr>
              <w:rFonts w:hint="eastAsia" w:ascii="方正仿宋_GBK" w:hAnsi="方正仿宋_GBK" w:eastAsia="方正仿宋_GBK" w:cs="方正仿宋_GBK"/>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_Toc11511_WPSOffice_Level1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645686a6-a1c3-413c-9468-9f17be91e372}"/>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六、相关建议</w:t>
              </w:r>
            </w:sdtContent>
          </w:sdt>
          <w:r>
            <w:rPr>
              <w:rFonts w:hint="eastAsia" w:ascii="方正仿宋_GBK" w:hAnsi="方正仿宋_GBK" w:eastAsia="方正仿宋_GBK" w:cs="方正仿宋_GBK"/>
              <w:b/>
              <w:bCs/>
              <w:sz w:val="30"/>
              <w:szCs w:val="30"/>
            </w:rPr>
            <w:tab/>
          </w:r>
          <w:bookmarkStart w:id="31" w:name="_Toc11511_WPSOffice_Level1Page"/>
          <w:r>
            <w:rPr>
              <w:rFonts w:hint="eastAsia" w:ascii="方正仿宋_GBK" w:hAnsi="方正仿宋_GBK" w:eastAsia="方正仿宋_GBK" w:cs="方正仿宋_GBK"/>
              <w:b/>
              <w:bCs/>
              <w:sz w:val="30"/>
              <w:szCs w:val="30"/>
            </w:rPr>
            <w:t>34</w:t>
          </w:r>
          <w:bookmarkEnd w:id="31"/>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_Toc25798_WPSOffice_Level1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b9186e7c-0663-4ec8-8f54-b31706a53ac6}"/>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七、其他需要说明的问题</w:t>
              </w:r>
            </w:sdtContent>
          </w:sdt>
          <w:r>
            <w:rPr>
              <w:rFonts w:hint="eastAsia" w:ascii="方正仿宋_GBK" w:hAnsi="方正仿宋_GBK" w:eastAsia="方正仿宋_GBK" w:cs="方正仿宋_GBK"/>
              <w:b/>
              <w:bCs/>
              <w:sz w:val="30"/>
              <w:szCs w:val="30"/>
            </w:rPr>
            <w:tab/>
          </w:r>
          <w:bookmarkStart w:id="32" w:name="_Toc25798_WPSOffice_Level1Page"/>
          <w:r>
            <w:rPr>
              <w:rFonts w:hint="eastAsia" w:ascii="方正仿宋_GBK" w:hAnsi="方正仿宋_GBK" w:eastAsia="方正仿宋_GBK" w:cs="方正仿宋_GBK"/>
              <w:b/>
              <w:bCs/>
              <w:sz w:val="30"/>
              <w:szCs w:val="30"/>
            </w:rPr>
            <w:t>35</w:t>
          </w:r>
          <w:bookmarkEnd w:id="32"/>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_Toc7801_WPSOffice_Level1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4c1aa5f0-30b2-42e4-b227-9a15b6aa87a4}"/>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附件1部门单位项目支出绩效自评表</w:t>
              </w:r>
            </w:sdtContent>
          </w:sdt>
          <w:r>
            <w:rPr>
              <w:rFonts w:hint="eastAsia" w:ascii="方正仿宋_GBK" w:hAnsi="方正仿宋_GBK" w:eastAsia="方正仿宋_GBK" w:cs="方正仿宋_GBK"/>
              <w:b/>
              <w:bCs/>
              <w:sz w:val="30"/>
              <w:szCs w:val="30"/>
            </w:rPr>
            <w:tab/>
          </w:r>
          <w:bookmarkStart w:id="33" w:name="_Toc7801_WPSOffice_Level1Page"/>
          <w:r>
            <w:rPr>
              <w:rFonts w:hint="eastAsia" w:ascii="方正仿宋_GBK" w:hAnsi="方正仿宋_GBK" w:eastAsia="方正仿宋_GBK" w:cs="方正仿宋_GBK"/>
              <w:b/>
              <w:bCs/>
              <w:sz w:val="30"/>
              <w:szCs w:val="30"/>
            </w:rPr>
            <w:t>36</w:t>
          </w:r>
          <w:bookmarkEnd w:id="33"/>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_Toc29998_WPSOffice_Level1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f428c0d6-eb1f-409d-8641-f580737d1a60}"/>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附件2项目支出绩效评价指标体系</w:t>
              </w:r>
            </w:sdtContent>
          </w:sdt>
          <w:r>
            <w:rPr>
              <w:rFonts w:hint="eastAsia" w:ascii="方正仿宋_GBK" w:hAnsi="方正仿宋_GBK" w:eastAsia="方正仿宋_GBK" w:cs="方正仿宋_GBK"/>
              <w:b/>
              <w:bCs/>
              <w:sz w:val="30"/>
              <w:szCs w:val="30"/>
            </w:rPr>
            <w:tab/>
          </w:r>
          <w:bookmarkStart w:id="34" w:name="_Toc29998_WPSOffice_Level1Page"/>
          <w:r>
            <w:rPr>
              <w:rFonts w:hint="eastAsia" w:ascii="方正仿宋_GBK" w:hAnsi="方正仿宋_GBK" w:eastAsia="方正仿宋_GBK" w:cs="方正仿宋_GBK"/>
              <w:b/>
              <w:bCs/>
              <w:sz w:val="30"/>
              <w:szCs w:val="30"/>
            </w:rPr>
            <w:t>39</w:t>
          </w:r>
          <w:bookmarkEnd w:id="34"/>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_Toc12303_WPSOffice_Level1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c147d072-f2f0-4bb4-8e13-0c7f45ed143f}"/>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附件3访谈报告</w:t>
              </w:r>
            </w:sdtContent>
          </w:sdt>
          <w:r>
            <w:rPr>
              <w:rFonts w:hint="eastAsia" w:ascii="方正仿宋_GBK" w:hAnsi="方正仿宋_GBK" w:eastAsia="方正仿宋_GBK" w:cs="方正仿宋_GBK"/>
              <w:b/>
              <w:bCs/>
              <w:sz w:val="30"/>
              <w:szCs w:val="30"/>
            </w:rPr>
            <w:tab/>
          </w:r>
          <w:bookmarkStart w:id="35" w:name="_Toc12303_WPSOffice_Level1Page"/>
          <w:r>
            <w:rPr>
              <w:rFonts w:hint="eastAsia" w:ascii="方正仿宋_GBK" w:hAnsi="方正仿宋_GBK" w:eastAsia="方正仿宋_GBK" w:cs="方正仿宋_GBK"/>
              <w:b/>
              <w:bCs/>
              <w:sz w:val="30"/>
              <w:szCs w:val="30"/>
            </w:rPr>
            <w:t>47</w:t>
          </w:r>
          <w:bookmarkEnd w:id="35"/>
          <w:r>
            <w:rPr>
              <w:rFonts w:hint="eastAsia" w:ascii="方正仿宋_GBK" w:hAnsi="方正仿宋_GBK" w:eastAsia="方正仿宋_GBK" w:cs="方正仿宋_GBK"/>
              <w:b/>
              <w:bCs/>
              <w:sz w:val="30"/>
              <w:szCs w:val="30"/>
            </w:rPr>
            <w:fldChar w:fldCharType="end"/>
          </w:r>
        </w:p>
        <w:p>
          <w:pPr>
            <w:pStyle w:val="27"/>
            <w:tabs>
              <w:tab w:val="right" w:leader="dot" w:pos="8844"/>
            </w:tabs>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_Toc8986_WPSOffice_Level1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a9c65845-df2a-49c4-8e3c-0da3b2fead4b}"/>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附件4 满意度调查</w:t>
              </w:r>
            </w:sdtContent>
          </w:sdt>
          <w:r>
            <w:rPr>
              <w:rFonts w:hint="eastAsia" w:ascii="方正仿宋_GBK" w:hAnsi="方正仿宋_GBK" w:eastAsia="方正仿宋_GBK" w:cs="方正仿宋_GBK"/>
              <w:b/>
              <w:bCs/>
              <w:sz w:val="30"/>
              <w:szCs w:val="30"/>
            </w:rPr>
            <w:tab/>
          </w:r>
          <w:bookmarkStart w:id="36" w:name="_Toc8986_WPSOffice_Level1Page"/>
          <w:r>
            <w:rPr>
              <w:rFonts w:hint="eastAsia" w:ascii="方正仿宋_GBK" w:hAnsi="方正仿宋_GBK" w:eastAsia="方正仿宋_GBK" w:cs="方正仿宋_GBK"/>
              <w:b/>
              <w:bCs/>
              <w:sz w:val="30"/>
              <w:szCs w:val="30"/>
            </w:rPr>
            <w:t>50</w:t>
          </w:r>
          <w:bookmarkEnd w:id="36"/>
          <w:r>
            <w:rPr>
              <w:rFonts w:hint="eastAsia" w:ascii="方正仿宋_GBK" w:hAnsi="方正仿宋_GBK" w:eastAsia="方正仿宋_GBK" w:cs="方正仿宋_GBK"/>
              <w:b/>
              <w:bCs/>
              <w:sz w:val="30"/>
              <w:szCs w:val="30"/>
            </w:rPr>
            <w:fldChar w:fldCharType="end"/>
          </w:r>
        </w:p>
        <w:p>
          <w:pPr>
            <w:pStyle w:val="27"/>
            <w:tabs>
              <w:tab w:val="right" w:leader="dot" w:pos="8844"/>
            </w:tabs>
          </w:pPr>
          <w:r>
            <w:rPr>
              <w:rFonts w:hint="eastAsia" w:ascii="方正仿宋_GBK" w:hAnsi="方正仿宋_GBK" w:eastAsia="方正仿宋_GBK" w:cs="方正仿宋_GBK"/>
              <w:b/>
              <w:bCs/>
              <w:sz w:val="30"/>
              <w:szCs w:val="30"/>
            </w:rPr>
            <w:fldChar w:fldCharType="begin"/>
          </w:r>
          <w:r>
            <w:rPr>
              <w:rFonts w:hint="eastAsia" w:ascii="方正仿宋_GBK" w:hAnsi="方正仿宋_GBK" w:eastAsia="方正仿宋_GBK" w:cs="方正仿宋_GBK"/>
              <w:sz w:val="30"/>
              <w:szCs w:val="30"/>
            </w:rPr>
            <w:instrText xml:space="preserve"> HYPERLINK \l _Toc31965_WPSOffice_Level1 </w:instrText>
          </w:r>
          <w:r>
            <w:rPr>
              <w:rFonts w:hint="eastAsia" w:ascii="方正仿宋_GBK" w:hAnsi="方正仿宋_GBK" w:eastAsia="方正仿宋_GBK" w:cs="方正仿宋_GBK"/>
              <w:b/>
              <w:bCs/>
              <w:sz w:val="30"/>
              <w:szCs w:val="30"/>
            </w:rPr>
            <w:fldChar w:fldCharType="separate"/>
          </w:r>
          <w:sdt>
            <w:sdtPr>
              <w:rPr>
                <w:rFonts w:hint="eastAsia" w:ascii="方正仿宋_GBK" w:hAnsi="方正仿宋_GBK" w:eastAsia="方正仿宋_GBK" w:cs="方正仿宋_GBK"/>
                <w:b/>
                <w:bCs/>
                <w:kern w:val="0"/>
                <w:sz w:val="30"/>
                <w:szCs w:val="30"/>
                <w:lang w:val="en-US" w:eastAsia="zh-CN" w:bidi="ar"/>
              </w:rPr>
              <w:id w:val="147463382"/>
              <w:placeholder>
                <w:docPart w:val="{7612ffff-6a6d-43bf-be0e-d4ffde62b73a}"/>
              </w:placeholder>
            </w:sdtPr>
            <w:sdtEndPr>
              <w:rPr>
                <w:rFonts w:hint="eastAsia" w:ascii="方正仿宋_GBK" w:hAnsi="方正仿宋_GBK" w:eastAsia="方正仿宋_GBK" w:cs="方正仿宋_GBK"/>
                <w:b/>
                <w:bCs/>
                <w:kern w:val="0"/>
                <w:sz w:val="30"/>
                <w:szCs w:val="30"/>
                <w:lang w:val="en-US" w:eastAsia="zh-CN" w:bidi="ar"/>
              </w:rPr>
            </w:sdtEndPr>
            <w:sdtContent>
              <w:r>
                <w:rPr>
                  <w:rFonts w:hint="eastAsia" w:ascii="方正仿宋_GBK" w:hAnsi="方正仿宋_GBK" w:eastAsia="方正仿宋_GBK" w:cs="方正仿宋_GBK"/>
                  <w:b/>
                  <w:bCs/>
                  <w:sz w:val="30"/>
                  <w:szCs w:val="30"/>
                </w:rPr>
                <w:t>附件5 现场照片</w:t>
              </w:r>
            </w:sdtContent>
          </w:sdt>
          <w:r>
            <w:rPr>
              <w:rFonts w:hint="eastAsia" w:ascii="方正仿宋_GBK" w:hAnsi="方正仿宋_GBK" w:eastAsia="方正仿宋_GBK" w:cs="方正仿宋_GBK"/>
              <w:b/>
              <w:bCs/>
              <w:sz w:val="30"/>
              <w:szCs w:val="30"/>
            </w:rPr>
            <w:tab/>
          </w:r>
          <w:bookmarkStart w:id="37" w:name="_Toc31965_WPSOffice_Level1Page"/>
          <w:r>
            <w:rPr>
              <w:rFonts w:hint="eastAsia" w:ascii="方正仿宋_GBK" w:hAnsi="方正仿宋_GBK" w:eastAsia="方正仿宋_GBK" w:cs="方正仿宋_GBK"/>
              <w:b/>
              <w:bCs/>
              <w:sz w:val="30"/>
              <w:szCs w:val="30"/>
            </w:rPr>
            <w:t>52</w:t>
          </w:r>
          <w:bookmarkEnd w:id="37"/>
          <w:r>
            <w:rPr>
              <w:rFonts w:hint="eastAsia" w:ascii="方正仿宋_GBK" w:hAnsi="方正仿宋_GBK" w:eastAsia="方正仿宋_GBK" w:cs="方正仿宋_GBK"/>
              <w:b/>
              <w:bCs/>
              <w:sz w:val="30"/>
              <w:szCs w:val="30"/>
            </w:rPr>
            <w:fldChar w:fldCharType="end"/>
          </w:r>
          <w:bookmarkEnd w:id="11"/>
        </w:p>
      </w:sdtContent>
    </w:sdt>
    <w:p>
      <w:pPr>
        <w:keepNext w:val="0"/>
        <w:keepLines w:val="0"/>
        <w:pageBreakBefore w:val="0"/>
        <w:kinsoku/>
        <w:wordWrap/>
        <w:topLinePunct w:val="0"/>
        <w:bidi w:val="0"/>
        <w:snapToGrid/>
        <w:spacing w:before="0" w:after="0" w:line="570" w:lineRule="exact"/>
        <w:ind w:right="0" w:rightChars="0"/>
        <w:jc w:val="both"/>
        <w:rPr>
          <w:rFonts w:hint="eastAsia" w:ascii="方正仿宋_GBK" w:hAnsi="方正仿宋_GBK" w:eastAsia="方正仿宋_GBK" w:cs="方正仿宋_GBK"/>
          <w:b/>
          <w:bCs/>
          <w:color w:val="auto"/>
          <w:sz w:val="30"/>
          <w:szCs w:val="30"/>
          <w:highlight w:val="none"/>
          <w:lang w:val="en-US" w:eastAsia="zh-CN"/>
        </w:rPr>
        <w:sectPr>
          <w:pgSz w:w="11906" w:h="16838"/>
          <w:pgMar w:top="1984" w:right="1531" w:bottom="1701" w:left="1531" w:header="851" w:footer="992" w:gutter="0"/>
          <w:pgNumType w:fmt="numberInDash"/>
          <w:cols w:space="425" w:num="1"/>
          <w:docGrid w:type="lines" w:linePitch="312" w:charSpace="0"/>
        </w:sectPr>
      </w:pPr>
    </w:p>
    <w:p>
      <w:pPr>
        <w:keepNext w:val="0"/>
        <w:keepLines w:val="0"/>
        <w:pageBreakBefore w:val="0"/>
        <w:kinsoku/>
        <w:wordWrap/>
        <w:topLinePunct w:val="0"/>
        <w:bidi w:val="0"/>
        <w:snapToGrid/>
        <w:spacing w:before="0" w:after="0" w:line="570" w:lineRule="exact"/>
        <w:ind w:right="0" w:rightChars="0"/>
        <w:jc w:val="center"/>
        <w:rPr>
          <w:rFonts w:hint="eastAsia" w:ascii="方正小标宋_GBK" w:hAnsi="方正小标宋_GBK" w:eastAsia="方正小标宋_GBK" w:cs="方正小标宋_GBK"/>
          <w:b w:val="0"/>
          <w:bCs w:val="0"/>
          <w:color w:val="auto"/>
          <w:sz w:val="44"/>
          <w:szCs w:val="44"/>
          <w:highlight w:val="none"/>
          <w:lang w:val="en-US" w:eastAsia="zh-CN"/>
        </w:rPr>
      </w:pPr>
      <w:bookmarkStart w:id="38" w:name="_Toc5127_WPSOffice_Level1"/>
      <w:bookmarkStart w:id="39" w:name="_Toc4547_WPSOffice_Level1"/>
      <w:r>
        <w:rPr>
          <w:rFonts w:hint="eastAsia" w:ascii="方正小标宋_GBK" w:hAnsi="方正小标宋_GBK" w:eastAsia="方正小标宋_GBK" w:cs="方正小标宋_GBK"/>
          <w:b w:val="0"/>
          <w:bCs w:val="0"/>
          <w:color w:val="auto"/>
          <w:sz w:val="44"/>
          <w:szCs w:val="44"/>
          <w:highlight w:val="none"/>
          <w:lang w:val="en-US" w:eastAsia="zh-CN"/>
        </w:rPr>
        <w:t>伽师县2022年国有企业退休人员社会化服务项目预算绩效评价报告</w:t>
      </w:r>
      <w:bookmarkEnd w:id="38"/>
      <w:bookmarkEnd w:id="39"/>
    </w:p>
    <w:p>
      <w:pPr>
        <w:pStyle w:val="18"/>
        <w:keepNext w:val="0"/>
        <w:keepLines w:val="0"/>
        <w:pageBreakBefore w:val="0"/>
        <w:widowControl/>
        <w:kinsoku/>
        <w:wordWrap/>
        <w:topLinePunct w:val="0"/>
        <w:bidi w:val="0"/>
        <w:snapToGrid/>
        <w:spacing w:line="570" w:lineRule="exact"/>
        <w:ind w:firstLine="664" w:firstLineChars="200"/>
        <w:jc w:val="both"/>
        <w:rPr>
          <w:rFonts w:hint="default" w:ascii="Times New Roman" w:hAnsi="Times New Roman" w:cs="Times New Roman"/>
          <w:color w:val="auto"/>
          <w:highlight w:val="none"/>
        </w:rPr>
      </w:pPr>
    </w:p>
    <w:p>
      <w:pPr>
        <w:pStyle w:val="18"/>
        <w:keepNext w:val="0"/>
        <w:keepLines w:val="0"/>
        <w:pageBreakBefore w:val="0"/>
        <w:widowControl/>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受</w:t>
      </w:r>
      <w:r>
        <w:rPr>
          <w:rFonts w:hint="eastAsia" w:ascii="方正仿宋_GBK" w:hAnsi="方正仿宋_GBK" w:eastAsia="方正仿宋_GBK" w:cs="方正仿宋_GBK"/>
          <w:color w:val="auto"/>
          <w:sz w:val="32"/>
          <w:szCs w:val="32"/>
          <w:highlight w:val="none"/>
          <w:lang w:eastAsia="zh-CN"/>
        </w:rPr>
        <w:t>喀什地区伽师县财政局</w:t>
      </w:r>
      <w:r>
        <w:rPr>
          <w:rFonts w:hint="eastAsia" w:ascii="方正仿宋_GBK" w:hAnsi="方正仿宋_GBK" w:eastAsia="方正仿宋_GBK" w:cs="方正仿宋_GBK"/>
          <w:color w:val="auto"/>
          <w:sz w:val="32"/>
          <w:szCs w:val="32"/>
          <w:highlight w:val="none"/>
        </w:rPr>
        <w:t>委托，</w:t>
      </w:r>
      <w:r>
        <w:rPr>
          <w:rFonts w:hint="eastAsia" w:ascii="方正仿宋_GBK" w:hAnsi="方正仿宋_GBK" w:eastAsia="方正仿宋_GBK" w:cs="方正仿宋_GBK"/>
          <w:color w:val="auto"/>
          <w:sz w:val="32"/>
          <w:szCs w:val="32"/>
          <w:highlight w:val="none"/>
          <w:lang w:val="en-US" w:eastAsia="zh-CN"/>
        </w:rPr>
        <w:t>新疆永信中正项目管理咨询有限公司于2023年4月6日至2023年6月10日对伽师县财政局负责管理</w:t>
      </w:r>
      <w:r>
        <w:rPr>
          <w:rFonts w:hint="eastAsia" w:ascii="方正仿宋_GBK" w:hAnsi="方正仿宋_GBK" w:eastAsia="方正仿宋_GBK" w:cs="方正仿宋_GBK"/>
          <w:color w:val="auto"/>
          <w:sz w:val="32"/>
          <w:szCs w:val="32"/>
          <w:highlight w:val="none"/>
          <w:lang w:val="en-US" w:eastAsia="zh-Hans"/>
        </w:rPr>
        <w:t>实施</w:t>
      </w:r>
      <w:r>
        <w:rPr>
          <w:rFonts w:hint="eastAsia" w:ascii="方正仿宋_GBK" w:hAnsi="方正仿宋_GBK" w:eastAsia="方正仿宋_GBK" w:cs="方正仿宋_GBK"/>
          <w:color w:val="auto"/>
          <w:sz w:val="32"/>
          <w:szCs w:val="32"/>
          <w:highlight w:val="none"/>
          <w:lang w:val="en-US" w:eastAsia="zh-CN"/>
        </w:rPr>
        <w:t>的伽师县2022年国有企业退休人员社会化服务项目开展了绩效评价，评价情况如下：</w:t>
      </w:r>
    </w:p>
    <w:p>
      <w:pPr>
        <w:pStyle w:val="18"/>
        <w:keepNext w:val="0"/>
        <w:keepLines w:val="0"/>
        <w:pageBreakBefore w:val="0"/>
        <w:widowControl/>
        <w:numPr>
          <w:ilvl w:val="0"/>
          <w:numId w:val="2"/>
        </w:numPr>
        <w:kinsoku/>
        <w:wordWrap/>
        <w:overflowPunct/>
        <w:topLinePunct w:val="0"/>
        <w:autoSpaceDE/>
        <w:autoSpaceDN/>
        <w:bidi w:val="0"/>
        <w:adjustRightInd/>
        <w:snapToGrid/>
        <w:spacing w:line="570" w:lineRule="exact"/>
        <w:ind w:left="0" w:leftChars="0" w:firstLine="664" w:firstLineChars="200"/>
        <w:jc w:val="both"/>
        <w:textAlignment w:val="auto"/>
        <w:rPr>
          <w:rFonts w:hint="eastAsia" w:ascii="Times New Roman" w:eastAsia="黑体" w:cs="Times New Roman"/>
          <w:color w:val="auto"/>
          <w:highlight w:val="none"/>
          <w:lang w:val="en-US" w:eastAsia="zh-CN"/>
        </w:rPr>
      </w:pPr>
      <w:bookmarkStart w:id="40" w:name="_Toc16070_WPSOffice_Level1"/>
      <w:r>
        <w:rPr>
          <w:rFonts w:hint="eastAsia" w:ascii="方正黑体_GBK" w:hAnsi="方正黑体_GBK" w:eastAsia="方正黑体_GBK" w:cs="方正黑体_GBK"/>
          <w:color w:val="auto"/>
          <w:highlight w:val="none"/>
          <w:lang w:val="en-US" w:eastAsia="zh-CN"/>
        </w:rPr>
        <w:t>基本情况</w:t>
      </w:r>
      <w:bookmarkEnd w:id="40"/>
      <w:bookmarkStart w:id="41" w:name="_Toc31250"/>
      <w:bookmarkStart w:id="42" w:name="_Toc16578"/>
      <w:bookmarkStart w:id="43" w:name="_Toc11862"/>
      <w:bookmarkStart w:id="44" w:name="_Toc31606"/>
      <w:bookmarkStart w:id="45" w:name="_Toc10466"/>
    </w:p>
    <w:p>
      <w:pPr>
        <w:pStyle w:val="18"/>
        <w:keepNext w:val="0"/>
        <w:keepLines w:val="0"/>
        <w:pageBreakBefore w:val="0"/>
        <w:widowControl/>
        <w:numPr>
          <w:ilvl w:val="0"/>
          <w:numId w:val="0"/>
        </w:numPr>
        <w:kinsoku/>
        <w:wordWrap/>
        <w:overflowPunct/>
        <w:topLinePunct w:val="0"/>
        <w:autoSpaceDE/>
        <w:autoSpaceDN/>
        <w:bidi w:val="0"/>
        <w:adjustRightInd/>
        <w:snapToGrid/>
        <w:spacing w:line="570" w:lineRule="exact"/>
        <w:ind w:leftChars="200"/>
        <w:jc w:val="both"/>
        <w:textAlignment w:val="auto"/>
        <w:rPr>
          <w:rFonts w:hint="eastAsia" w:ascii="方正楷体_GBK" w:hAnsi="方正楷体_GBK" w:eastAsia="方正楷体_GBK" w:cs="方正楷体_GBK"/>
          <w:b/>
          <w:bCs/>
          <w:color w:val="auto"/>
          <w:highlight w:val="none"/>
          <w:lang w:val="en-US" w:eastAsia="zh-CN"/>
        </w:rPr>
      </w:pPr>
      <w:bookmarkStart w:id="46" w:name="_Toc16070_WPSOffice_Level2"/>
      <w:r>
        <w:rPr>
          <w:rFonts w:hint="eastAsia" w:ascii="方正楷体_GBK" w:hAnsi="方正楷体_GBK" w:eastAsia="方正楷体_GBK" w:cs="方正楷体_GBK"/>
          <w:b/>
          <w:bCs/>
          <w:color w:val="auto"/>
          <w:highlight w:val="none"/>
          <w:lang w:val="en-US" w:eastAsia="zh-CN"/>
        </w:rPr>
        <w:t>（一）</w:t>
      </w:r>
      <w:bookmarkEnd w:id="41"/>
      <w:bookmarkEnd w:id="42"/>
      <w:bookmarkEnd w:id="43"/>
      <w:bookmarkEnd w:id="44"/>
      <w:bookmarkEnd w:id="45"/>
      <w:r>
        <w:rPr>
          <w:rFonts w:hint="eastAsia" w:ascii="方正楷体_GBK" w:hAnsi="方正楷体_GBK" w:eastAsia="方正楷体_GBK" w:cs="方正楷体_GBK"/>
          <w:b/>
          <w:bCs/>
          <w:color w:val="auto"/>
          <w:highlight w:val="none"/>
          <w:lang w:val="en-US" w:eastAsia="zh-CN"/>
        </w:rPr>
        <w:t>项目概况</w:t>
      </w:r>
      <w:bookmarkEnd w:id="46"/>
    </w:p>
    <w:p>
      <w:pPr>
        <w:pStyle w:val="18"/>
        <w:keepNext w:val="0"/>
        <w:keepLines w:val="0"/>
        <w:pageBreakBefore w:val="0"/>
        <w:widowControl/>
        <w:kinsoku/>
        <w:wordWrap/>
        <w:overflowPunct/>
        <w:topLinePunct w:val="0"/>
        <w:autoSpaceDE/>
        <w:autoSpaceDN/>
        <w:bidi w:val="0"/>
        <w:adjustRightInd/>
        <w:snapToGrid/>
        <w:spacing w:line="570" w:lineRule="exact"/>
        <w:ind w:firstLine="667" w:firstLineChars="200"/>
        <w:jc w:val="both"/>
        <w:textAlignment w:val="auto"/>
        <w:rPr>
          <w:rFonts w:hint="eastAsia" w:ascii="方正仿宋_GBK" w:hAnsi="方正仿宋_GBK" w:eastAsia="方正仿宋_GBK" w:cs="方正仿宋_GBK"/>
          <w:b/>
          <w:bCs/>
          <w:color w:val="auto"/>
          <w:highlight w:val="none"/>
          <w:lang w:val="en-US" w:eastAsia="zh-CN"/>
        </w:rPr>
      </w:pPr>
      <w:r>
        <w:rPr>
          <w:rFonts w:hint="eastAsia" w:ascii="方正仿宋_GBK" w:hAnsi="方正仿宋_GBK" w:eastAsia="方正仿宋_GBK" w:cs="方正仿宋_GBK"/>
          <w:b/>
          <w:bCs/>
          <w:color w:val="auto"/>
          <w:highlight w:val="none"/>
          <w:lang w:val="en-US" w:eastAsia="zh-CN"/>
        </w:rPr>
        <w:t>1.项目背景</w:t>
      </w:r>
    </w:p>
    <w:p>
      <w:pPr>
        <w:pStyle w:val="24"/>
        <w:pageBreakBefore w:val="0"/>
        <w:kinsoku/>
        <w:wordWrap/>
        <w:bidi w:val="0"/>
        <w:spacing w:line="570" w:lineRule="exact"/>
        <w:ind w:firstLine="64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2019年《中共中央办公厅国务院办公厅印发&lt;关于国有企业退休人员社会化管理的指导意见&gt;的通知》（厅字〔2019〕19号）要求“2020年年底前，集中力量将尚未实行社会化管理的国有企业已退休人员移交街道和社区实行社会化管理”，2020年财政部、国资委《关于支持地方做好中央企业及原中央下放企业退休人员社会化管理工作的通知》（财资〔2020〕1号）要求“按照阶段支出、分级负担原则，地方各级财政部门要将中央和地方国有企业退休人员由街道和社区实行社会化管理的经费纳入财政预算管理，予以必要保障”。企业退休人员实行社会管理服务是全面深化国有企业改革、加快剥离国有企业办社会职能问题的重要措施，也是党中央、国务院在社会保障方面提出的一项重要任务。</w:t>
      </w:r>
    </w:p>
    <w:p>
      <w:pPr>
        <w:keepNext w:val="0"/>
        <w:keepLines w:val="0"/>
        <w:pageBreakBefore w:val="0"/>
        <w:widowControl/>
        <w:kinsoku/>
        <w:wordWrap/>
        <w:overflowPunct w:val="0"/>
        <w:topLinePunct w:val="0"/>
        <w:autoSpaceDE w:val="0"/>
        <w:autoSpaceDN w:val="0"/>
        <w:bidi w:val="0"/>
        <w:adjustRightInd w:val="0"/>
        <w:snapToGrid/>
        <w:spacing w:line="570" w:lineRule="exact"/>
        <w:ind w:firstLine="643" w:firstLineChars="200"/>
        <w:jc w:val="both"/>
        <w:textAlignment w:val="baseline"/>
        <w:outlineLvl w:val="1"/>
        <w:rPr>
          <w:rFonts w:hint="eastAsia" w:ascii="方正仿宋_GBK" w:hAnsi="方正仿宋_GBK" w:eastAsia="方正仿宋_GBK" w:cs="方正仿宋_GBK"/>
          <w:b/>
          <w:bCs/>
          <w:color w:val="auto"/>
          <w:sz w:val="32"/>
          <w:szCs w:val="32"/>
          <w:highlight w:val="none"/>
          <w:lang w:eastAsia="zh-CN"/>
        </w:rPr>
      </w:pPr>
      <w:bookmarkStart w:id="47" w:name="_Toc2447"/>
      <w:bookmarkStart w:id="48" w:name="_Toc32613"/>
      <w:bookmarkStart w:id="49" w:name="_Toc24474"/>
      <w:bookmarkStart w:id="50" w:name="_Toc5252"/>
      <w:bookmarkStart w:id="51" w:name="_Toc27027"/>
      <w:bookmarkStart w:id="52" w:name="_Toc16353"/>
      <w:bookmarkStart w:id="53" w:name="_Toc1179"/>
      <w:r>
        <w:rPr>
          <w:rFonts w:hint="eastAsia" w:ascii="方正仿宋_GBK" w:hAnsi="方正仿宋_GBK" w:eastAsia="方正仿宋_GBK" w:cs="方正仿宋_GBK"/>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rPr>
        <w:t>项目内容及</w:t>
      </w:r>
      <w:bookmarkEnd w:id="47"/>
      <w:bookmarkEnd w:id="48"/>
      <w:bookmarkEnd w:id="49"/>
      <w:bookmarkEnd w:id="50"/>
      <w:bookmarkEnd w:id="51"/>
      <w:bookmarkEnd w:id="52"/>
      <w:r>
        <w:rPr>
          <w:rFonts w:hint="eastAsia" w:ascii="方正仿宋_GBK" w:hAnsi="方正仿宋_GBK" w:eastAsia="方正仿宋_GBK" w:cs="方正仿宋_GBK"/>
          <w:b/>
          <w:bCs/>
          <w:color w:val="auto"/>
          <w:sz w:val="32"/>
          <w:szCs w:val="32"/>
          <w:highlight w:val="none"/>
          <w:lang w:eastAsia="zh-CN"/>
        </w:rPr>
        <w:t>实施情况</w:t>
      </w:r>
    </w:p>
    <w:p>
      <w:pPr>
        <w:keepNext w:val="0"/>
        <w:keepLines w:val="0"/>
        <w:pageBreakBefore w:val="0"/>
        <w:widowControl/>
        <w:kinsoku/>
        <w:wordWrap/>
        <w:overflowPunct w:val="0"/>
        <w:topLinePunct w:val="0"/>
        <w:autoSpaceDE w:val="0"/>
        <w:autoSpaceDN w:val="0"/>
        <w:bidi w:val="0"/>
        <w:adjustRightInd w:val="0"/>
        <w:snapToGrid/>
        <w:spacing w:line="570" w:lineRule="exact"/>
        <w:ind w:firstLine="643" w:firstLineChars="200"/>
        <w:jc w:val="both"/>
        <w:textAlignment w:val="baseline"/>
        <w:outlineLvl w:val="2"/>
        <w:rPr>
          <w:rFonts w:hint="default" w:ascii="Times New Roman" w:hAnsi="Times New Roman" w:eastAsia="黑体" w:cs="Times New Roman"/>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项目内</w:t>
      </w:r>
      <w:r>
        <w:rPr>
          <w:rFonts w:hint="default" w:ascii="Times New Roman" w:hAnsi="Times New Roman" w:eastAsia="仿宋_GB2312" w:cs="Times New Roman"/>
          <w:b/>
          <w:bCs/>
          <w:color w:val="auto"/>
          <w:sz w:val="32"/>
          <w:szCs w:val="32"/>
          <w:highlight w:val="none"/>
        </w:rPr>
        <w:t>容</w:t>
      </w:r>
      <w:bookmarkEnd w:id="53"/>
    </w:p>
    <w:p>
      <w:pPr>
        <w:pStyle w:val="25"/>
        <w:pageBreakBefore w:val="0"/>
        <w:kinsoku/>
        <w:wordWrap/>
        <w:bidi w:val="0"/>
        <w:spacing w:line="570" w:lineRule="exact"/>
        <w:ind w:firstLine="643"/>
        <w:jc w:val="both"/>
        <w:outlineLvl w:val="2"/>
        <w:rPr>
          <w:rFonts w:hint="eastAsia" w:ascii="方正仿宋_GBK" w:hAnsi="方正仿宋_GBK" w:eastAsia="方正仿宋_GBK" w:cs="方正仿宋_GBK"/>
          <w:color w:val="auto"/>
          <w:spacing w:val="6"/>
          <w:kern w:val="0"/>
          <w:sz w:val="32"/>
          <w:szCs w:val="32"/>
          <w:highlight w:val="none"/>
          <w:lang w:val="en-US" w:eastAsia="zh-CN" w:bidi="ar"/>
        </w:rPr>
      </w:pPr>
      <w:bookmarkStart w:id="54" w:name="_Toc21813"/>
      <w:r>
        <w:rPr>
          <w:rFonts w:hint="eastAsia" w:ascii="方正仿宋_GBK" w:hAnsi="方正仿宋_GBK" w:eastAsia="方正仿宋_GBK" w:cs="方正仿宋_GBK"/>
          <w:color w:val="auto"/>
          <w:spacing w:val="6"/>
          <w:kern w:val="0"/>
          <w:sz w:val="32"/>
          <w:szCs w:val="32"/>
          <w:highlight w:val="none"/>
          <w:lang w:val="en-US" w:eastAsia="zh-CN" w:bidi="ar"/>
        </w:rPr>
        <w:t>依据《关于下达2020-2021年国有企业退休人员社会化管理中央财政补助资金(清算)的通知》喀地财企〔2021〕27号、《关于提前下达2022年国有企业退休人员社会化管理补助资金的通知》喀地财企〔2022〕3号文件相关规定，下达上级专项资金4.38万元，主要用于为国有企业退休人员社会化管理服务时发生的相关支出，实现国有企业已退休人员管理服务工作与原企业分离，国有企业不承担移交后的退休人员社会化管理服务费用。</w:t>
      </w:r>
    </w:p>
    <w:bookmarkEnd w:id="54"/>
    <w:p>
      <w:pPr>
        <w:keepNext w:val="0"/>
        <w:keepLines w:val="0"/>
        <w:pageBreakBefore w:val="0"/>
        <w:widowControl/>
        <w:kinsoku/>
        <w:wordWrap/>
        <w:overflowPunct w:val="0"/>
        <w:topLinePunct w:val="0"/>
        <w:autoSpaceDE w:val="0"/>
        <w:autoSpaceDN w:val="0"/>
        <w:bidi w:val="0"/>
        <w:adjustRightInd w:val="0"/>
        <w:snapToGrid/>
        <w:spacing w:line="570" w:lineRule="exact"/>
        <w:ind w:firstLine="643" w:firstLineChars="200"/>
        <w:jc w:val="both"/>
        <w:textAlignment w:val="baseline"/>
        <w:outlineLvl w:val="2"/>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color w:val="auto"/>
          <w:sz w:val="32"/>
          <w:szCs w:val="32"/>
          <w:highlight w:val="none"/>
          <w:lang w:eastAsia="zh-CN"/>
        </w:rPr>
        <w:t>（</w:t>
      </w:r>
      <w:r>
        <w:rPr>
          <w:rFonts w:hint="eastAsia" w:ascii="方正仿宋_GBK" w:hAnsi="方正仿宋_GBK" w:eastAsia="方正仿宋_GBK" w:cs="方正仿宋_GBK"/>
          <w:b/>
          <w:color w:val="auto"/>
          <w:sz w:val="32"/>
          <w:szCs w:val="32"/>
          <w:highlight w:val="none"/>
          <w:lang w:val="en-US" w:eastAsia="zh-CN"/>
        </w:rPr>
        <w:t>2</w:t>
      </w:r>
      <w:r>
        <w:rPr>
          <w:rFonts w:hint="eastAsia" w:ascii="方正仿宋_GBK" w:hAnsi="方正仿宋_GBK" w:eastAsia="方正仿宋_GBK" w:cs="方正仿宋_GBK"/>
          <w:b/>
          <w:color w:val="auto"/>
          <w:sz w:val="32"/>
          <w:szCs w:val="32"/>
          <w:highlight w:val="none"/>
          <w:lang w:eastAsia="zh-CN"/>
        </w:rPr>
        <w:t>）</w:t>
      </w:r>
      <w:r>
        <w:rPr>
          <w:rFonts w:hint="eastAsia" w:ascii="方正仿宋_GBK" w:hAnsi="方正仿宋_GBK" w:eastAsia="方正仿宋_GBK" w:cs="方正仿宋_GBK"/>
          <w:b/>
          <w:color w:val="auto"/>
          <w:sz w:val="32"/>
          <w:szCs w:val="32"/>
          <w:highlight w:val="none"/>
        </w:rPr>
        <w:t>项目</w:t>
      </w:r>
      <w:r>
        <w:rPr>
          <w:rFonts w:hint="eastAsia" w:ascii="方正仿宋_GBK" w:hAnsi="方正仿宋_GBK" w:eastAsia="方正仿宋_GBK" w:cs="方正仿宋_GBK"/>
          <w:b/>
          <w:color w:val="auto"/>
          <w:sz w:val="32"/>
          <w:szCs w:val="32"/>
          <w:highlight w:val="none"/>
          <w:lang w:eastAsia="zh-CN"/>
        </w:rPr>
        <w:t>实施情况</w:t>
      </w:r>
    </w:p>
    <w:p>
      <w:pPr>
        <w:pStyle w:val="24"/>
        <w:pageBreakBefore w:val="0"/>
        <w:kinsoku/>
        <w:wordWrap/>
        <w:bidi w:val="0"/>
        <w:spacing w:line="570" w:lineRule="exact"/>
        <w:ind w:firstLine="64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该项目实施地点为伽师县10个乡镇，主要对各乡镇（社区）企业退休人员社会化管理服务进行经费补贴，依据《关于下达2020-2021年国有企业退休人员社会化管理中央财政补助资金(清算)的通知》（喀地财企〔2021〕27号），按照每人294.19元的标准进行经费差额补贴，依据《关于提前下达2022年国有企业退休人员社会化管理补助资金的通知》（喀地财企〔2022〕3号），中央对移交至乡镇（社区）管理的国有企业退休人员按照每人260元的标准进行补助，弥补乡镇（社区）为国有企业退休人员服务的经费不足的问题，减轻国有企业负担。</w:t>
      </w:r>
    </w:p>
    <w:p>
      <w:pPr>
        <w:keepNext w:val="0"/>
        <w:keepLines w:val="0"/>
        <w:pageBreakBefore w:val="0"/>
        <w:kinsoku/>
        <w:wordWrap/>
        <w:topLinePunct w:val="0"/>
        <w:bidi w:val="0"/>
        <w:snapToGrid/>
        <w:spacing w:line="570" w:lineRule="exact"/>
        <w:ind w:firstLine="643" w:firstLineChars="200"/>
        <w:jc w:val="both"/>
        <w:rPr>
          <w:rFonts w:hint="eastAsia" w:ascii="方正仿宋_GBK" w:hAnsi="方正仿宋_GBK" w:eastAsia="方正仿宋_GBK" w:cs="方正仿宋_GBK"/>
          <w:b/>
          <w:bCs w:val="0"/>
          <w:color w:val="auto"/>
          <w:kern w:val="0"/>
          <w:sz w:val="32"/>
          <w:szCs w:val="32"/>
          <w:highlight w:val="none"/>
        </w:rPr>
      </w:pPr>
      <w:r>
        <w:rPr>
          <w:rFonts w:hint="eastAsia" w:ascii="方正仿宋_GBK" w:hAnsi="方正仿宋_GBK" w:eastAsia="方正仿宋_GBK" w:cs="方正仿宋_GBK"/>
          <w:b/>
          <w:bCs w:val="0"/>
          <w:color w:val="auto"/>
          <w:kern w:val="0"/>
          <w:sz w:val="32"/>
          <w:szCs w:val="32"/>
          <w:highlight w:val="none"/>
        </w:rPr>
        <w:t>3.评价时段</w:t>
      </w:r>
    </w:p>
    <w:p>
      <w:pPr>
        <w:pStyle w:val="24"/>
        <w:pageBreakBefore w:val="0"/>
        <w:kinsoku/>
        <w:wordWrap/>
        <w:bidi w:val="0"/>
        <w:spacing w:line="570" w:lineRule="exact"/>
        <w:ind w:firstLine="640"/>
        <w:jc w:val="both"/>
        <w:rPr>
          <w:rFonts w:hint="eastAsia" w:ascii="方正仿宋_GBK" w:hAnsi="方正仿宋_GBK" w:eastAsia="方正仿宋_GBK" w:cs="方正仿宋_GBK"/>
          <w:color w:val="auto"/>
          <w:spacing w:val="6"/>
          <w:kern w:val="0"/>
          <w:sz w:val="32"/>
          <w:szCs w:val="32"/>
          <w:highlight w:val="none"/>
          <w:lang w:val="en-US" w:eastAsia="zh-CN" w:bidi="ar"/>
        </w:rPr>
      </w:pPr>
      <w:bookmarkStart w:id="55" w:name="_Toc13099"/>
      <w:bookmarkStart w:id="56" w:name="_Toc19584"/>
      <w:bookmarkStart w:id="57" w:name="_Toc12750"/>
      <w:bookmarkStart w:id="58" w:name="_Toc25161"/>
      <w:bookmarkStart w:id="59" w:name="_Toc7296"/>
      <w:bookmarkStart w:id="60" w:name="_Toc31648"/>
      <w:bookmarkStart w:id="61" w:name="_Toc26519"/>
      <w:bookmarkStart w:id="62" w:name="_Toc4508"/>
      <w:r>
        <w:rPr>
          <w:rFonts w:hint="eastAsia" w:ascii="方正仿宋_GBK" w:hAnsi="方正仿宋_GBK" w:eastAsia="方正仿宋_GBK" w:cs="方正仿宋_GBK"/>
          <w:color w:val="auto"/>
          <w:spacing w:val="6"/>
          <w:kern w:val="0"/>
          <w:sz w:val="32"/>
          <w:szCs w:val="32"/>
          <w:highlight w:val="none"/>
          <w:lang w:val="en-US" w:eastAsia="zh-CN" w:bidi="ar"/>
        </w:rPr>
        <w:t>本项目资金的评价时段为2022年1月1日－2022年12月31日。</w:t>
      </w:r>
      <w:bookmarkEnd w:id="55"/>
      <w:bookmarkEnd w:id="56"/>
      <w:bookmarkEnd w:id="57"/>
      <w:bookmarkEnd w:id="58"/>
      <w:bookmarkEnd w:id="59"/>
      <w:bookmarkEnd w:id="60"/>
      <w:bookmarkEnd w:id="61"/>
      <w:bookmarkEnd w:id="62"/>
    </w:p>
    <w:p>
      <w:pPr>
        <w:keepNext w:val="0"/>
        <w:keepLines w:val="0"/>
        <w:pageBreakBefore w:val="0"/>
        <w:widowControl/>
        <w:kinsoku/>
        <w:wordWrap/>
        <w:overflowPunct w:val="0"/>
        <w:topLinePunct w:val="0"/>
        <w:autoSpaceDE w:val="0"/>
        <w:autoSpaceDN w:val="0"/>
        <w:bidi w:val="0"/>
        <w:adjustRightInd w:val="0"/>
        <w:snapToGrid/>
        <w:spacing w:line="570" w:lineRule="exact"/>
        <w:ind w:firstLine="643" w:firstLineChars="200"/>
        <w:jc w:val="both"/>
        <w:textAlignment w:val="baseline"/>
        <w:outlineLvl w:val="1"/>
        <w:rPr>
          <w:rFonts w:hint="eastAsia" w:ascii="方正仿宋_GBK" w:hAnsi="方正仿宋_GBK" w:eastAsia="方正仿宋_GBK" w:cs="方正仿宋_GBK"/>
          <w:b/>
          <w:color w:val="auto"/>
          <w:sz w:val="32"/>
          <w:szCs w:val="32"/>
          <w:highlight w:val="none"/>
        </w:rPr>
      </w:pPr>
      <w:bookmarkStart w:id="63" w:name="_Toc27728"/>
      <w:bookmarkStart w:id="64" w:name="_Toc12027"/>
      <w:bookmarkStart w:id="65" w:name="_Toc32176"/>
      <w:bookmarkStart w:id="66" w:name="_Toc6643"/>
      <w:bookmarkStart w:id="67" w:name="_Toc5654"/>
      <w:bookmarkStart w:id="68" w:name="_Toc27752"/>
      <w:bookmarkStart w:id="69" w:name="_Toc13247"/>
      <w:r>
        <w:rPr>
          <w:rFonts w:hint="eastAsia" w:ascii="方正仿宋_GBK" w:hAnsi="方正仿宋_GBK" w:eastAsia="方正仿宋_GBK" w:cs="方正仿宋_GBK"/>
          <w:b/>
          <w:color w:val="auto"/>
          <w:sz w:val="32"/>
          <w:szCs w:val="32"/>
          <w:highlight w:val="none"/>
          <w:lang w:val="en-US" w:eastAsia="zh-CN"/>
        </w:rPr>
        <w:t>4.</w:t>
      </w:r>
      <w:r>
        <w:rPr>
          <w:rFonts w:hint="eastAsia" w:ascii="方正仿宋_GBK" w:hAnsi="方正仿宋_GBK" w:eastAsia="方正仿宋_GBK" w:cs="方正仿宋_GBK"/>
          <w:b/>
          <w:color w:val="auto"/>
          <w:sz w:val="32"/>
          <w:szCs w:val="32"/>
          <w:highlight w:val="none"/>
        </w:rPr>
        <w:t>资金</w:t>
      </w:r>
      <w:r>
        <w:rPr>
          <w:rFonts w:hint="eastAsia" w:ascii="方正仿宋_GBK" w:hAnsi="方正仿宋_GBK" w:eastAsia="方正仿宋_GBK" w:cs="方正仿宋_GBK"/>
          <w:b/>
          <w:color w:val="auto"/>
          <w:sz w:val="32"/>
          <w:szCs w:val="32"/>
          <w:highlight w:val="none"/>
          <w:lang w:eastAsia="zh-CN"/>
        </w:rPr>
        <w:t>投入</w:t>
      </w:r>
      <w:r>
        <w:rPr>
          <w:rFonts w:hint="eastAsia" w:ascii="方正仿宋_GBK" w:hAnsi="方正仿宋_GBK" w:eastAsia="方正仿宋_GBK" w:cs="方正仿宋_GBK"/>
          <w:b/>
          <w:color w:val="auto"/>
          <w:sz w:val="32"/>
          <w:szCs w:val="32"/>
          <w:highlight w:val="none"/>
        </w:rPr>
        <w:t>及使用情况</w:t>
      </w:r>
      <w:bookmarkEnd w:id="63"/>
      <w:bookmarkEnd w:id="64"/>
      <w:bookmarkEnd w:id="65"/>
      <w:bookmarkEnd w:id="66"/>
      <w:bookmarkEnd w:id="67"/>
      <w:bookmarkEnd w:id="68"/>
      <w:bookmarkEnd w:id="69"/>
    </w:p>
    <w:p>
      <w:pPr>
        <w:pStyle w:val="24"/>
        <w:pageBreakBefore w:val="0"/>
        <w:kinsoku/>
        <w:wordWrap/>
        <w:bidi w:val="0"/>
        <w:spacing w:line="570" w:lineRule="exact"/>
        <w:ind w:firstLine="64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（1）预算安排情况</w:t>
      </w:r>
    </w:p>
    <w:p>
      <w:pPr>
        <w:pStyle w:val="24"/>
        <w:pageBreakBefore w:val="0"/>
        <w:kinsoku/>
        <w:wordWrap/>
        <w:bidi w:val="0"/>
        <w:spacing w:line="570" w:lineRule="exact"/>
        <w:ind w:firstLine="640"/>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该项目预算资金总额4.38万元，全部为中央专项资金。实际到位资金4.38万元，资金到位率为100%。</w:t>
      </w:r>
    </w:p>
    <w:p>
      <w:pPr>
        <w:pStyle w:val="24"/>
        <w:pageBreakBefore w:val="0"/>
        <w:numPr>
          <w:ilvl w:val="0"/>
          <w:numId w:val="3"/>
        </w:numPr>
        <w:kinsoku/>
        <w:wordWrap/>
        <w:bidi w:val="0"/>
        <w:spacing w:line="570" w:lineRule="exact"/>
        <w:ind w:firstLine="640" w:firstLineChars="200"/>
        <w:jc w:val="both"/>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预算执行情况</w:t>
      </w:r>
    </w:p>
    <w:p>
      <w:pPr>
        <w:pStyle w:val="24"/>
        <w:pageBreakBefore w:val="0"/>
        <w:numPr>
          <w:ilvl w:val="0"/>
          <w:numId w:val="0"/>
        </w:numPr>
        <w:kinsoku/>
        <w:wordWrap/>
        <w:bidi w:val="0"/>
        <w:spacing w:line="570" w:lineRule="exact"/>
        <w:ind w:firstLine="640" w:firstLineChars="200"/>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该项目实际支出资金总额为4.29万元，预算资金执行率为97.95%，详细资金支出明细见“表1-1：伽师县2022年国有企业退休人员社会化服务项目支出明细表”。</w:t>
      </w:r>
    </w:p>
    <w:tbl>
      <w:tblPr>
        <w:tblStyle w:val="14"/>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97"/>
        <w:gridCol w:w="702"/>
        <w:gridCol w:w="1340"/>
        <w:gridCol w:w="1387"/>
        <w:gridCol w:w="2560"/>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3" w:hRule="atLeast"/>
        </w:trPr>
        <w:tc>
          <w:tcPr>
            <w:tcW w:w="88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b/>
                <w:bCs/>
                <w:i w:val="0"/>
                <w:color w:val="000000"/>
                <w:kern w:val="0"/>
                <w:sz w:val="22"/>
                <w:szCs w:val="22"/>
                <w:highlight w:val="none"/>
                <w:u w:val="none"/>
                <w:lang w:val="en-US" w:eastAsia="zh-CN" w:bidi="ar"/>
              </w:rPr>
              <w:t>表1-1：伽师县2022年国有企业退休人员社会化服务项目支出明细表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46"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涉及乡镇</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接收人数</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移交街道和社区实行社会化管理的国有企业已退休当年人均经费额（元/人）</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移交街道和社区实行社会化管理的国有企业已退休2020年-2021年人均经费补差额（元/人）</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预算金额（元）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支出金额（元）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伽师县巴仁镇人民政府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58</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32143.01</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32143.01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伽师县江巴孜乡人民政府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1108.38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伽师县古勒鲁克乡人民政府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1662.57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1662.57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伽师县夏普吐勒镇人民政府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1662.57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伽师县和夏阿瓦提镇人民政府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1108.38</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1108.38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伽师县卧里托格拉克镇人民政府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3879.33</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3879.33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伽师县玉代克力克乡人民政府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伽师县克孜勒博依镇人民政府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伽师县铁日木乡人民政府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伽师县米夏乡人民政府</w:t>
            </w:r>
          </w:p>
        </w:tc>
        <w:tc>
          <w:tcPr>
            <w:tcW w:w="7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554.19</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1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7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79</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13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43781</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42898.43</w:t>
            </w:r>
          </w:p>
        </w:tc>
      </w:tr>
    </w:tbl>
    <w:p>
      <w:pPr>
        <w:pStyle w:val="24"/>
        <w:pageBreakBefore w:val="0"/>
        <w:numPr>
          <w:ilvl w:val="0"/>
          <w:numId w:val="0"/>
        </w:numPr>
        <w:kinsoku/>
        <w:wordWrap/>
        <w:bidi w:val="0"/>
        <w:spacing w:line="570" w:lineRule="exact"/>
        <w:ind w:firstLine="643" w:firstLineChars="200"/>
        <w:jc w:val="both"/>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5.项目组织及管理情况</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b w:val="0"/>
          <w:bCs w:val="0"/>
          <w:color w:val="auto"/>
          <w:spacing w:val="6"/>
          <w:kern w:val="0"/>
          <w:sz w:val="32"/>
          <w:szCs w:val="32"/>
          <w:highlight w:val="none"/>
          <w:lang w:val="en-US" w:eastAsia="zh-CN" w:bidi="ar"/>
        </w:rPr>
      </w:pPr>
      <w:r>
        <w:rPr>
          <w:rFonts w:hint="eastAsia" w:ascii="方正仿宋_GBK" w:hAnsi="方正仿宋_GBK" w:eastAsia="方正仿宋_GBK" w:cs="方正仿宋_GBK"/>
          <w:b w:val="0"/>
          <w:bCs w:val="0"/>
          <w:color w:val="auto"/>
          <w:spacing w:val="6"/>
          <w:kern w:val="0"/>
          <w:sz w:val="32"/>
          <w:szCs w:val="32"/>
          <w:highlight w:val="none"/>
          <w:lang w:val="en-US" w:eastAsia="zh-CN" w:bidi="ar"/>
        </w:rPr>
        <w:t>（1）项目组织情况</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项目主管单位：伽师县财政局，负责督促各乡镇按照企业推送的名单做好核实及录入工作，并收集备案登记表及项目实施资料。</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项目实施单位：伽师县10个乡镇，负责为本辖区内国有企业退休人员提供具体社会化管理服务，具体包括：</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①及时办理本辖区内国有企业退休人员社会化管理服务关系接收和转移手续，进行国有企业退休人员基础信息的核实、录入及更新维护。</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②跟踪掌握国有企业退休人员生存及流动状况，做好本辖区内国有企业退休人员领取社会保险待遇资格确认，社会保险待遇查询及政策咨询。</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③负责国有企业死亡退休人员遗属丧葬补助费和抚恤费的申报，工伤保险待遇的停发申报。</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④负责国有企业退休人员医保信息查询工作，慢性病、特殊病、特殊规定药品认定材料申报，协助医保部门做好医保关系续接等医保服务工作。</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⑤协助社会保险经办机构和医保经办机构做好国有企业退休人员待遇调整工作。</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⑥为符合条件的国有企业退休人员发放高龄补贴。</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⑦将符合条件的国有企业退休人员纳入特困救助等社会救助范围。</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⑧国有企业退休人员社会化管理服务工作应当承担的其他职责。</w:t>
      </w:r>
    </w:p>
    <w:p>
      <w:pPr>
        <w:pStyle w:val="24"/>
        <w:pageBreakBefore w:val="0"/>
        <w:numPr>
          <w:ilvl w:val="0"/>
          <w:numId w:val="0"/>
        </w:numPr>
        <w:kinsoku/>
        <w:wordWrap/>
        <w:bidi w:val="0"/>
        <w:spacing w:line="570" w:lineRule="exact"/>
        <w:ind w:leftChars="200"/>
        <w:jc w:val="both"/>
        <w:rPr>
          <w:rFonts w:hint="eastAsia" w:ascii="方正仿宋_GBK" w:hAnsi="方正仿宋_GBK" w:eastAsia="方正仿宋_GBK" w:cs="方正仿宋_GBK"/>
          <w:b/>
          <w:bCs/>
          <w:color w:val="auto"/>
          <w:spacing w:val="6"/>
          <w:kern w:val="0"/>
          <w:sz w:val="32"/>
          <w:szCs w:val="32"/>
          <w:highlight w:val="none"/>
          <w:lang w:val="en-US" w:eastAsia="zh-CN" w:bidi="ar"/>
        </w:rPr>
      </w:pPr>
      <w:r>
        <w:rPr>
          <w:rFonts w:hint="eastAsia" w:ascii="方正仿宋_GBK" w:hAnsi="方正仿宋_GBK" w:eastAsia="方正仿宋_GBK" w:cs="方正仿宋_GBK"/>
          <w:b/>
          <w:bCs/>
          <w:color w:val="auto"/>
          <w:spacing w:val="6"/>
          <w:kern w:val="0"/>
          <w:sz w:val="32"/>
          <w:szCs w:val="32"/>
          <w:highlight w:val="none"/>
          <w:lang w:val="en-US" w:eastAsia="zh-CN" w:bidi="ar"/>
        </w:rPr>
        <w:t>（2）项目管理情况</w:t>
      </w:r>
    </w:p>
    <w:p>
      <w:pPr>
        <w:pStyle w:val="24"/>
        <w:pageBreakBefore w:val="0"/>
        <w:numPr>
          <w:ilvl w:val="0"/>
          <w:numId w:val="0"/>
        </w:numPr>
        <w:kinsoku/>
        <w:wordWrap/>
        <w:bidi w:val="0"/>
        <w:spacing w:line="570" w:lineRule="exact"/>
        <w:ind w:firstLine="664" w:firstLineChars="200"/>
        <w:jc w:val="both"/>
        <w:rPr>
          <w:rFonts w:hint="default" w:ascii="方正仿宋_GBK" w:hAnsi="方正仿宋_GBK" w:eastAsia="方正仿宋_GBK" w:cs="方正仿宋_GBK"/>
          <w:color w:val="auto"/>
          <w:spacing w:val="6"/>
          <w:kern w:val="0"/>
          <w:sz w:val="32"/>
          <w:szCs w:val="32"/>
          <w:highlight w:val="none"/>
          <w:lang w:val="en-US" w:eastAsia="zh-CN" w:bidi="ar"/>
        </w:rPr>
      </w:pPr>
      <w:r>
        <w:rPr>
          <w:rFonts w:hint="default" w:ascii="方正仿宋_GBK" w:hAnsi="方正仿宋_GBK" w:eastAsia="方正仿宋_GBK" w:cs="方正仿宋_GBK"/>
          <w:color w:val="auto"/>
          <w:spacing w:val="6"/>
          <w:kern w:val="0"/>
          <w:sz w:val="32"/>
          <w:szCs w:val="32"/>
          <w:highlight w:val="none"/>
          <w:lang w:val="en-US" w:eastAsia="zh-CN" w:bidi="ar"/>
        </w:rPr>
        <w:t>本项目由</w:t>
      </w:r>
      <w:r>
        <w:rPr>
          <w:rFonts w:hint="eastAsia" w:ascii="方正仿宋_GBK" w:hAnsi="方正仿宋_GBK" w:eastAsia="方正仿宋_GBK" w:cs="方正仿宋_GBK"/>
          <w:color w:val="auto"/>
          <w:spacing w:val="6"/>
          <w:kern w:val="0"/>
          <w:sz w:val="32"/>
          <w:szCs w:val="32"/>
          <w:highlight w:val="none"/>
          <w:lang w:val="en-US" w:eastAsia="zh-CN" w:bidi="ar"/>
        </w:rPr>
        <w:t>分管县领导任组长，由财政局、人社局、社保中心部门主要领导为副组长，各乡镇项目分管领导为成员的领导小组，</w:t>
      </w:r>
      <w:r>
        <w:rPr>
          <w:rFonts w:hint="default" w:ascii="方正仿宋_GBK" w:hAnsi="方正仿宋_GBK" w:eastAsia="方正仿宋_GBK" w:cs="方正仿宋_GBK"/>
          <w:color w:val="auto"/>
          <w:spacing w:val="6"/>
          <w:kern w:val="0"/>
          <w:sz w:val="32"/>
          <w:szCs w:val="32"/>
          <w:highlight w:val="none"/>
          <w:lang w:val="en-US" w:eastAsia="zh-CN" w:bidi="ar"/>
        </w:rPr>
        <w:t>切实加强领导，统一规划、统一指导、统一服务，落实好专人负责，加强工作协调，保证按时完成工作任务。项目管理本着“充分利用现有人力、物力、财力”的原则，具体职责主要包括以下内容：</w:t>
      </w:r>
      <w:r>
        <w:rPr>
          <w:rFonts w:hint="eastAsia" w:ascii="方正仿宋_GBK" w:hAnsi="方正仿宋_GBK" w:eastAsia="方正仿宋_GBK" w:cs="方正仿宋_GBK"/>
          <w:color w:val="auto"/>
          <w:spacing w:val="6"/>
          <w:kern w:val="0"/>
          <w:sz w:val="32"/>
          <w:szCs w:val="32"/>
          <w:highlight w:val="none"/>
          <w:lang w:val="en-US" w:eastAsia="zh-CN" w:bidi="ar"/>
        </w:rPr>
        <w:t>伽师县财政</w:t>
      </w:r>
      <w:r>
        <w:rPr>
          <w:rFonts w:hint="default" w:ascii="方正仿宋_GBK" w:hAnsi="方正仿宋_GBK" w:eastAsia="方正仿宋_GBK" w:cs="方正仿宋_GBK"/>
          <w:color w:val="auto"/>
          <w:spacing w:val="6"/>
          <w:kern w:val="0"/>
          <w:sz w:val="32"/>
          <w:szCs w:val="32"/>
          <w:highlight w:val="none"/>
          <w:lang w:val="en-US" w:eastAsia="zh-CN" w:bidi="ar"/>
        </w:rPr>
        <w:t>局具体落实项目建设各项内容，负责项目实施方案编写，按照各乡镇</w:t>
      </w:r>
      <w:r>
        <w:rPr>
          <w:rFonts w:hint="eastAsia" w:ascii="方正仿宋_GBK" w:hAnsi="方正仿宋_GBK" w:eastAsia="方正仿宋_GBK" w:cs="方正仿宋_GBK"/>
          <w:color w:val="auto"/>
          <w:spacing w:val="6"/>
          <w:kern w:val="0"/>
          <w:sz w:val="32"/>
          <w:szCs w:val="32"/>
          <w:highlight w:val="none"/>
          <w:lang w:val="en-US" w:eastAsia="zh-CN" w:bidi="ar"/>
        </w:rPr>
        <w:t>向财政局国资委报送</w:t>
      </w:r>
      <w:r>
        <w:rPr>
          <w:rFonts w:hint="default" w:ascii="方正仿宋_GBK" w:hAnsi="方正仿宋_GBK" w:eastAsia="方正仿宋_GBK" w:cs="方正仿宋_GBK"/>
          <w:color w:val="auto"/>
          <w:spacing w:val="6"/>
          <w:kern w:val="0"/>
          <w:sz w:val="32"/>
          <w:szCs w:val="32"/>
          <w:highlight w:val="none"/>
          <w:lang w:val="en-US" w:eastAsia="zh-CN" w:bidi="ar"/>
        </w:rPr>
        <w:t>国有企业退休</w:t>
      </w:r>
      <w:r>
        <w:rPr>
          <w:rFonts w:hint="eastAsia" w:ascii="方正仿宋_GBK" w:hAnsi="方正仿宋_GBK" w:eastAsia="方正仿宋_GBK" w:cs="方正仿宋_GBK"/>
          <w:color w:val="auto"/>
          <w:spacing w:val="6"/>
          <w:kern w:val="0"/>
          <w:sz w:val="32"/>
          <w:szCs w:val="32"/>
          <w:highlight w:val="none"/>
          <w:lang w:val="en-US" w:eastAsia="zh-CN" w:bidi="ar"/>
        </w:rPr>
        <w:t>人员</w:t>
      </w:r>
      <w:r>
        <w:rPr>
          <w:rFonts w:hint="default" w:ascii="方正仿宋_GBK" w:hAnsi="方正仿宋_GBK" w:eastAsia="方正仿宋_GBK" w:cs="方正仿宋_GBK"/>
          <w:color w:val="auto"/>
          <w:spacing w:val="6"/>
          <w:kern w:val="0"/>
          <w:sz w:val="32"/>
          <w:szCs w:val="32"/>
          <w:highlight w:val="none"/>
          <w:lang w:val="en-US" w:eastAsia="zh-CN" w:bidi="ar"/>
        </w:rPr>
        <w:t>确定</w:t>
      </w:r>
      <w:r>
        <w:rPr>
          <w:rFonts w:hint="eastAsia" w:ascii="方正仿宋_GBK" w:hAnsi="方正仿宋_GBK" w:eastAsia="方正仿宋_GBK" w:cs="方正仿宋_GBK"/>
          <w:color w:val="auto"/>
          <w:spacing w:val="6"/>
          <w:kern w:val="0"/>
          <w:sz w:val="32"/>
          <w:szCs w:val="32"/>
          <w:highlight w:val="none"/>
          <w:lang w:val="en-US" w:eastAsia="zh-CN" w:bidi="ar"/>
        </w:rPr>
        <w:t>人数</w:t>
      </w:r>
      <w:r>
        <w:rPr>
          <w:rFonts w:hint="default" w:ascii="方正仿宋_GBK" w:hAnsi="方正仿宋_GBK" w:eastAsia="方正仿宋_GBK" w:cs="方正仿宋_GBK"/>
          <w:color w:val="auto"/>
          <w:spacing w:val="6"/>
          <w:kern w:val="0"/>
          <w:sz w:val="32"/>
          <w:szCs w:val="32"/>
          <w:highlight w:val="none"/>
          <w:lang w:val="en-US" w:eastAsia="zh-CN" w:bidi="ar"/>
        </w:rPr>
        <w:t>；项目实施各乡镇严格遵守项目实施计划要求，不得擅自</w:t>
      </w:r>
      <w:r>
        <w:rPr>
          <w:rFonts w:hint="eastAsia" w:ascii="方正仿宋_GBK" w:hAnsi="方正仿宋_GBK" w:eastAsia="方正仿宋_GBK" w:cs="方正仿宋_GBK"/>
          <w:color w:val="auto"/>
          <w:spacing w:val="6"/>
          <w:kern w:val="0"/>
          <w:sz w:val="32"/>
          <w:szCs w:val="32"/>
          <w:highlight w:val="none"/>
          <w:lang w:val="en-US" w:eastAsia="zh-CN" w:bidi="ar"/>
        </w:rPr>
        <w:t>变更人数、补助</w:t>
      </w:r>
      <w:r>
        <w:rPr>
          <w:rFonts w:hint="default" w:ascii="方正仿宋_GBK" w:hAnsi="方正仿宋_GBK" w:eastAsia="方正仿宋_GBK" w:cs="方正仿宋_GBK"/>
          <w:color w:val="auto"/>
          <w:spacing w:val="6"/>
          <w:kern w:val="0"/>
          <w:sz w:val="32"/>
          <w:szCs w:val="32"/>
          <w:highlight w:val="none"/>
          <w:lang w:val="en-US" w:eastAsia="zh-CN" w:bidi="ar"/>
        </w:rPr>
        <w:t>标准；接受有关部门</w:t>
      </w:r>
      <w:r>
        <w:rPr>
          <w:rFonts w:hint="eastAsia" w:ascii="方正仿宋_GBK" w:hAnsi="方正仿宋_GBK" w:eastAsia="方正仿宋_GBK" w:cs="方正仿宋_GBK"/>
          <w:color w:val="auto"/>
          <w:spacing w:val="6"/>
          <w:kern w:val="0"/>
          <w:sz w:val="32"/>
          <w:szCs w:val="32"/>
          <w:highlight w:val="none"/>
          <w:lang w:val="en-US" w:eastAsia="zh-CN" w:bidi="ar"/>
        </w:rPr>
        <w:t>实时</w:t>
      </w:r>
      <w:r>
        <w:rPr>
          <w:rFonts w:hint="default" w:ascii="方正仿宋_GBK" w:hAnsi="方正仿宋_GBK" w:eastAsia="方正仿宋_GBK" w:cs="方正仿宋_GBK"/>
          <w:color w:val="auto"/>
          <w:spacing w:val="6"/>
          <w:kern w:val="0"/>
          <w:sz w:val="32"/>
          <w:szCs w:val="32"/>
          <w:highlight w:val="none"/>
          <w:lang w:val="en-US" w:eastAsia="zh-CN" w:bidi="ar"/>
        </w:rPr>
        <w:t>监督和</w:t>
      </w:r>
      <w:r>
        <w:rPr>
          <w:rFonts w:hint="eastAsia" w:ascii="方正仿宋_GBK" w:hAnsi="方正仿宋_GBK" w:eastAsia="方正仿宋_GBK" w:cs="方正仿宋_GBK"/>
          <w:color w:val="auto"/>
          <w:spacing w:val="6"/>
          <w:kern w:val="0"/>
          <w:sz w:val="32"/>
          <w:szCs w:val="32"/>
          <w:highlight w:val="none"/>
          <w:lang w:val="en-US" w:eastAsia="zh-CN" w:bidi="ar"/>
        </w:rPr>
        <w:t>定期</w:t>
      </w:r>
      <w:r>
        <w:rPr>
          <w:rFonts w:hint="default" w:ascii="方正仿宋_GBK" w:hAnsi="方正仿宋_GBK" w:eastAsia="方正仿宋_GBK" w:cs="方正仿宋_GBK"/>
          <w:color w:val="auto"/>
          <w:spacing w:val="6"/>
          <w:kern w:val="0"/>
          <w:sz w:val="32"/>
          <w:szCs w:val="32"/>
          <w:highlight w:val="none"/>
          <w:lang w:val="en-US" w:eastAsia="zh-CN" w:bidi="ar"/>
        </w:rPr>
        <w:t>检查，确保项目按计划完成。</w:t>
      </w:r>
    </w:p>
    <w:p>
      <w:pPr>
        <w:keepNext w:val="0"/>
        <w:keepLines w:val="0"/>
        <w:pageBreakBefore w:val="0"/>
        <w:widowControl/>
        <w:kinsoku/>
        <w:wordWrap/>
        <w:overflowPunct w:val="0"/>
        <w:topLinePunct w:val="0"/>
        <w:autoSpaceDE w:val="0"/>
        <w:autoSpaceDN w:val="0"/>
        <w:bidi w:val="0"/>
        <w:adjustRightInd w:val="0"/>
        <w:snapToGrid/>
        <w:spacing w:line="570" w:lineRule="exact"/>
        <w:ind w:firstLine="643" w:firstLineChars="200"/>
        <w:jc w:val="both"/>
        <w:textAlignment w:val="baseline"/>
        <w:outlineLvl w:val="1"/>
        <w:rPr>
          <w:rFonts w:hint="eastAsia" w:ascii="方正楷体_GBK" w:hAnsi="方正楷体_GBK" w:eastAsia="方正楷体_GBK" w:cs="方正楷体_GBK"/>
          <w:b/>
          <w:color w:val="auto"/>
          <w:sz w:val="32"/>
          <w:szCs w:val="32"/>
          <w:highlight w:val="none"/>
        </w:rPr>
      </w:pPr>
      <w:bookmarkStart w:id="70" w:name="_Toc30673_WPSOffice_Level2"/>
      <w:bookmarkStart w:id="71" w:name="_Toc6508"/>
      <w:bookmarkStart w:id="72" w:name="_Toc25978"/>
      <w:bookmarkStart w:id="73" w:name="_Toc9996"/>
      <w:r>
        <w:rPr>
          <w:rFonts w:hint="eastAsia" w:ascii="方正楷体_GBK" w:hAnsi="方正楷体_GBK" w:eastAsia="方正楷体_GBK" w:cs="方正楷体_GBK"/>
          <w:b/>
          <w:color w:val="auto"/>
          <w:sz w:val="32"/>
          <w:szCs w:val="32"/>
          <w:highlight w:val="none"/>
        </w:rPr>
        <w:t>（</w:t>
      </w:r>
      <w:r>
        <w:rPr>
          <w:rFonts w:hint="eastAsia" w:ascii="方正楷体_GBK" w:hAnsi="方正楷体_GBK" w:eastAsia="方正楷体_GBK" w:cs="方正楷体_GBK"/>
          <w:b/>
          <w:color w:val="auto"/>
          <w:sz w:val="32"/>
          <w:szCs w:val="32"/>
          <w:highlight w:val="none"/>
          <w:lang w:eastAsia="zh-CN"/>
        </w:rPr>
        <w:t>二</w:t>
      </w:r>
      <w:r>
        <w:rPr>
          <w:rFonts w:hint="eastAsia" w:ascii="方正楷体_GBK" w:hAnsi="方正楷体_GBK" w:eastAsia="方正楷体_GBK" w:cs="方正楷体_GBK"/>
          <w:b/>
          <w:color w:val="auto"/>
          <w:sz w:val="32"/>
          <w:szCs w:val="32"/>
          <w:highlight w:val="none"/>
        </w:rPr>
        <w:t>）项目绩效目标</w:t>
      </w:r>
      <w:bookmarkEnd w:id="70"/>
      <w:bookmarkEnd w:id="71"/>
    </w:p>
    <w:bookmarkEnd w:id="72"/>
    <w:bookmarkEnd w:id="73"/>
    <w:p>
      <w:pPr>
        <w:keepNext w:val="0"/>
        <w:keepLines w:val="0"/>
        <w:pageBreakBefore w:val="0"/>
        <w:widowControl/>
        <w:kinsoku/>
        <w:wordWrap/>
        <w:overflowPunct w:val="0"/>
        <w:topLinePunct w:val="0"/>
        <w:autoSpaceDE w:val="0"/>
        <w:autoSpaceDN w:val="0"/>
        <w:bidi w:val="0"/>
        <w:adjustRightInd w:val="0"/>
        <w:snapToGrid/>
        <w:spacing w:line="570" w:lineRule="exact"/>
        <w:ind w:firstLine="643" w:firstLineChars="200"/>
        <w:jc w:val="both"/>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rPr>
      </w:pPr>
      <w:bookmarkStart w:id="74" w:name="_Toc2832"/>
      <w:r>
        <w:rPr>
          <w:rFonts w:hint="eastAsia" w:ascii="方正仿宋_GBK" w:hAnsi="方正仿宋_GBK" w:eastAsia="方正仿宋_GBK" w:cs="方正仿宋_GBK"/>
          <w:b/>
          <w:color w:val="auto"/>
          <w:kern w:val="0"/>
          <w:sz w:val="32"/>
          <w:szCs w:val="32"/>
          <w:highlight w:val="none"/>
          <w:lang w:bidi="ar"/>
        </w:rPr>
        <w:t>1.总</w:t>
      </w:r>
      <w:r>
        <w:rPr>
          <w:rFonts w:hint="eastAsia" w:ascii="方正仿宋_GBK" w:hAnsi="方正仿宋_GBK" w:eastAsia="方正仿宋_GBK" w:cs="方正仿宋_GBK"/>
          <w:b/>
          <w:color w:val="auto"/>
          <w:kern w:val="0"/>
          <w:sz w:val="32"/>
          <w:szCs w:val="32"/>
          <w:highlight w:val="none"/>
          <w:lang w:eastAsia="zh-CN" w:bidi="ar"/>
        </w:rPr>
        <w:t>体</w:t>
      </w:r>
      <w:r>
        <w:rPr>
          <w:rFonts w:hint="eastAsia" w:ascii="方正仿宋_GBK" w:hAnsi="方正仿宋_GBK" w:eastAsia="方正仿宋_GBK" w:cs="方正仿宋_GBK"/>
          <w:b/>
          <w:color w:val="auto"/>
          <w:kern w:val="0"/>
          <w:sz w:val="32"/>
          <w:szCs w:val="32"/>
          <w:highlight w:val="none"/>
          <w:lang w:bidi="ar"/>
        </w:rPr>
        <w:t>目标</w:t>
      </w:r>
      <w:bookmarkEnd w:id="74"/>
    </w:p>
    <w:p>
      <w:pPr>
        <w:pStyle w:val="18"/>
        <w:keepNext w:val="0"/>
        <w:keepLines w:val="0"/>
        <w:pageBreakBefore w:val="0"/>
        <w:widowControl/>
        <w:kinsoku/>
        <w:wordWrap/>
        <w:overflowPunct/>
        <w:topLinePunct w:val="0"/>
        <w:autoSpaceDE/>
        <w:autoSpaceDN/>
        <w:bidi w:val="0"/>
        <w:adjustRightInd/>
        <w:snapToGrid/>
        <w:spacing w:line="570" w:lineRule="exact"/>
        <w:ind w:firstLine="664" w:firstLineChars="200"/>
        <w:jc w:val="both"/>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该项目根据《关于下达2020-2021年国有企业退休人员社会化管理中央财政补助资金（清算）的通知》（喀地财企〔2021〕27号）文件，下达资金2.3241万元，《关于提前下达2022年国有企业退休人员社会化管理补助资金的通知》（喀地财企〔2022〕3号）下达预算资金2.0540万元，主要用于对国企移交至我县的退休人员统一由乡镇（社区）管理，由财政安排预算对接收退休人员的乡镇（社区）进行经费补助，确保国有企业退休人员100%移交乡镇（社区），减轻国有企业负担。</w:t>
      </w:r>
    </w:p>
    <w:p>
      <w:pPr>
        <w:keepNext w:val="0"/>
        <w:keepLines w:val="0"/>
        <w:pageBreakBefore w:val="0"/>
        <w:widowControl/>
        <w:kinsoku/>
        <w:wordWrap/>
        <w:overflowPunct w:val="0"/>
        <w:topLinePunct w:val="0"/>
        <w:autoSpaceDE w:val="0"/>
        <w:autoSpaceDN w:val="0"/>
        <w:bidi w:val="0"/>
        <w:adjustRightInd w:val="0"/>
        <w:snapToGrid/>
        <w:spacing w:line="570" w:lineRule="exact"/>
        <w:ind w:firstLine="643" w:firstLineChars="200"/>
        <w:jc w:val="both"/>
        <w:textAlignment w:val="baseline"/>
        <w:outlineLvl w:val="2"/>
        <w:rPr>
          <w:rFonts w:hint="eastAsia" w:ascii="方正仿宋_GBK" w:hAnsi="方正仿宋_GBK" w:eastAsia="方正仿宋_GBK" w:cs="方正仿宋_GBK"/>
          <w:b/>
          <w:bCs w:val="0"/>
          <w:color w:val="auto"/>
          <w:kern w:val="0"/>
          <w:sz w:val="32"/>
          <w:szCs w:val="32"/>
          <w:highlight w:val="none"/>
          <w:lang w:val="en-US" w:eastAsia="zh-CN" w:bidi="ar"/>
        </w:rPr>
      </w:pPr>
      <w:bookmarkStart w:id="75" w:name="_Toc12835"/>
      <w:r>
        <w:rPr>
          <w:rFonts w:hint="eastAsia" w:ascii="方正仿宋_GBK" w:hAnsi="方正仿宋_GBK" w:eastAsia="方正仿宋_GBK" w:cs="方正仿宋_GBK"/>
          <w:b/>
          <w:bCs w:val="0"/>
          <w:color w:val="auto"/>
          <w:kern w:val="0"/>
          <w:sz w:val="32"/>
          <w:szCs w:val="32"/>
          <w:highlight w:val="none"/>
          <w:lang w:val="en-US" w:eastAsia="zh-CN" w:bidi="ar"/>
        </w:rPr>
        <w:t>2.阶段性目标</w:t>
      </w:r>
      <w:bookmarkEnd w:id="75"/>
    </w:p>
    <w:p>
      <w:pPr>
        <w:pStyle w:val="5"/>
        <w:pageBreakBefore w:val="0"/>
        <w:kinsoku/>
        <w:wordWrap/>
        <w:topLinePunct w:val="0"/>
        <w:autoSpaceDE/>
        <w:bidi w:val="0"/>
        <w:spacing w:line="570" w:lineRule="exact"/>
        <w:ind w:firstLine="643"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（1）前期准备：</w:t>
      </w:r>
      <w:r>
        <w:rPr>
          <w:rFonts w:hint="eastAsia" w:ascii="方正仿宋_GBK" w:hAnsi="方正仿宋_GBK" w:eastAsia="方正仿宋_GBK" w:cs="方正仿宋_GBK"/>
          <w:color w:val="auto"/>
          <w:sz w:val="32"/>
          <w:szCs w:val="32"/>
          <w:highlight w:val="none"/>
          <w:lang w:eastAsia="zh-CN"/>
        </w:rPr>
        <w:t>通过制定伽师县</w:t>
      </w:r>
      <w:r>
        <w:rPr>
          <w:rFonts w:hint="eastAsia" w:ascii="方正仿宋_GBK" w:hAnsi="方正仿宋_GBK" w:eastAsia="方正仿宋_GBK" w:cs="方正仿宋_GBK"/>
          <w:color w:val="auto"/>
          <w:sz w:val="32"/>
          <w:szCs w:val="32"/>
          <w:highlight w:val="none"/>
          <w:lang w:val="en-US" w:eastAsia="zh-CN"/>
        </w:rPr>
        <w:t>2022年国有企业退休人员社会化服务</w:t>
      </w:r>
      <w:r>
        <w:rPr>
          <w:rFonts w:hint="eastAsia" w:ascii="方正仿宋_GBK" w:hAnsi="方正仿宋_GBK" w:eastAsia="方正仿宋_GBK" w:cs="方正仿宋_GBK"/>
          <w:color w:val="auto"/>
          <w:sz w:val="32"/>
          <w:szCs w:val="32"/>
          <w:highlight w:val="none"/>
          <w:lang w:eastAsia="zh-CN"/>
        </w:rPr>
        <w:t>项目实施方案，经项目负责人审核通过后，有序开展后续工作。</w:t>
      </w:r>
    </w:p>
    <w:p>
      <w:pPr>
        <w:pStyle w:val="5"/>
        <w:pageBreakBefore w:val="0"/>
        <w:kinsoku/>
        <w:wordWrap/>
        <w:topLinePunct w:val="0"/>
        <w:autoSpaceDE/>
        <w:bidi w:val="0"/>
        <w:spacing w:line="570" w:lineRule="exact"/>
        <w:ind w:firstLine="643"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（2）组织实施：</w:t>
      </w:r>
      <w:r>
        <w:rPr>
          <w:rFonts w:hint="eastAsia" w:ascii="方正仿宋_GBK" w:hAnsi="方正仿宋_GBK" w:eastAsia="方正仿宋_GBK" w:cs="方正仿宋_GBK"/>
          <w:color w:val="auto"/>
          <w:sz w:val="32"/>
          <w:szCs w:val="32"/>
          <w:highlight w:val="none"/>
          <w:lang w:eastAsia="zh-CN"/>
        </w:rPr>
        <w:t>资金到位之后根据项目要求实施项目。项目责任人按照项目实施方案要求逐一进行项目部署安排，提高项目质量及效率。</w:t>
      </w:r>
    </w:p>
    <w:p>
      <w:pPr>
        <w:pStyle w:val="5"/>
        <w:pageBreakBefore w:val="0"/>
        <w:kinsoku/>
        <w:wordWrap/>
        <w:topLinePunct w:val="0"/>
        <w:autoSpaceDE/>
        <w:bidi w:val="0"/>
        <w:spacing w:line="570" w:lineRule="exact"/>
        <w:ind w:firstLine="643" w:firstLineChars="200"/>
        <w:jc w:val="both"/>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eastAsia="zh-CN"/>
        </w:rPr>
        <w:t>）项目投入：</w:t>
      </w:r>
      <w:r>
        <w:rPr>
          <w:rFonts w:hint="eastAsia" w:ascii="方正仿宋_GBK" w:hAnsi="方正仿宋_GBK" w:eastAsia="方正仿宋_GBK" w:cs="方正仿宋_GBK"/>
          <w:color w:val="auto"/>
          <w:sz w:val="32"/>
          <w:szCs w:val="32"/>
          <w:highlight w:val="none"/>
          <w:lang w:eastAsia="zh-CN"/>
        </w:rPr>
        <w:t>本项目预算安排总额为</w:t>
      </w:r>
      <w:r>
        <w:rPr>
          <w:rFonts w:hint="eastAsia" w:ascii="方正仿宋_GBK" w:hAnsi="方正仿宋_GBK" w:eastAsia="方正仿宋_GBK" w:cs="方正仿宋_GBK"/>
          <w:color w:val="auto"/>
          <w:sz w:val="32"/>
          <w:szCs w:val="32"/>
          <w:highlight w:val="none"/>
          <w:lang w:val="en-US" w:eastAsia="zh-CN"/>
        </w:rPr>
        <w:t>4.38万元，为</w:t>
      </w:r>
      <w:r>
        <w:rPr>
          <w:rFonts w:hint="eastAsia" w:ascii="方正仿宋_GBK" w:hAnsi="方正仿宋_GBK" w:eastAsia="方正仿宋_GBK" w:cs="方正仿宋_GBK"/>
          <w:color w:val="auto"/>
          <w:sz w:val="32"/>
          <w:szCs w:val="32"/>
          <w:highlight w:val="none"/>
          <w:lang w:eastAsia="zh-CN"/>
        </w:rPr>
        <w:t>国有资本经营预算</w:t>
      </w:r>
      <w:r>
        <w:rPr>
          <w:rFonts w:hint="default" w:ascii="方正仿宋_GBK" w:hAnsi="方正仿宋_GBK" w:eastAsia="方正仿宋_GBK" w:cs="方正仿宋_GBK"/>
          <w:color w:val="auto"/>
          <w:sz w:val="32"/>
          <w:szCs w:val="32"/>
          <w:highlight w:val="none"/>
          <w:lang w:val="en-US" w:eastAsia="zh-CN"/>
        </w:rPr>
        <w:t>资金</w:t>
      </w:r>
      <w:r>
        <w:rPr>
          <w:rFonts w:hint="eastAsia" w:ascii="方正仿宋_GBK" w:hAnsi="方正仿宋_GBK" w:eastAsia="方正仿宋_GBK" w:cs="方正仿宋_GBK"/>
          <w:color w:val="auto"/>
          <w:sz w:val="32"/>
          <w:szCs w:val="32"/>
          <w:highlight w:val="none"/>
          <w:lang w:val="en-US" w:eastAsia="zh-CN"/>
        </w:rPr>
        <w:t>。</w:t>
      </w:r>
    </w:p>
    <w:p>
      <w:pPr>
        <w:pStyle w:val="18"/>
        <w:keepNext w:val="0"/>
        <w:keepLines w:val="0"/>
        <w:pageBreakBefore w:val="0"/>
        <w:widowControl/>
        <w:kinsoku/>
        <w:wordWrap/>
        <w:overflowPunct/>
        <w:topLinePunct w:val="0"/>
        <w:autoSpaceDE/>
        <w:autoSpaceDN/>
        <w:bidi w:val="0"/>
        <w:adjustRightInd/>
        <w:snapToGrid/>
        <w:spacing w:line="570" w:lineRule="exact"/>
        <w:ind w:firstLine="667" w:firstLineChars="200"/>
        <w:textAlignment w:val="auto"/>
        <w:rPr>
          <w:rFonts w:hint="eastAsia" w:ascii="方正仿宋_GBK" w:hAnsi="方正仿宋_GBK" w:eastAsia="方正仿宋_GBK" w:cs="方正仿宋_GBK"/>
          <w:b/>
          <w:bCs/>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lang w:eastAsia="zh-CN"/>
        </w:rPr>
        <w:t>）项目产出及效果：</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77"/>
        <w:gridCol w:w="978"/>
        <w:gridCol w:w="1278"/>
        <w:gridCol w:w="2015"/>
        <w:gridCol w:w="2475"/>
        <w:gridCol w:w="1130"/>
        <w:gridCol w:w="58"/>
        <w:gridCol w:w="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000" w:type="pct"/>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318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伽师县2022年国有企业退休人员社会化服务项目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318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伽师县财政局（本级）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1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年度资金总额：          </w:t>
            </w:r>
          </w:p>
        </w:tc>
        <w:tc>
          <w:tcPr>
            <w:tcW w:w="20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其中：财政拨款    </w:t>
            </w:r>
          </w:p>
        </w:tc>
        <w:tc>
          <w:tcPr>
            <w:tcW w:w="20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81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11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其他资金   </w:t>
            </w:r>
          </w:p>
        </w:tc>
        <w:tc>
          <w:tcPr>
            <w:tcW w:w="20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体</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目</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标</w:t>
            </w:r>
          </w:p>
        </w:tc>
        <w:tc>
          <w:tcPr>
            <w:tcW w:w="4487"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4487"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根据(喀地财企〔2021〕27号)文件，下达资金2.3241万元，（喀地财企〔2022〕3号）下达预算资金2.0540万元，主要用于对央企移交至我县的退休人员统一由街道社区管理，由财政安排预算接收退休人员的街道和社区进行经费补助，使国有企业退休人员100%移交，企业不再承担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5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i w:val="0"/>
                <w:color w:val="000000"/>
                <w:sz w:val="20"/>
                <w:szCs w:val="20"/>
                <w:highlight w:val="none"/>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一级指标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绩效指标</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移交街道和社区实行社会化管理的国有企业已退休人员数量（人）</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移交街道和社区实行社会化管理的比例（%）</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国有企业已退休人员管理服务工作与原企业分离的比例（%）</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国有企业新办理退休人员管理服务工作与原企业分离的比例（%）</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国有企业退休人员移交街道社区实名制台账准确率（%）</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资金使用合规率（%）</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改革任务完成及时率（%）</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经费保障及时率（%）</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项目完成时间</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2022年12月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移交街道和社区实行社会化管理的国有企业已退休当年人均经费额（元/人）</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移交街道和社区实行社会化管理的国有企业已退休2020年-2021年人均经费补差额（元/人）</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=294.19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国有企业不承担移交后的退休人员社会化管理服务费用的比例（%）</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保障国有企业退休人员晚年生活多姿多彩</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有效保障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生态效益指标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color w:val="000000"/>
                <w:sz w:val="20"/>
                <w:szCs w:val="20"/>
                <w:highlight w:val="none"/>
                <w:u w:val="none"/>
              </w:rPr>
            </w:pP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可持续影响指标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提供社会化管理服务年限（年）</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color w:val="000000"/>
                <w:sz w:val="20"/>
                <w:szCs w:val="20"/>
                <w:highlight w:val="none"/>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满意度指标</w:t>
            </w:r>
          </w:p>
        </w:tc>
        <w:tc>
          <w:tcPr>
            <w:tcW w:w="73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满意度指标</w:t>
            </w:r>
          </w:p>
        </w:tc>
        <w:tc>
          <w:tcPr>
            <w:tcW w:w="25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国有企业退休人员满意度（%）</w:t>
            </w:r>
          </w:p>
        </w:tc>
        <w:tc>
          <w:tcPr>
            <w:tcW w:w="614"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1" w:type="pct"/>
            <w:gridSpan w:val="2"/>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项目负责人：</w:t>
            </w:r>
          </w:p>
        </w:tc>
        <w:tc>
          <w:tcPr>
            <w:tcW w:w="737" w:type="pct"/>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庹徳群</w:t>
            </w:r>
          </w:p>
        </w:tc>
        <w:tc>
          <w:tcPr>
            <w:tcW w:w="1153" w:type="pct"/>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i w:val="0"/>
                <w:color w:val="000000"/>
                <w:sz w:val="20"/>
                <w:szCs w:val="20"/>
                <w:highlight w:val="none"/>
                <w:u w:val="none"/>
              </w:rPr>
            </w:pPr>
          </w:p>
        </w:tc>
        <w:tc>
          <w:tcPr>
            <w:tcW w:w="141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项目负责人联系电话：</w:t>
            </w:r>
          </w:p>
        </w:tc>
        <w:tc>
          <w:tcPr>
            <w:tcW w:w="513" w:type="pct"/>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13899177896</w:t>
            </w:r>
          </w:p>
        </w:tc>
        <w:tc>
          <w:tcPr>
            <w:tcW w:w="50" w:type="pct"/>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i w:val="0"/>
                <w:color w:val="000000"/>
                <w:sz w:val="20"/>
                <w:szCs w:val="20"/>
                <w:highlight w:val="none"/>
                <w:u w:val="none"/>
              </w:rPr>
            </w:pPr>
          </w:p>
        </w:tc>
        <w:tc>
          <w:tcPr>
            <w:tcW w:w="50" w:type="pct"/>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1" w:type="pct"/>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 办 人：</w:t>
            </w:r>
          </w:p>
        </w:tc>
        <w:tc>
          <w:tcPr>
            <w:tcW w:w="737"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高新龙</w:t>
            </w:r>
          </w:p>
        </w:tc>
        <w:tc>
          <w:tcPr>
            <w:tcW w:w="115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i w:val="0"/>
                <w:color w:val="000000"/>
                <w:sz w:val="20"/>
                <w:szCs w:val="20"/>
                <w:highlight w:val="none"/>
                <w:u w:val="none"/>
              </w:rPr>
            </w:pPr>
          </w:p>
        </w:tc>
        <w:tc>
          <w:tcPr>
            <w:tcW w:w="1412"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经办人联系电话：</w:t>
            </w:r>
          </w:p>
        </w:tc>
        <w:tc>
          <w:tcPr>
            <w:tcW w:w="513"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18099541530</w:t>
            </w:r>
          </w:p>
        </w:tc>
        <w:tc>
          <w:tcPr>
            <w:tcW w:w="5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i w:val="0"/>
                <w:color w:val="000000"/>
                <w:sz w:val="20"/>
                <w:szCs w:val="20"/>
                <w:highlight w:val="none"/>
                <w:u w:val="none"/>
              </w:rPr>
            </w:pPr>
          </w:p>
        </w:tc>
        <w:tc>
          <w:tcPr>
            <w:tcW w:w="50" w:type="pct"/>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rPr>
                <w:rFonts w:hint="eastAsia" w:ascii="宋体" w:hAnsi="宋体" w:eastAsia="宋体" w:cs="宋体"/>
                <w:i w:val="0"/>
                <w:color w:val="000000"/>
                <w:sz w:val="20"/>
                <w:szCs w:val="20"/>
                <w:highlight w:val="none"/>
                <w:u w:val="none"/>
              </w:rPr>
            </w:pPr>
          </w:p>
        </w:tc>
      </w:tr>
    </w:tbl>
    <w:p>
      <w:pPr>
        <w:pStyle w:val="19"/>
        <w:keepNext w:val="0"/>
        <w:keepLines w:val="0"/>
        <w:pageBreakBefore w:val="0"/>
        <w:widowControl/>
        <w:numPr>
          <w:ilvl w:val="0"/>
          <w:numId w:val="4"/>
        </w:numPr>
        <w:tabs>
          <w:tab w:val="left" w:pos="5330"/>
        </w:tabs>
        <w:kinsoku/>
        <w:wordWrap/>
        <w:topLinePunct w:val="0"/>
        <w:bidi w:val="0"/>
        <w:snapToGrid/>
        <w:spacing w:line="570" w:lineRule="exact"/>
        <w:ind w:left="0" w:firstLine="640" w:firstLineChars="200"/>
        <w:jc w:val="both"/>
        <w:outlineLvl w:val="0"/>
        <w:rPr>
          <w:rFonts w:hint="eastAsia" w:ascii="方正黑体_GBK" w:hAnsi="方正黑体_GBK" w:eastAsia="方正黑体_GBK" w:cs="方正黑体_GBK"/>
          <w:b w:val="0"/>
          <w:bCs/>
          <w:color w:val="auto"/>
          <w:highlight w:val="none"/>
        </w:rPr>
      </w:pPr>
      <w:bookmarkStart w:id="76" w:name="_Toc30673_WPSOffice_Level1"/>
      <w:bookmarkStart w:id="77" w:name="_Toc18984"/>
      <w:bookmarkStart w:id="78" w:name="_Toc14007"/>
      <w:bookmarkStart w:id="79" w:name="_Toc23625"/>
      <w:bookmarkStart w:id="80" w:name="_Toc1231"/>
      <w:bookmarkStart w:id="81" w:name="_Toc8498"/>
      <w:bookmarkStart w:id="82" w:name="_Toc24619"/>
      <w:bookmarkStart w:id="83" w:name="_Toc9701"/>
      <w:bookmarkStart w:id="84" w:name="_Toc29621"/>
      <w:bookmarkStart w:id="85" w:name="_Toc24478"/>
      <w:r>
        <w:rPr>
          <w:rFonts w:hint="eastAsia" w:ascii="方正黑体_GBK" w:hAnsi="方正黑体_GBK" w:eastAsia="方正黑体_GBK" w:cs="方正黑体_GBK"/>
          <w:b w:val="0"/>
          <w:bCs/>
          <w:highlight w:val="none"/>
        </w:rPr>
        <w:t>绩效评价工作开展情况</w:t>
      </w:r>
      <w:bookmarkEnd w:id="76"/>
    </w:p>
    <w:p>
      <w:pPr>
        <w:pStyle w:val="29"/>
        <w:pageBreakBefore w:val="0"/>
        <w:kinsoku/>
        <w:wordWrap/>
        <w:topLinePunct w:val="0"/>
        <w:autoSpaceDE/>
        <w:bidi w:val="0"/>
        <w:spacing w:before="0" w:after="0" w:line="570" w:lineRule="exact"/>
        <w:ind w:left="480" w:leftChars="200" w:firstLine="0" w:firstLineChars="0"/>
        <w:jc w:val="both"/>
        <w:rPr>
          <w:rFonts w:hint="eastAsia" w:ascii="方正楷体_GBK" w:hAnsi="方正楷体_GBK" w:eastAsia="方正楷体_GBK" w:cs="方正楷体_GBK"/>
          <w:b/>
          <w:bCs/>
          <w:color w:val="auto"/>
          <w:sz w:val="32"/>
          <w:highlight w:val="none"/>
        </w:rPr>
      </w:pPr>
      <w:bookmarkStart w:id="86" w:name="_Toc14270_WPSOffice_Level2"/>
      <w:bookmarkStart w:id="87" w:name="_Toc68364661"/>
      <w:bookmarkStart w:id="88" w:name="_Toc11023"/>
      <w:r>
        <w:rPr>
          <w:rFonts w:hint="eastAsia" w:ascii="方正楷体_GBK" w:hAnsi="方正楷体_GBK" w:eastAsia="方正楷体_GBK" w:cs="方正楷体_GBK"/>
          <w:b/>
          <w:bCs/>
          <w:color w:val="auto"/>
          <w:sz w:val="32"/>
          <w:highlight w:val="none"/>
        </w:rPr>
        <w:t>（一）绩效评价目的、对象和范围</w:t>
      </w:r>
      <w:bookmarkEnd w:id="86"/>
      <w:bookmarkEnd w:id="87"/>
    </w:p>
    <w:p>
      <w:pPr>
        <w:pStyle w:val="25"/>
        <w:pageBreakBefore w:val="0"/>
        <w:kinsoku/>
        <w:wordWrap/>
        <w:topLinePunct w:val="0"/>
        <w:autoSpaceDE/>
        <w:bidi w:val="0"/>
        <w:spacing w:line="570" w:lineRule="exact"/>
        <w:ind w:firstLine="643" w:firstLineChars="200"/>
        <w:jc w:val="both"/>
        <w:outlineLvl w:val="2"/>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1.绩效评价目的</w:t>
      </w:r>
    </w:p>
    <w:p>
      <w:pPr>
        <w:pStyle w:val="25"/>
        <w:pageBreakBefore w:val="0"/>
        <w:kinsoku/>
        <w:wordWrap/>
        <w:topLinePunct w:val="0"/>
        <w:autoSpaceDE/>
        <w:bidi w:val="0"/>
        <w:spacing w:line="570" w:lineRule="exact"/>
        <w:ind w:firstLine="640" w:firstLineChars="200"/>
        <w:jc w:val="both"/>
        <w:outlineLvl w:val="2"/>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本次绩效评价遵循财政部《项目支出绩效评价管理办法》（财预〔2020〕10 号）和自治区财政厅《自治区财政支出绩效评价管理暂行办法》（新财预〔2018〕189 号）等相关政策文件与规定，旨在评价财政项目实施前期、过程及效果，对财政项目支出的经济性、效率性、效益性和公平性进行客观、公正的测量、分析和评判。</w:t>
      </w:r>
    </w:p>
    <w:p>
      <w:pPr>
        <w:pStyle w:val="25"/>
        <w:pageBreakBefore w:val="0"/>
        <w:kinsoku/>
        <w:wordWrap/>
        <w:topLinePunct w:val="0"/>
        <w:autoSpaceDE/>
        <w:bidi w:val="0"/>
        <w:spacing w:line="570" w:lineRule="exact"/>
        <w:ind w:left="0" w:leftChars="0" w:firstLine="640" w:firstLineChars="200"/>
        <w:jc w:val="both"/>
        <w:outlineLvl w:val="2"/>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25"/>
        <w:pageBreakBefore w:val="0"/>
        <w:kinsoku/>
        <w:wordWrap/>
        <w:topLinePunct w:val="0"/>
        <w:autoSpaceDE/>
        <w:bidi w:val="0"/>
        <w:spacing w:line="570" w:lineRule="exact"/>
        <w:ind w:firstLine="643" w:firstLineChars="200"/>
        <w:jc w:val="both"/>
        <w:outlineLvl w:val="2"/>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2.绩效评价对象</w:t>
      </w:r>
    </w:p>
    <w:p>
      <w:pPr>
        <w:pStyle w:val="25"/>
        <w:pageBreakBefore w:val="0"/>
        <w:numPr>
          <w:ilvl w:val="0"/>
          <w:numId w:val="0"/>
        </w:numPr>
        <w:kinsoku/>
        <w:wordWrap/>
        <w:topLinePunct w:val="0"/>
        <w:autoSpaceDE/>
        <w:bidi w:val="0"/>
        <w:spacing w:line="570" w:lineRule="exact"/>
        <w:ind w:firstLine="640" w:firstLineChars="200"/>
        <w:jc w:val="both"/>
        <w:outlineLvl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本次绩效评价遵循财政部《项目支出绩效评价管理办法》（财预〔2020〕10号）和自治区财政厅《自治区财政支出绩效评价管理暂行办法》（新财预〔2018〕189号）等相关政策文件与规定，本次评价对象为</w:t>
      </w:r>
      <w:r>
        <w:rPr>
          <w:rFonts w:hint="eastAsia" w:ascii="方正仿宋_GBK" w:hAnsi="方正仿宋_GBK" w:eastAsia="方正仿宋_GBK" w:cs="方正仿宋_GBK"/>
          <w:color w:val="auto"/>
          <w:sz w:val="32"/>
          <w:szCs w:val="32"/>
          <w:highlight w:val="none"/>
          <w:lang w:eastAsia="zh-CN"/>
        </w:rPr>
        <w:t>伽师县</w:t>
      </w:r>
      <w:r>
        <w:rPr>
          <w:rFonts w:hint="eastAsia" w:ascii="方正仿宋_GBK" w:hAnsi="方正仿宋_GBK" w:eastAsia="方正仿宋_GBK" w:cs="方正仿宋_GBK"/>
          <w:color w:val="auto"/>
          <w:sz w:val="32"/>
          <w:szCs w:val="32"/>
          <w:highlight w:val="none"/>
          <w:lang w:val="en-US" w:eastAsia="zh-CN"/>
        </w:rPr>
        <w:t>2022年</w:t>
      </w:r>
      <w:r>
        <w:rPr>
          <w:rFonts w:hint="eastAsia" w:ascii="方正仿宋_GBK" w:hAnsi="方正仿宋_GBK" w:eastAsia="方正仿宋_GBK" w:cs="方正仿宋_GBK"/>
          <w:color w:val="auto"/>
          <w:sz w:val="32"/>
          <w:szCs w:val="32"/>
          <w:highlight w:val="none"/>
          <w:lang w:eastAsia="zh-CN"/>
        </w:rPr>
        <w:t>国有企业退休人员社会化服务项目</w:t>
      </w:r>
      <w:r>
        <w:rPr>
          <w:rFonts w:hint="eastAsia" w:ascii="方正仿宋_GBK" w:hAnsi="方正仿宋_GBK" w:eastAsia="方正仿宋_GBK" w:cs="方正仿宋_GBK"/>
          <w:color w:val="auto"/>
          <w:sz w:val="32"/>
          <w:szCs w:val="32"/>
          <w:highlight w:val="none"/>
        </w:rPr>
        <w:t>，以项目支出为对象所对应的预算资金，以项目实施所带来的产出和效果为主要内容，以促进预算单位完成特定工作任务目标所组织开展的绩效评价。</w:t>
      </w:r>
    </w:p>
    <w:p>
      <w:pPr>
        <w:pStyle w:val="25"/>
        <w:pageBreakBefore w:val="0"/>
        <w:numPr>
          <w:ilvl w:val="0"/>
          <w:numId w:val="0"/>
        </w:numPr>
        <w:kinsoku/>
        <w:wordWrap/>
        <w:topLinePunct w:val="0"/>
        <w:autoSpaceDE/>
        <w:bidi w:val="0"/>
        <w:spacing w:line="570" w:lineRule="exact"/>
        <w:ind w:firstLine="643" w:firstLineChars="200"/>
        <w:jc w:val="both"/>
        <w:outlineLvl w:val="2"/>
        <w:rPr>
          <w:rFonts w:hint="eastAsia" w:ascii="方正仿宋_GBK" w:hAnsi="方正仿宋_GBK" w:eastAsia="方正仿宋_GBK" w:cs="方正仿宋_GBK"/>
          <w:i w:val="0"/>
          <w:caps w:val="0"/>
          <w:color w:val="auto"/>
          <w:spacing w:val="0"/>
          <w:sz w:val="32"/>
          <w:szCs w:val="32"/>
          <w:highlight w:val="none"/>
          <w:shd w:val="clear" w:color="auto" w:fill="FFFFFF"/>
        </w:rPr>
      </w:pP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rPr>
        <w:t>绩效评价范围</w:t>
      </w:r>
      <w:r>
        <w:rPr>
          <w:rFonts w:hint="eastAsia" w:ascii="方正仿宋_GBK" w:hAnsi="方正仿宋_GBK" w:eastAsia="方正仿宋_GBK" w:cs="方正仿宋_GBK"/>
          <w:i w:val="0"/>
          <w:caps w:val="0"/>
          <w:color w:val="auto"/>
          <w:spacing w:val="0"/>
          <w:sz w:val="32"/>
          <w:szCs w:val="32"/>
          <w:highlight w:val="none"/>
          <w:shd w:val="clear" w:color="auto" w:fill="FFFFFF"/>
        </w:rPr>
        <w:t> </w:t>
      </w:r>
    </w:p>
    <w:p>
      <w:pPr>
        <w:pStyle w:val="25"/>
        <w:pageBreakBefore w:val="0"/>
        <w:numPr>
          <w:ilvl w:val="0"/>
          <w:numId w:val="0"/>
        </w:numPr>
        <w:kinsoku/>
        <w:wordWrap/>
        <w:topLinePunct w:val="0"/>
        <w:autoSpaceDE/>
        <w:bidi w:val="0"/>
        <w:spacing w:line="570" w:lineRule="exact"/>
        <w:ind w:firstLine="640" w:firstLineChars="200"/>
        <w:jc w:val="both"/>
        <w:outlineLvl w:val="2"/>
        <w:rPr>
          <w:rFonts w:ascii="仿宋" w:hAnsi="仿宋" w:eastAsia="仿宋" w:cs="仿宋"/>
          <w:i w:val="0"/>
          <w:caps w:val="0"/>
          <w:color w:val="auto"/>
          <w:spacing w:val="0"/>
          <w:sz w:val="21"/>
          <w:szCs w:val="21"/>
          <w:highlight w:val="none"/>
          <w:shd w:val="clear" w:color="auto" w:fill="FFFFFF"/>
        </w:rPr>
      </w:pPr>
      <w:r>
        <w:rPr>
          <w:rFonts w:hint="eastAsia" w:ascii="方正仿宋_GBK" w:hAnsi="方正仿宋_GBK" w:eastAsia="方正仿宋_GBK" w:cs="方正仿宋_GBK"/>
          <w:b w:val="0"/>
          <w:bCs w:val="0"/>
          <w:color w:val="auto"/>
          <w:sz w:val="32"/>
          <w:szCs w:val="32"/>
          <w:highlight w:val="none"/>
          <w:lang w:val="en-US" w:eastAsia="zh-CN"/>
        </w:rPr>
        <w:t>本次评价范围涵盖项目总体绩效目标、各项绩效指标完成情况以及预算执行情况，覆盖项目预算资金支出的所有内容进行评价，包括项目决策、项目实施和项目成果等。</w:t>
      </w:r>
    </w:p>
    <w:p>
      <w:pPr>
        <w:pStyle w:val="29"/>
        <w:pageBreakBefore w:val="0"/>
        <w:kinsoku/>
        <w:wordWrap/>
        <w:topLinePunct w:val="0"/>
        <w:autoSpaceDE/>
        <w:bidi w:val="0"/>
        <w:spacing w:before="0" w:after="0" w:line="570" w:lineRule="exact"/>
        <w:ind w:left="0" w:leftChars="0" w:firstLine="562" w:firstLineChars="175"/>
        <w:jc w:val="both"/>
        <w:rPr>
          <w:rFonts w:hint="eastAsia" w:ascii="方正楷体_GBK" w:hAnsi="方正楷体_GBK" w:eastAsia="方正楷体_GBK" w:cs="方正楷体_GBK"/>
          <w:color w:val="auto"/>
          <w:sz w:val="32"/>
          <w:highlight w:val="none"/>
        </w:rPr>
      </w:pPr>
      <w:bookmarkStart w:id="89" w:name="_Toc28350_WPSOffice_Level2"/>
      <w:bookmarkStart w:id="90" w:name="_Toc68364662"/>
      <w:r>
        <w:rPr>
          <w:rFonts w:hint="eastAsia" w:ascii="方正楷体_GBK" w:hAnsi="方正楷体_GBK" w:eastAsia="方正楷体_GBK" w:cs="方正楷体_GBK"/>
          <w:color w:val="auto"/>
          <w:sz w:val="32"/>
          <w:highlight w:val="none"/>
        </w:rPr>
        <w:t>（二）绩效评价原则、评价指标体系、评价方法评价标准</w:t>
      </w:r>
      <w:bookmarkEnd w:id="89"/>
      <w:bookmarkEnd w:id="90"/>
    </w:p>
    <w:p>
      <w:pPr>
        <w:pStyle w:val="25"/>
        <w:pageBreakBefore w:val="0"/>
        <w:kinsoku/>
        <w:wordWrap/>
        <w:topLinePunct w:val="0"/>
        <w:autoSpaceDE/>
        <w:bidi w:val="0"/>
        <w:spacing w:line="570" w:lineRule="exact"/>
        <w:ind w:firstLine="643" w:firstLineChars="200"/>
        <w:jc w:val="both"/>
        <w:outlineLvl w:val="2"/>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1.绩效评价原则</w:t>
      </w:r>
    </w:p>
    <w:p>
      <w:pPr>
        <w:pStyle w:val="25"/>
        <w:pageBreakBefore w:val="0"/>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本次绩效评价遵循的原则包括：</w:t>
      </w:r>
    </w:p>
    <w:p>
      <w:pPr>
        <w:pStyle w:val="25"/>
        <w:pageBreakBefore w:val="0"/>
        <w:kinsoku/>
        <w:wordWrap/>
        <w:topLinePunct w:val="0"/>
        <w:autoSpaceDE/>
        <w:bidi w:val="0"/>
        <w:spacing w:line="570" w:lineRule="exact"/>
        <w:ind w:firstLine="643"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（1）科学公正。</w:t>
      </w:r>
      <w:r>
        <w:rPr>
          <w:rFonts w:hint="eastAsia" w:ascii="方正仿宋_GBK" w:hAnsi="方正仿宋_GBK" w:eastAsia="方正仿宋_GBK" w:cs="方正仿宋_GBK"/>
          <w:color w:val="auto"/>
          <w:sz w:val="32"/>
          <w:szCs w:val="32"/>
          <w:highlight w:val="none"/>
        </w:rPr>
        <w:t>绩效评价应当运用科学合理的方法，按照规范的程序，对项目绩效进行客观、公正的反映。</w:t>
      </w:r>
    </w:p>
    <w:p>
      <w:pPr>
        <w:pStyle w:val="25"/>
        <w:pageBreakBefore w:val="0"/>
        <w:kinsoku/>
        <w:wordWrap/>
        <w:topLinePunct w:val="0"/>
        <w:autoSpaceDE/>
        <w:bidi w:val="0"/>
        <w:spacing w:line="570" w:lineRule="exact"/>
        <w:ind w:firstLine="643"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（2）统筹兼顾。</w:t>
      </w:r>
      <w:r>
        <w:rPr>
          <w:rFonts w:hint="eastAsia" w:ascii="方正仿宋_GBK" w:hAnsi="方正仿宋_GBK" w:eastAsia="方正仿宋_GBK" w:cs="方正仿宋_GBK"/>
          <w:color w:val="auto"/>
          <w:sz w:val="32"/>
          <w:szCs w:val="32"/>
          <w:highlight w:val="none"/>
        </w:rPr>
        <w:t>单位自评、部门评价和财政评价应职责明确，各有侧重，相互衔接。单位自评应由项目单位自主实施，即“谁支出、谁自评”。部门评价和财政评价应在单位自评的基础上开展，必要时可委托第三方机构实施。</w:t>
      </w:r>
    </w:p>
    <w:p>
      <w:pPr>
        <w:pStyle w:val="25"/>
        <w:pageBreakBefore w:val="0"/>
        <w:kinsoku/>
        <w:wordWrap/>
        <w:topLinePunct w:val="0"/>
        <w:autoSpaceDE/>
        <w:bidi w:val="0"/>
        <w:spacing w:line="570" w:lineRule="exact"/>
        <w:ind w:firstLine="643"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（3）激励约束。</w:t>
      </w:r>
      <w:r>
        <w:rPr>
          <w:rFonts w:hint="eastAsia" w:ascii="方正仿宋_GBK" w:hAnsi="方正仿宋_GBK" w:eastAsia="方正仿宋_GBK" w:cs="方正仿宋_GBK"/>
          <w:color w:val="auto"/>
          <w:sz w:val="32"/>
          <w:szCs w:val="32"/>
          <w:highlight w:val="none"/>
        </w:rPr>
        <w:t>绩效评价结果应与预算安排、政策调整、改进管理实质性挂钩，体现奖优罚劣和激励相容导向，有效要安排、低效要压减、无效要问责。</w:t>
      </w:r>
    </w:p>
    <w:p>
      <w:pPr>
        <w:pStyle w:val="25"/>
        <w:pageBreakBefore w:val="0"/>
        <w:kinsoku/>
        <w:wordWrap/>
        <w:topLinePunct w:val="0"/>
        <w:autoSpaceDE/>
        <w:bidi w:val="0"/>
        <w:spacing w:line="570" w:lineRule="exact"/>
        <w:ind w:firstLine="643"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b/>
          <w:bCs/>
          <w:color w:val="auto"/>
          <w:sz w:val="32"/>
          <w:szCs w:val="32"/>
          <w:highlight w:val="none"/>
        </w:rPr>
        <w:t>（4）公开透明。</w:t>
      </w:r>
      <w:r>
        <w:rPr>
          <w:rFonts w:hint="eastAsia" w:ascii="方正仿宋_GBK" w:hAnsi="方正仿宋_GBK" w:eastAsia="方正仿宋_GBK" w:cs="方正仿宋_GBK"/>
          <w:color w:val="auto"/>
          <w:sz w:val="32"/>
          <w:szCs w:val="32"/>
          <w:highlight w:val="none"/>
        </w:rPr>
        <w:t>绩效评价结果应依法依规公开，并自觉接受社会监督。</w:t>
      </w:r>
    </w:p>
    <w:p>
      <w:pPr>
        <w:pStyle w:val="25"/>
        <w:pageBreakBefore w:val="0"/>
        <w:kinsoku/>
        <w:wordWrap/>
        <w:topLinePunct w:val="0"/>
        <w:autoSpaceDE/>
        <w:bidi w:val="0"/>
        <w:spacing w:line="570" w:lineRule="exact"/>
        <w:ind w:firstLine="643" w:firstLineChars="200"/>
        <w:jc w:val="both"/>
        <w:outlineLvl w:val="2"/>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2.绩效评价指标体系</w:t>
      </w:r>
    </w:p>
    <w:p>
      <w:pPr>
        <w:pStyle w:val="25"/>
        <w:pageBreakBefore w:val="0"/>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该项目财政支出绩效评价指标体系严格按照《项目支出绩效评价管理办法》（财预〔2020〕10 号）文件要求设置，指标体系设置一级指标共4 个，包括决策指标（</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%）、过程指标（20%）、</w:t>
      </w:r>
    </w:p>
    <w:p>
      <w:pPr>
        <w:pStyle w:val="25"/>
        <w:pageBreakBefore w:val="0"/>
        <w:kinsoku/>
        <w:wordWrap/>
        <w:topLinePunct w:val="0"/>
        <w:autoSpaceDE/>
        <w:bidi w:val="0"/>
        <w:spacing w:line="570" w:lineRule="exact"/>
        <w:ind w:left="0" w:leftChars="0" w:firstLine="0" w:firstLineChars="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产出指标（</w:t>
      </w:r>
      <w:r>
        <w:rPr>
          <w:rFonts w:hint="eastAsia" w:ascii="方正仿宋_GBK" w:hAnsi="方正仿宋_GBK" w:eastAsia="方正仿宋_GBK" w:cs="方正仿宋_GBK"/>
          <w:color w:val="auto"/>
          <w:sz w:val="32"/>
          <w:szCs w:val="32"/>
          <w:highlight w:val="none"/>
          <w:lang w:val="en-US" w:eastAsia="zh-CN"/>
        </w:rPr>
        <w:t>40</w:t>
      </w:r>
      <w:r>
        <w:rPr>
          <w:rFonts w:hint="eastAsia" w:ascii="方正仿宋_GBK" w:hAnsi="方正仿宋_GBK" w:eastAsia="方正仿宋_GBK" w:cs="方正仿宋_GBK"/>
          <w:color w:val="auto"/>
          <w:sz w:val="32"/>
          <w:szCs w:val="32"/>
          <w:highlight w:val="none"/>
        </w:rPr>
        <w:t>%）、效益指标（</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四类指标；主要围绕资金使用、项目管理、资源配置等方面，客观分析项目的产出和效果，从而考察项目预算定额标准的合理性，进而提出完善意见。整个评价框架构成体现从投入、过程到产出、效果和影响的绩效逻辑路径。具体指标分类如下：</w:t>
      </w:r>
      <w:r>
        <w:rPr>
          <w:rFonts w:hint="eastAsia" w:ascii="方正仿宋_GBK" w:hAnsi="方正仿宋_GBK" w:eastAsia="方正仿宋_GBK" w:cs="方正仿宋_GBK"/>
          <w:color w:val="auto"/>
          <w:sz w:val="32"/>
          <w:szCs w:val="32"/>
          <w:highlight w:val="none"/>
          <w:lang w:eastAsia="zh-CN"/>
        </w:rPr>
        <w:t>（详见附表</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pStyle w:val="25"/>
        <w:pageBreakBefore w:val="0"/>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一级指标为：决策、过程、产出、效益</w:t>
      </w:r>
      <w:r>
        <w:rPr>
          <w:rFonts w:hint="eastAsia" w:ascii="方正仿宋_GBK" w:hAnsi="方正仿宋_GBK" w:eastAsia="方正仿宋_GBK" w:cs="方正仿宋_GBK"/>
          <w:color w:val="auto"/>
          <w:sz w:val="32"/>
          <w:szCs w:val="32"/>
          <w:highlight w:val="none"/>
          <w:lang w:eastAsia="zh-CN"/>
        </w:rPr>
        <w:t>。</w:t>
      </w:r>
    </w:p>
    <w:p>
      <w:pPr>
        <w:pStyle w:val="25"/>
        <w:pageBreakBefore w:val="0"/>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二级指标为：项目立项、绩效目标、资金投入、资金管理、组织实施、产出数量、产出质量、产出时效、产出成本、项目效益</w:t>
      </w:r>
      <w:r>
        <w:rPr>
          <w:rFonts w:hint="eastAsia" w:ascii="方正仿宋_GBK" w:hAnsi="方正仿宋_GBK" w:eastAsia="方正仿宋_GBK" w:cs="方正仿宋_GBK"/>
          <w:color w:val="auto"/>
          <w:sz w:val="32"/>
          <w:szCs w:val="32"/>
          <w:highlight w:val="none"/>
          <w:lang w:eastAsia="zh-CN"/>
        </w:rPr>
        <w:t>。</w:t>
      </w:r>
    </w:p>
    <w:p>
      <w:pPr>
        <w:pStyle w:val="25"/>
        <w:pageBreakBefore w:val="0"/>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eastAsia" w:ascii="方正仿宋_GBK" w:hAnsi="方正仿宋_GBK" w:eastAsia="方正仿宋_GBK" w:cs="方正仿宋_GBK"/>
          <w:color w:val="auto"/>
          <w:sz w:val="32"/>
          <w:szCs w:val="32"/>
          <w:highlight w:val="none"/>
          <w:lang w:eastAsia="zh-CN"/>
        </w:rPr>
        <w:t>。</w:t>
      </w:r>
    </w:p>
    <w:p>
      <w:pPr>
        <w:pStyle w:val="25"/>
        <w:pageBreakBefore w:val="0"/>
        <w:kinsoku/>
        <w:wordWrap/>
        <w:topLinePunct w:val="0"/>
        <w:autoSpaceDE/>
        <w:bidi w:val="0"/>
        <w:spacing w:line="570" w:lineRule="exact"/>
        <w:ind w:firstLine="643" w:firstLineChars="200"/>
        <w:jc w:val="both"/>
        <w:outlineLvl w:val="2"/>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3.绩效评价方法</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正确的评价方法是评价工作顺利开展的保障，在结合实际经验的情况下，绩效评价小组根据该项目资金的性质和特点，选用比较法、因素分析法、公众评判法以及文献法对项目进行评价，旨在通过综合分析影响绩效目标实现、实施效果的内外部因素，从而评价该项目绩效。三级指标分析环节：总体采用比较法，同时辅以文献法、成本效益法、因素分析法以及公众评判法，根据不同三级指标类型进行逐项分析。</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①定量指标分析环节：主要采用比较法，对比三级指标预期指标值和三级指标截止评价日的完成情况，综合分析绩效目标实现程度。详细评价方法的应用如下:</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一般量化统计类等定量指标：通过对比实际完成值和预期指标值，达成预期指标值的，得满分；对完成值高于指标值较多的，要分析原因，如果是由于年初指标值设定明显偏低造成的，要按照偏离程度适度调减分值；未完成指标值的，按照完成值与指标值的比值计算分值。</w:t>
      </w:r>
    </w:p>
    <w:p>
      <w:pPr>
        <w:pStyle w:val="30"/>
        <w:pageBreakBefore w:val="0"/>
        <w:tabs>
          <w:tab w:val="left" w:pos="1559"/>
        </w:tabs>
        <w:kinsoku/>
        <w:wordWrap/>
        <w:topLinePunct w:val="0"/>
        <w:autoSpaceDE/>
        <w:bidi w:val="0"/>
        <w:adjustRightInd w:val="0"/>
        <w:snapToGrid w:val="0"/>
        <w:spacing w:line="570" w:lineRule="exact"/>
        <w:ind w:left="0" w:leftChars="0"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属于“是”或“否”判断的单一评判定量指标：比较法，符合要求的得满分，不符合要求的不得分或者扣相应的分数。</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满意度指标：主要采用比较法，据满意度问卷统计结果计算指标完成比率，将指标完成比率与预期指标值对比，达成满意度预期目标的，得满分；未完成指标值的，按照完成值与预期指标值的比值计算得分；满意度小于60%不得分。</w:t>
      </w:r>
    </w:p>
    <w:p>
      <w:pPr>
        <w:pStyle w:val="30"/>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②定性指标分析环节：主要采用公众评判法，通过问卷及抽样调查等方式评价本项目实施后社会公众对于其实施效果的满意程度，将调研结果按照《项目支出绩效评价管理办法》（财预〔2020〕10号）、《关于印发&lt;自治区项目支出绩效目标设置指引&gt;的通知》（新财预〔2022〕42号）文件要求分为基本达成目标、部分实现目标、实现目标程度较低三档，分别按照该指标对应分值区间100%-80%（含）、80%-60%（含）、60%-0%合理确定分值，详细评价方法的应用如下:</w:t>
      </w:r>
    </w:p>
    <w:p>
      <w:pPr>
        <w:pStyle w:val="30"/>
        <w:pageBreakBefore w:val="0"/>
        <w:tabs>
          <w:tab w:val="left" w:pos="1559"/>
        </w:tabs>
        <w:kinsoku/>
        <w:wordWrap/>
        <w:topLinePunct w:val="0"/>
        <w:autoSpaceDE/>
        <w:bidi w:val="0"/>
        <w:adjustRightInd w:val="0"/>
        <w:snapToGrid w:val="0"/>
        <w:spacing w:line="570" w:lineRule="exact"/>
        <w:ind w:firstLine="643"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
          <w:bCs w:val="0"/>
          <w:color w:val="auto"/>
          <w:sz w:val="32"/>
          <w:szCs w:val="32"/>
          <w:highlight w:val="none"/>
        </w:rPr>
        <w:t>项目决策：</w:t>
      </w:r>
      <w:r>
        <w:rPr>
          <w:rFonts w:hint="eastAsia" w:ascii="方正仿宋_GBK" w:hAnsi="方正仿宋_GBK" w:eastAsia="方正仿宋_GBK" w:cs="方正仿宋_GBK"/>
          <w:bCs/>
          <w:color w:val="auto"/>
          <w:sz w:val="32"/>
          <w:szCs w:val="32"/>
          <w:highlight w:val="none"/>
        </w:rPr>
        <w:t>①立项依据充分性：比较法、文献法，查找法律法规政策以及规划，对比实际执行内容和政策支持内容是否匹配。②立项程序规范性：比较法、文献法，查找相关项目设立的政策和文件要求，对比分析实际执行程序是否按照政策及文件要求执行，分析立项程序的规范性。③绩效目标合理性：比较法，对比分析年初编制项目支出绩效目标表与项目内容的相关性、资金的匹配性等。④绩效指标明确性：比较法，比较分析年初编制项目支出绩效目标表是否符合双七原则，是否可衡量。⑤预算编制科学性：成本效益分析法分析在产出一定的情况下，成本取值是否有依据，是否经过询价，是否按照市场最低成本编制。⑥资金分配合理性：因素分析法，综合分析资金的分配依据是否充分，分配金额是否与项目实施单位需求金额一致。</w:t>
      </w:r>
    </w:p>
    <w:p>
      <w:pPr>
        <w:pStyle w:val="30"/>
        <w:pageBreakBefore w:val="0"/>
        <w:tabs>
          <w:tab w:val="left" w:pos="1559"/>
        </w:tabs>
        <w:kinsoku/>
        <w:wordWrap/>
        <w:topLinePunct w:val="0"/>
        <w:autoSpaceDE/>
        <w:bidi w:val="0"/>
        <w:adjustRightInd w:val="0"/>
        <w:snapToGrid w:val="0"/>
        <w:spacing w:line="570" w:lineRule="exact"/>
        <w:ind w:firstLine="643"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
          <w:bCs w:val="0"/>
          <w:color w:val="auto"/>
          <w:sz w:val="32"/>
          <w:szCs w:val="32"/>
          <w:highlight w:val="none"/>
        </w:rPr>
        <w:t>项目过程：</w:t>
      </w:r>
      <w:r>
        <w:rPr>
          <w:rFonts w:hint="eastAsia" w:ascii="方正仿宋_GBK" w:hAnsi="方正仿宋_GBK" w:eastAsia="方正仿宋_GBK" w:cs="方正仿宋_GBK"/>
          <w:bCs/>
          <w:color w:val="auto"/>
          <w:sz w:val="32"/>
          <w:szCs w:val="32"/>
          <w:highlight w:val="none"/>
        </w:rPr>
        <w:t>①资金到位率：比较法，资金到位率预期指标值应为100%，通过实际计算，分析实际完成值和预期指标值之间的差距和原因。②预算执行率：比较法，预算执行率预期指标值应为100%，通过实际计算，分析实际完成值和预期指标值之间的差距和原因。③资金使用合规性：文献法、实地勘察法，一是查找资金管理办法，包括专项资金管理办法和单位自有资金管理办法；二是通过查账了解具体开支情况，是否专款专用，是否按照标准支出。④管理制度健全性：文献法、比较法，查阅项目实施人员提供的财务和业务管理制度，将已建立的制度与现行的法律法规和政策要求进行对比，分析项目制度的合法性、合规性、完整性。⑤制度执行有效性：比较法，结合项目实际实施过程性文件，根据已建设的财务管理制度和项目管理制度综合分析制度执行的有效性。</w:t>
      </w:r>
    </w:p>
    <w:p>
      <w:pPr>
        <w:pStyle w:val="30"/>
        <w:pageBreakBefore w:val="0"/>
        <w:tabs>
          <w:tab w:val="left" w:pos="1559"/>
        </w:tabs>
        <w:kinsoku/>
        <w:wordWrap/>
        <w:topLinePunct w:val="0"/>
        <w:autoSpaceDE/>
        <w:bidi w:val="0"/>
        <w:adjustRightInd w:val="0"/>
        <w:snapToGrid w:val="0"/>
        <w:spacing w:line="570" w:lineRule="exact"/>
        <w:ind w:firstLine="643"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
          <w:bCs w:val="0"/>
          <w:color w:val="auto"/>
          <w:sz w:val="32"/>
          <w:szCs w:val="32"/>
          <w:highlight w:val="none"/>
        </w:rPr>
        <w:t>项目产出：</w:t>
      </w:r>
      <w:r>
        <w:rPr>
          <w:rFonts w:hint="eastAsia" w:ascii="方正仿宋_GBK" w:hAnsi="方正仿宋_GBK" w:eastAsia="方正仿宋_GBK" w:cs="方正仿宋_GBK"/>
          <w:bCs/>
          <w:color w:val="auto"/>
          <w:sz w:val="32"/>
          <w:szCs w:val="32"/>
          <w:highlight w:val="none"/>
        </w:rPr>
        <w:t>比较法，将实际完成值与年初指标值相比，完成指标值该指标赋全部分值；对完成值高于指标值较多的，要分析原因，如果是由于年初指标值设定明显偏低造成的，要按照偏离度适度调减分值；未完成指标值的，按照完成值与指标值的比例计分。</w:t>
      </w:r>
    </w:p>
    <w:p>
      <w:pPr>
        <w:pStyle w:val="30"/>
        <w:pageBreakBefore w:val="0"/>
        <w:tabs>
          <w:tab w:val="left" w:pos="1559"/>
        </w:tabs>
        <w:kinsoku/>
        <w:wordWrap/>
        <w:topLinePunct w:val="0"/>
        <w:autoSpaceDE/>
        <w:bidi w:val="0"/>
        <w:adjustRightInd w:val="0"/>
        <w:snapToGrid w:val="0"/>
        <w:spacing w:line="570" w:lineRule="exact"/>
        <w:ind w:firstLine="643"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
          <w:bCs w:val="0"/>
          <w:color w:val="auto"/>
          <w:sz w:val="32"/>
          <w:szCs w:val="32"/>
          <w:highlight w:val="none"/>
        </w:rPr>
        <w:t>项目效益：</w:t>
      </w:r>
      <w:r>
        <w:rPr>
          <w:rFonts w:hint="eastAsia" w:ascii="方正仿宋_GBK" w:hAnsi="方正仿宋_GBK" w:eastAsia="方正仿宋_GBK" w:cs="方正仿宋_GBK"/>
          <w:bCs/>
          <w:color w:val="auto"/>
          <w:sz w:val="32"/>
          <w:szCs w:val="32"/>
          <w:highlight w:val="none"/>
        </w:rPr>
        <w:t>公众评判法、实地勘察法，通过实地勘察、问卷及抽样调查等方式评价本项目实施后社会公众或服务对象对项目实施效果的满意程度。</w:t>
      </w:r>
    </w:p>
    <w:p>
      <w:pPr>
        <w:pStyle w:val="25"/>
        <w:pageBreakBefore w:val="0"/>
        <w:kinsoku/>
        <w:wordWrap/>
        <w:topLinePunct w:val="0"/>
        <w:autoSpaceDE/>
        <w:bidi w:val="0"/>
        <w:spacing w:line="570" w:lineRule="exact"/>
        <w:ind w:firstLine="643" w:firstLineChars="200"/>
        <w:jc w:val="both"/>
        <w:outlineLvl w:val="2"/>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rPr>
        <w:t>4.绩效评价标准</w:t>
      </w:r>
    </w:p>
    <w:p>
      <w:pPr>
        <w:pageBreakBefore w:val="0"/>
        <w:kinsoku/>
        <w:wordWrap/>
        <w:topLinePunct w:val="0"/>
        <w:autoSpaceDE/>
        <w:autoSpaceDN/>
        <w:bidi w:val="0"/>
        <w:spacing w:line="570" w:lineRule="exact"/>
        <w:ind w:firstLine="640" w:firstLineChars="200"/>
        <w:jc w:val="both"/>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sz w:val="32"/>
          <w:szCs w:val="32"/>
          <w:highlight w:val="none"/>
        </w:rPr>
        <w:t>绩效评价标准通常包括计划标准、行业标准、历史标准等，用于对绩效指标完成情况进行比较</w:t>
      </w:r>
      <w:r>
        <w:rPr>
          <w:rFonts w:hint="eastAsia" w:ascii="Times New Roman" w:hAnsi="Times New Roman" w:eastAsia="方正仿宋_GBK" w:cs="方正仿宋_GBK"/>
          <w:b w:val="0"/>
          <w:bCs w:val="0"/>
          <w:color w:val="auto"/>
          <w:sz w:val="32"/>
          <w:szCs w:val="32"/>
          <w:highlight w:val="none"/>
          <w:lang w:eastAsia="zh-CN"/>
        </w:rPr>
        <w:t>、分析、评价</w:t>
      </w:r>
      <w:r>
        <w:rPr>
          <w:rFonts w:hint="eastAsia" w:ascii="Times New Roman" w:hAnsi="Times New Roman" w:eastAsia="方正仿宋_GBK" w:cs="方正仿宋_GBK"/>
          <w:b w:val="0"/>
          <w:bCs w:val="0"/>
          <w:color w:val="auto"/>
          <w:sz w:val="32"/>
          <w:szCs w:val="32"/>
          <w:highlight w:val="none"/>
        </w:rPr>
        <w:t>。本次评价主要采用了</w:t>
      </w:r>
      <w:r>
        <w:rPr>
          <w:rFonts w:hint="eastAsia" w:ascii="Times New Roman" w:hAnsi="Times New Roman" w:eastAsia="方正仿宋_GBK" w:cs="方正仿宋_GBK"/>
          <w:b w:val="0"/>
          <w:bCs w:val="0"/>
          <w:color w:val="auto"/>
          <w:sz w:val="32"/>
          <w:szCs w:val="32"/>
          <w:highlight w:val="none"/>
          <w:lang w:val="en-US" w:eastAsia="zh-CN"/>
        </w:rPr>
        <w:t>计划标准</w:t>
      </w:r>
      <w:r>
        <w:rPr>
          <w:rFonts w:hint="eastAsia" w:ascii="Times New Roman" w:hAnsi="Times New Roman" w:eastAsia="方正仿宋_GBK" w:cs="方正仿宋_GBK"/>
          <w:b w:val="0"/>
          <w:bCs w:val="0"/>
          <w:color w:val="auto"/>
          <w:sz w:val="32"/>
          <w:szCs w:val="32"/>
          <w:highlight w:val="none"/>
        </w:rPr>
        <w:t>。</w:t>
      </w:r>
    </w:p>
    <w:p>
      <w:pPr>
        <w:pageBreakBefore w:val="0"/>
        <w:kinsoku/>
        <w:wordWrap/>
        <w:topLinePunct w:val="0"/>
        <w:autoSpaceDE/>
        <w:autoSpaceDN/>
        <w:bidi w:val="0"/>
        <w:spacing w:line="570" w:lineRule="exact"/>
        <w:ind w:firstLine="643" w:firstLineChars="200"/>
        <w:jc w:val="both"/>
        <w:rPr>
          <w:rFonts w:hint="eastAsia" w:ascii="方正仿宋_GBK" w:hAnsi="方正仿宋_GBK" w:eastAsia="方正仿宋_GBK" w:cs="方正仿宋_GBK"/>
          <w:b w:val="0"/>
          <w:bCs w:val="0"/>
          <w:color w:val="auto"/>
          <w:sz w:val="32"/>
          <w:szCs w:val="32"/>
          <w:highlight w:val="none"/>
          <w:lang w:val="en-US" w:eastAsia="zh-CN"/>
        </w:rPr>
      </w:pPr>
      <w:bookmarkStart w:id="91" w:name="_Toc17882"/>
      <w:bookmarkStart w:id="92" w:name="_Toc31464"/>
      <w:r>
        <w:rPr>
          <w:rFonts w:hint="eastAsia" w:ascii="Times New Roman" w:hAnsi="Times New Roman" w:eastAsia="方正仿宋_GBK" w:cs="方正仿宋_GBK"/>
          <w:b/>
          <w:bCs/>
          <w:color w:val="auto"/>
          <w:sz w:val="32"/>
          <w:szCs w:val="32"/>
          <w:highlight w:val="none"/>
          <w:lang w:val="en-US" w:eastAsia="zh-CN"/>
        </w:rPr>
        <w:t>计划标准：</w:t>
      </w:r>
      <w:r>
        <w:rPr>
          <w:rFonts w:hint="eastAsia" w:ascii="Times New Roman" w:hAnsi="Times New Roman" w:eastAsia="方正仿宋_GBK" w:cs="方正仿宋_GBK"/>
          <w:b w:val="0"/>
          <w:bCs w:val="0"/>
          <w:color w:val="auto"/>
          <w:sz w:val="32"/>
          <w:szCs w:val="32"/>
          <w:highlight w:val="none"/>
          <w:lang w:val="en-US" w:eastAsia="zh-CN"/>
        </w:rPr>
        <w:t>以项目预先制定的目标、计划、预算、定额等作为评价标准。</w:t>
      </w:r>
      <w:bookmarkEnd w:id="91"/>
      <w:bookmarkEnd w:id="92"/>
      <w:r>
        <w:rPr>
          <w:rFonts w:hint="eastAsia" w:ascii="方正仿宋_GBK" w:hAnsi="方正仿宋_GBK" w:eastAsia="方正仿宋_GBK" w:cs="方正仿宋_GBK"/>
          <w:b w:val="0"/>
          <w:bCs w:val="0"/>
          <w:color w:val="auto"/>
          <w:sz w:val="32"/>
          <w:szCs w:val="32"/>
          <w:highlight w:val="none"/>
          <w:lang w:val="en-US" w:eastAsia="zh-CN"/>
        </w:rPr>
        <w:t>伽师县2022年国有企业退休人员社会化服务项目按照《伽师县2022年国有企业退休人员社会化管理项目实施方案》及《提前下达2022年国有企业退休人员社会化管理补助资金预算绩效目标表》事先制定目标、计划、预算、定额等预计数据作为评价财政支出绩效的标准。通过将实际完成值与预定数据进行对比，发现差异并达到评价目的。</w:t>
      </w:r>
    </w:p>
    <w:bookmarkEnd w:id="77"/>
    <w:bookmarkEnd w:id="78"/>
    <w:bookmarkEnd w:id="79"/>
    <w:bookmarkEnd w:id="80"/>
    <w:bookmarkEnd w:id="81"/>
    <w:bookmarkEnd w:id="82"/>
    <w:bookmarkEnd w:id="83"/>
    <w:bookmarkEnd w:id="84"/>
    <w:bookmarkEnd w:id="85"/>
    <w:bookmarkEnd w:id="88"/>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exact"/>
        <w:ind w:leftChars="200"/>
        <w:jc w:val="both"/>
        <w:textAlignment w:val="baseline"/>
        <w:outlineLvl w:val="1"/>
        <w:rPr>
          <w:rFonts w:hint="eastAsia" w:ascii="方正楷体_GBK" w:hAnsi="方正楷体_GBK" w:eastAsia="方正楷体_GBK" w:cs="方正楷体_GBK"/>
          <w:b/>
          <w:bCs/>
          <w:sz w:val="32"/>
          <w:szCs w:val="32"/>
          <w:highlight w:val="none"/>
        </w:rPr>
      </w:pPr>
      <w:bookmarkStart w:id="93" w:name="_Toc32150_WPSOffice_Level2"/>
      <w:bookmarkStart w:id="94" w:name="_Toc31947"/>
      <w:bookmarkStart w:id="95" w:name="_Toc28539830"/>
      <w:r>
        <w:rPr>
          <w:rFonts w:hint="eastAsia" w:ascii="方正楷体_GBK" w:hAnsi="方正楷体_GBK" w:eastAsia="方正楷体_GBK" w:cs="方正楷体_GBK"/>
          <w:b/>
          <w:bCs/>
          <w:sz w:val="32"/>
          <w:szCs w:val="32"/>
          <w:highlight w:val="none"/>
          <w:lang w:eastAsia="zh-CN"/>
        </w:rPr>
        <w:t>（三）</w:t>
      </w:r>
      <w:r>
        <w:rPr>
          <w:rFonts w:hint="eastAsia" w:ascii="方正楷体_GBK" w:hAnsi="方正楷体_GBK" w:eastAsia="方正楷体_GBK" w:cs="方正楷体_GBK"/>
          <w:b/>
          <w:bCs/>
          <w:sz w:val="32"/>
          <w:szCs w:val="32"/>
          <w:highlight w:val="none"/>
        </w:rPr>
        <w:t>绩效评价工作过程</w:t>
      </w:r>
      <w:bookmarkEnd w:id="93"/>
    </w:p>
    <w:p>
      <w:pPr>
        <w:keepNext w:val="0"/>
        <w:keepLines w:val="0"/>
        <w:pageBreakBefore w:val="0"/>
        <w:widowControl/>
        <w:kinsoku/>
        <w:wordWrap/>
        <w:overflowPunct w:val="0"/>
        <w:topLinePunct w:val="0"/>
        <w:autoSpaceDE w:val="0"/>
        <w:autoSpaceDN w:val="0"/>
        <w:bidi w:val="0"/>
        <w:adjustRightInd w:val="0"/>
        <w:snapToGrid/>
        <w:spacing w:line="570" w:lineRule="exact"/>
        <w:ind w:firstLine="643" w:firstLineChars="200"/>
        <w:jc w:val="both"/>
        <w:textAlignment w:val="baseline"/>
        <w:rPr>
          <w:rFonts w:hint="eastAsia" w:ascii="方正仿宋_GBK" w:hAnsi="方正仿宋_GBK" w:eastAsia="方正仿宋_GBK" w:cs="方正仿宋_GBK"/>
          <w:b/>
          <w:bCs/>
          <w:color w:val="auto"/>
          <w:kern w:val="0"/>
          <w:sz w:val="32"/>
          <w:szCs w:val="32"/>
          <w:highlight w:val="none"/>
        </w:rPr>
      </w:pPr>
      <w:r>
        <w:rPr>
          <w:rFonts w:hint="eastAsia" w:ascii="方正仿宋_GBK" w:hAnsi="方正仿宋_GBK" w:eastAsia="方正仿宋_GBK" w:cs="方正仿宋_GBK"/>
          <w:b/>
          <w:bCs/>
          <w:color w:val="auto"/>
          <w:kern w:val="0"/>
          <w:sz w:val="32"/>
          <w:szCs w:val="32"/>
          <w:highlight w:val="none"/>
        </w:rPr>
        <w:t>1.评价人员</w:t>
      </w:r>
      <w:bookmarkEnd w:id="94"/>
      <w:bookmarkEnd w:id="95"/>
    </w:p>
    <w:p>
      <w:pPr>
        <w:pStyle w:val="20"/>
        <w:keepNext w:val="0"/>
        <w:keepLines w:val="0"/>
        <w:pageBreakBefore w:val="0"/>
        <w:widowControl/>
        <w:kinsoku/>
        <w:wordWrap/>
        <w:topLinePunct w:val="0"/>
        <w:bidi w:val="0"/>
        <w:snapToGrid/>
        <w:spacing w:line="570" w:lineRule="exact"/>
        <w:ind w:left="0" w:firstLine="640" w:firstLineChars="200"/>
        <w:jc w:val="both"/>
        <w:rPr>
          <w:rFonts w:hint="eastAsia" w:ascii="方正仿宋_GBK" w:hAnsi="方正仿宋_GBK" w:eastAsia="方正仿宋_GBK" w:cs="方正仿宋_GBK"/>
          <w:color w:val="auto"/>
          <w:kern w:val="0"/>
          <w:sz w:val="32"/>
          <w:szCs w:val="32"/>
          <w:highlight w:val="none"/>
          <w:lang w:eastAsia="zh-CN"/>
        </w:rPr>
      </w:pPr>
      <w:r>
        <w:rPr>
          <w:rFonts w:hint="eastAsia" w:ascii="方正仿宋_GBK" w:hAnsi="方正仿宋_GBK" w:eastAsia="方正仿宋_GBK" w:cs="方正仿宋_GBK"/>
          <w:color w:val="auto"/>
          <w:sz w:val="32"/>
          <w:szCs w:val="32"/>
          <w:highlight w:val="none"/>
          <w:lang w:bidi="ar"/>
        </w:rPr>
        <w:t>本次评价委托方为</w:t>
      </w:r>
      <w:r>
        <w:rPr>
          <w:rFonts w:hint="eastAsia" w:ascii="方正仿宋_GBK" w:hAnsi="方正仿宋_GBK" w:eastAsia="方正仿宋_GBK" w:cs="方正仿宋_GBK"/>
          <w:color w:val="auto"/>
          <w:sz w:val="32"/>
          <w:szCs w:val="32"/>
          <w:highlight w:val="none"/>
          <w:lang w:val="en-US" w:eastAsia="zh-CN" w:bidi="ar"/>
        </w:rPr>
        <w:t>伽师县财政局</w:t>
      </w:r>
      <w:r>
        <w:rPr>
          <w:rFonts w:hint="eastAsia" w:ascii="方正仿宋_GBK" w:hAnsi="方正仿宋_GBK" w:eastAsia="方正仿宋_GBK" w:cs="方正仿宋_GBK"/>
          <w:color w:val="auto"/>
          <w:sz w:val="32"/>
          <w:szCs w:val="32"/>
          <w:highlight w:val="none"/>
          <w:lang w:bidi="ar"/>
        </w:rPr>
        <w:t>，受托方为</w:t>
      </w:r>
      <w:r>
        <w:rPr>
          <w:rFonts w:hint="eastAsia" w:ascii="方正仿宋_GBK" w:hAnsi="方正仿宋_GBK" w:eastAsia="方正仿宋_GBK" w:cs="方正仿宋_GBK"/>
          <w:color w:val="auto"/>
          <w:sz w:val="32"/>
          <w:szCs w:val="32"/>
          <w:highlight w:val="none"/>
          <w:lang w:eastAsia="zh-CN" w:bidi="ar"/>
        </w:rPr>
        <w:t>新疆永信中正项目管理咨询有限公司</w:t>
      </w:r>
      <w:r>
        <w:rPr>
          <w:rFonts w:hint="eastAsia" w:ascii="方正仿宋_GBK" w:hAnsi="方正仿宋_GBK" w:eastAsia="方正仿宋_GBK" w:cs="方正仿宋_GBK"/>
          <w:color w:val="auto"/>
          <w:sz w:val="32"/>
          <w:szCs w:val="32"/>
          <w:highlight w:val="none"/>
          <w:lang w:bidi="ar"/>
        </w:rPr>
        <w:t>。</w:t>
      </w:r>
      <w:r>
        <w:rPr>
          <w:rFonts w:hint="eastAsia" w:ascii="方正仿宋_GBK" w:hAnsi="方正仿宋_GBK" w:eastAsia="方正仿宋_GBK" w:cs="方正仿宋_GBK"/>
          <w:color w:val="auto"/>
          <w:sz w:val="32"/>
          <w:szCs w:val="32"/>
          <w:highlight w:val="none"/>
          <w:lang w:eastAsia="zh-CN" w:bidi="ar"/>
        </w:rPr>
        <w:t>新疆永信中正项目管理咨询有限公司</w:t>
      </w:r>
      <w:r>
        <w:rPr>
          <w:rFonts w:hint="eastAsia" w:ascii="方正仿宋_GBK" w:hAnsi="方正仿宋_GBK" w:eastAsia="方正仿宋_GBK" w:cs="方正仿宋_GBK"/>
          <w:color w:val="auto"/>
          <w:sz w:val="32"/>
          <w:szCs w:val="32"/>
          <w:highlight w:val="none"/>
          <w:lang w:bidi="ar"/>
        </w:rPr>
        <w:t>负责完成评价工作，公司高度重视此次</w:t>
      </w:r>
      <w:r>
        <w:rPr>
          <w:rFonts w:hint="eastAsia" w:ascii="方正仿宋_GBK" w:hAnsi="方正仿宋_GBK" w:eastAsia="方正仿宋_GBK" w:cs="方正仿宋_GBK"/>
          <w:color w:val="auto"/>
          <w:sz w:val="32"/>
          <w:szCs w:val="32"/>
          <w:highlight w:val="none"/>
          <w:lang w:val="en-US" w:eastAsia="zh-CN" w:bidi="ar"/>
        </w:rPr>
        <w:t>伽师县财政局</w:t>
      </w:r>
      <w:r>
        <w:rPr>
          <w:rFonts w:hint="eastAsia" w:ascii="方正仿宋_GBK" w:hAnsi="方正仿宋_GBK" w:eastAsia="方正仿宋_GBK" w:cs="方正仿宋_GBK"/>
          <w:color w:val="auto"/>
          <w:sz w:val="32"/>
          <w:szCs w:val="32"/>
          <w:highlight w:val="none"/>
          <w:lang w:bidi="ar"/>
        </w:rPr>
        <w:t>对重点评价工作的要求，配备专门人力，重视质量效益评价。组织人力进行前期调查、研究讨论、制定工作方案。具体人员名单如下</w:t>
      </w:r>
      <w:r>
        <w:rPr>
          <w:rFonts w:hint="eastAsia" w:ascii="方正仿宋_GBK" w:hAnsi="方正仿宋_GBK" w:eastAsia="方正仿宋_GBK" w:cs="方正仿宋_GBK"/>
          <w:color w:val="auto"/>
          <w:sz w:val="32"/>
          <w:szCs w:val="32"/>
          <w:highlight w:val="none"/>
          <w:lang w:eastAsia="zh-CN" w:bidi="ar"/>
        </w:rPr>
        <w:t>：</w:t>
      </w:r>
    </w:p>
    <w:p>
      <w:pPr>
        <w:pStyle w:val="20"/>
        <w:keepNext w:val="0"/>
        <w:keepLines w:val="0"/>
        <w:pageBreakBefore w:val="0"/>
        <w:widowControl/>
        <w:kinsoku/>
        <w:wordWrap/>
        <w:overflowPunct/>
        <w:topLinePunct w:val="0"/>
        <w:autoSpaceDE/>
        <w:autoSpaceDN/>
        <w:bidi w:val="0"/>
        <w:adjustRightInd/>
        <w:snapToGrid/>
        <w:spacing w:line="570" w:lineRule="exact"/>
        <w:ind w:firstLine="562" w:firstLineChars="200"/>
        <w:jc w:val="center"/>
        <w:textAlignment w:val="auto"/>
        <w:rPr>
          <w:rFonts w:hint="default" w:ascii="Times New Roman" w:hAnsi="Times New Roman" w:cs="Times New Roman"/>
          <w:b/>
          <w:bCs/>
          <w:color w:val="auto"/>
          <w:sz w:val="28"/>
          <w:szCs w:val="28"/>
          <w:highlight w:val="none"/>
          <w:lang w:bidi="ar"/>
        </w:rPr>
      </w:pPr>
      <w:r>
        <w:rPr>
          <w:rFonts w:hint="default" w:ascii="Times New Roman" w:hAnsi="Times New Roman" w:cs="Times New Roman"/>
          <w:b/>
          <w:bCs/>
          <w:color w:val="auto"/>
          <w:sz w:val="28"/>
          <w:szCs w:val="28"/>
          <w:highlight w:val="none"/>
          <w:lang w:bidi="ar"/>
        </w:rPr>
        <w:t>表</w:t>
      </w:r>
      <w:r>
        <w:rPr>
          <w:rFonts w:hint="default" w:ascii="Times New Roman" w:hAnsi="Times New Roman" w:cs="Times New Roman"/>
          <w:b/>
          <w:bCs/>
          <w:color w:val="auto"/>
          <w:sz w:val="28"/>
          <w:szCs w:val="28"/>
          <w:highlight w:val="none"/>
          <w:lang w:val="en-US" w:eastAsia="zh-CN" w:bidi="ar"/>
        </w:rPr>
        <w:t>2</w:t>
      </w:r>
      <w:r>
        <w:rPr>
          <w:rFonts w:hint="default" w:ascii="Times New Roman" w:hAnsi="Times New Roman" w:cs="Times New Roman"/>
          <w:b/>
          <w:bCs/>
          <w:color w:val="auto"/>
          <w:sz w:val="28"/>
          <w:szCs w:val="28"/>
          <w:highlight w:val="none"/>
          <w:lang w:bidi="ar"/>
        </w:rPr>
        <w:t>-</w:t>
      </w:r>
      <w:r>
        <w:rPr>
          <w:rFonts w:hint="default" w:ascii="Times New Roman" w:hAnsi="Times New Roman" w:cs="Times New Roman"/>
          <w:b/>
          <w:bCs/>
          <w:color w:val="auto"/>
          <w:sz w:val="28"/>
          <w:szCs w:val="28"/>
          <w:highlight w:val="none"/>
          <w:lang w:val="en-US" w:eastAsia="zh-CN" w:bidi="ar"/>
        </w:rPr>
        <w:t>1</w:t>
      </w:r>
      <w:r>
        <w:rPr>
          <w:rFonts w:hint="default" w:ascii="Times New Roman" w:hAnsi="Times New Roman" w:cs="Times New Roman"/>
          <w:b/>
          <w:bCs/>
          <w:color w:val="auto"/>
          <w:sz w:val="28"/>
          <w:szCs w:val="28"/>
          <w:highlight w:val="none"/>
          <w:lang w:bidi="ar"/>
        </w:rPr>
        <w:t>评价组组员表</w:t>
      </w:r>
    </w:p>
    <w:tbl>
      <w:tblPr>
        <w:tblStyle w:val="1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145"/>
        <w:gridCol w:w="1752"/>
        <w:gridCol w:w="5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521" w:type="pct"/>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序号</w:t>
            </w:r>
          </w:p>
        </w:tc>
        <w:tc>
          <w:tcPr>
            <w:tcW w:w="632" w:type="pct"/>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姓名</w:t>
            </w:r>
          </w:p>
        </w:tc>
        <w:tc>
          <w:tcPr>
            <w:tcW w:w="967" w:type="pct"/>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本政策中角色</w:t>
            </w:r>
          </w:p>
        </w:tc>
        <w:tc>
          <w:tcPr>
            <w:tcW w:w="2878" w:type="pct"/>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1</w:t>
            </w:r>
          </w:p>
        </w:tc>
        <w:tc>
          <w:tcPr>
            <w:tcW w:w="63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eastAsia"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highlight w:val="none"/>
                <w:lang w:val="en-US"/>
              </w:rPr>
              <w:t>邹燕</w:t>
            </w:r>
          </w:p>
        </w:tc>
        <w:tc>
          <w:tcPr>
            <w:tcW w:w="96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lang w:val="en-US" w:eastAsia="zh-CN"/>
              </w:rPr>
            </w:pPr>
            <w:r>
              <w:rPr>
                <w:rFonts w:hint="default" w:ascii="Times New Roman" w:hAnsi="Times New Roman" w:eastAsia="仿宋_GB2312" w:cs="Times New Roman"/>
                <w:color w:val="auto"/>
                <w:kern w:val="0"/>
                <w:sz w:val="22"/>
                <w:highlight w:val="none"/>
              </w:rPr>
              <w:t>项目</w:t>
            </w:r>
            <w:r>
              <w:rPr>
                <w:rFonts w:hint="default" w:ascii="Times New Roman" w:hAnsi="Times New Roman" w:eastAsia="仿宋_GB2312" w:cs="Times New Roman"/>
                <w:color w:val="auto"/>
                <w:kern w:val="0"/>
                <w:sz w:val="22"/>
                <w:highlight w:val="none"/>
                <w:lang w:val="en-US" w:eastAsia="zh-CN"/>
              </w:rPr>
              <w:t>主评人</w:t>
            </w:r>
          </w:p>
        </w:tc>
        <w:tc>
          <w:tcPr>
            <w:tcW w:w="2878"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负责绩效评价过程指导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2</w:t>
            </w:r>
          </w:p>
        </w:tc>
        <w:tc>
          <w:tcPr>
            <w:tcW w:w="63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eastAsia" w:ascii="Times New Roman" w:hAnsi="Times New Roman" w:eastAsia="仿宋_GB2312" w:cs="Times New Roman"/>
                <w:color w:val="auto"/>
                <w:kern w:val="0"/>
                <w:sz w:val="22"/>
                <w:highlight w:val="none"/>
                <w:lang w:eastAsia="zh-CN"/>
              </w:rPr>
            </w:pPr>
            <w:r>
              <w:rPr>
                <w:rFonts w:hint="eastAsia" w:ascii="Times New Roman" w:hAnsi="Times New Roman" w:eastAsia="仿宋_GB2312" w:cs="Times New Roman"/>
                <w:color w:val="auto"/>
                <w:kern w:val="0"/>
                <w:sz w:val="22"/>
                <w:highlight w:val="none"/>
                <w:lang w:val="en-US"/>
              </w:rPr>
              <w:t>李毅</w:t>
            </w:r>
          </w:p>
        </w:tc>
        <w:tc>
          <w:tcPr>
            <w:tcW w:w="96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项目质控</w:t>
            </w:r>
          </w:p>
        </w:tc>
        <w:tc>
          <w:tcPr>
            <w:tcW w:w="2878"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负责项目评价方案、项目报告等重点工作内容的质量控制，技术指导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52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3</w:t>
            </w:r>
          </w:p>
        </w:tc>
        <w:tc>
          <w:tcPr>
            <w:tcW w:w="63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tabs>
                <w:tab w:val="left" w:pos="1280"/>
              </w:tabs>
              <w:kinsoku/>
              <w:wordWrap/>
              <w:overflowPunct/>
              <w:topLinePunct/>
              <w:autoSpaceDE/>
              <w:autoSpaceDN/>
              <w:bidi w:val="0"/>
              <w:adjustRightInd w:val="0"/>
              <w:snapToGrid w:val="0"/>
              <w:spacing w:before="0" w:beforeLines="0" w:beforeAutospacing="0" w:after="0" w:afterAutospacing="0" w:line="570" w:lineRule="exact"/>
              <w:ind w:left="0" w:right="0" w:firstLine="0" w:firstLineChars="0"/>
              <w:jc w:val="center"/>
              <w:textAlignment w:val="auto"/>
              <w:rPr>
                <w:rFonts w:hint="eastAsia"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highlight w:val="none"/>
                <w:lang w:val="en-US" w:eastAsia="zh-CN"/>
              </w:rPr>
              <w:t>麦迪努尔</w:t>
            </w:r>
          </w:p>
        </w:tc>
        <w:tc>
          <w:tcPr>
            <w:tcW w:w="96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项目经理</w:t>
            </w:r>
          </w:p>
        </w:tc>
        <w:tc>
          <w:tcPr>
            <w:tcW w:w="2878"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负责对项目实施统筹、资料收集，整理及数据分析、撰写工作方案及评价报告并对评价报告进行负责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4</w:t>
            </w:r>
          </w:p>
        </w:tc>
        <w:tc>
          <w:tcPr>
            <w:tcW w:w="63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suppressLineNumbers w:val="0"/>
              <w:tabs>
                <w:tab w:val="left" w:pos="1280"/>
              </w:tabs>
              <w:kinsoku/>
              <w:wordWrap/>
              <w:overflowPunct/>
              <w:topLinePunct/>
              <w:autoSpaceDE/>
              <w:autoSpaceDN/>
              <w:bidi w:val="0"/>
              <w:adjustRightInd w:val="0"/>
              <w:snapToGrid w:val="0"/>
              <w:spacing w:before="0" w:beforeLines="0" w:beforeAutospacing="0" w:after="0" w:afterAutospacing="0" w:line="570" w:lineRule="exact"/>
              <w:ind w:left="0" w:right="0" w:firstLine="0" w:firstLineChars="0"/>
              <w:jc w:val="center"/>
              <w:textAlignment w:val="auto"/>
              <w:rPr>
                <w:rFonts w:hint="default"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color w:val="auto"/>
                <w:kern w:val="0"/>
                <w:sz w:val="22"/>
                <w:highlight w:val="none"/>
                <w:lang w:val="en-US" w:eastAsia="zh-CN"/>
              </w:rPr>
              <w:t>阿米那</w:t>
            </w:r>
          </w:p>
        </w:tc>
        <w:tc>
          <w:tcPr>
            <w:tcW w:w="96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2878"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5</w:t>
            </w:r>
          </w:p>
        </w:tc>
        <w:tc>
          <w:tcPr>
            <w:tcW w:w="63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napToGrid/>
              <w:spacing w:before="0" w:beforeAutospacing="0" w:after="0" w:afterAutospacing="0" w:line="570" w:lineRule="exact"/>
              <w:ind w:left="0" w:right="0"/>
              <w:jc w:val="center"/>
              <w:textAlignment w:val="baseline"/>
              <w:rPr>
                <w:rFonts w:hint="default" w:ascii="Times New Roman" w:hAnsi="Times New Roman" w:eastAsia="仿宋_GB2312" w:cs="Times New Roman"/>
                <w:color w:val="auto"/>
                <w:kern w:val="0"/>
                <w:sz w:val="22"/>
                <w:highlight w:val="none"/>
              </w:rPr>
            </w:pPr>
            <w:r>
              <w:rPr>
                <w:rFonts w:hint="eastAsia" w:ascii="Times New Roman" w:hAnsi="Times New Roman" w:eastAsia="仿宋_GB2312" w:cs="Times New Roman"/>
                <w:b w:val="0"/>
                <w:bCs w:val="0"/>
                <w:i w:val="0"/>
                <w:caps w:val="0"/>
                <w:color w:val="000000"/>
                <w:spacing w:val="0"/>
                <w:w w:val="100"/>
                <w:kern w:val="0"/>
                <w:sz w:val="22"/>
                <w:szCs w:val="24"/>
                <w:highlight w:val="none"/>
                <w:lang w:val="en-US" w:eastAsia="zh-CN" w:bidi="ar-SA"/>
              </w:rPr>
              <w:t>祖力皮努尔</w:t>
            </w:r>
          </w:p>
        </w:tc>
        <w:tc>
          <w:tcPr>
            <w:tcW w:w="96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2878"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2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6</w:t>
            </w:r>
          </w:p>
        </w:tc>
        <w:tc>
          <w:tcPr>
            <w:tcW w:w="63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napToGrid/>
              <w:spacing w:before="0" w:beforeAutospacing="0" w:after="0" w:afterAutospacing="0" w:line="570" w:lineRule="exact"/>
              <w:ind w:left="0" w:right="0"/>
              <w:jc w:val="center"/>
              <w:textAlignment w:val="baseline"/>
              <w:rPr>
                <w:rFonts w:hint="default" w:ascii="Times New Roman" w:hAnsi="Times New Roman" w:eastAsia="仿宋_GB2312" w:cs="Times New Roman"/>
                <w:color w:val="auto"/>
                <w:kern w:val="0"/>
                <w:sz w:val="22"/>
                <w:highlight w:val="none"/>
                <w:lang w:val="en-US" w:eastAsia="zh-CN"/>
              </w:rPr>
            </w:pPr>
            <w:r>
              <w:rPr>
                <w:rFonts w:hint="eastAsia" w:ascii="Times New Roman" w:hAnsi="Times New Roman" w:eastAsia="仿宋_GB2312" w:cs="Times New Roman"/>
                <w:b w:val="0"/>
                <w:bCs w:val="0"/>
                <w:i w:val="0"/>
                <w:caps w:val="0"/>
                <w:color w:val="000000"/>
                <w:spacing w:val="0"/>
                <w:w w:val="100"/>
                <w:kern w:val="0"/>
                <w:sz w:val="22"/>
                <w:szCs w:val="24"/>
                <w:highlight w:val="none"/>
                <w:lang w:val="en-US" w:eastAsia="zh-CN" w:bidi="ar-SA"/>
              </w:rPr>
              <w:t>武莹</w:t>
            </w:r>
          </w:p>
        </w:tc>
        <w:tc>
          <w:tcPr>
            <w:tcW w:w="967"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2878"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配合公司人员完成社会调研工作</w:t>
            </w:r>
          </w:p>
        </w:tc>
      </w:tr>
    </w:tbl>
    <w:p>
      <w:pPr>
        <w:pStyle w:val="20"/>
        <w:keepNext w:val="0"/>
        <w:keepLines w:val="0"/>
        <w:pageBreakBefore w:val="0"/>
        <w:widowControl/>
        <w:kinsoku/>
        <w:wordWrap/>
        <w:topLinePunct w:val="0"/>
        <w:bidi w:val="0"/>
        <w:snapToGrid/>
        <w:spacing w:line="570" w:lineRule="exact"/>
        <w:ind w:left="0" w:leftChars="0" w:firstLine="643" w:firstLineChars="200"/>
        <w:rPr>
          <w:rFonts w:hint="eastAsia" w:ascii="方正仿宋_GBK" w:hAnsi="方正仿宋_GBK" w:eastAsia="方正仿宋_GBK" w:cs="方正仿宋_GBK"/>
          <w:b/>
          <w:color w:val="auto"/>
          <w:kern w:val="0"/>
          <w:sz w:val="32"/>
          <w:szCs w:val="32"/>
          <w:highlight w:val="none"/>
        </w:rPr>
      </w:pPr>
      <w:bookmarkStart w:id="96" w:name="_Toc29947"/>
      <w:bookmarkStart w:id="97" w:name="_Toc2515"/>
      <w:bookmarkStart w:id="98" w:name="_Toc6609"/>
      <w:bookmarkStart w:id="99" w:name="_Toc26606"/>
      <w:bookmarkStart w:id="100" w:name="_Toc6895"/>
      <w:bookmarkStart w:id="101" w:name="_Toc6988"/>
      <w:bookmarkStart w:id="102" w:name="_Toc11520"/>
      <w:bookmarkStart w:id="103" w:name="_Toc18993"/>
      <w:bookmarkStart w:id="104" w:name="_Toc30721"/>
      <w:r>
        <w:rPr>
          <w:rFonts w:hint="eastAsia" w:ascii="方正仿宋_GBK" w:hAnsi="方正仿宋_GBK" w:eastAsia="方正仿宋_GBK" w:cs="方正仿宋_GBK"/>
          <w:b/>
          <w:color w:val="auto"/>
          <w:kern w:val="0"/>
          <w:sz w:val="32"/>
          <w:szCs w:val="32"/>
          <w:highlight w:val="none"/>
          <w:lang w:val="en-US" w:eastAsia="zh-CN"/>
        </w:rPr>
        <w:t>2.</w:t>
      </w:r>
      <w:r>
        <w:rPr>
          <w:rFonts w:hint="eastAsia" w:ascii="方正仿宋_GBK" w:hAnsi="方正仿宋_GBK" w:eastAsia="方正仿宋_GBK" w:cs="方正仿宋_GBK"/>
          <w:b/>
          <w:color w:val="auto"/>
          <w:kern w:val="0"/>
          <w:sz w:val="32"/>
          <w:szCs w:val="32"/>
          <w:highlight w:val="none"/>
        </w:rPr>
        <w:t>评价进度</w:t>
      </w:r>
      <w:bookmarkEnd w:id="96"/>
      <w:bookmarkEnd w:id="97"/>
      <w:bookmarkEnd w:id="98"/>
      <w:bookmarkEnd w:id="99"/>
      <w:bookmarkEnd w:id="100"/>
      <w:bookmarkEnd w:id="101"/>
      <w:bookmarkEnd w:id="102"/>
      <w:bookmarkEnd w:id="103"/>
      <w:bookmarkEnd w:id="104"/>
    </w:p>
    <w:p>
      <w:pPr>
        <w:pStyle w:val="20"/>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本次项目的评价期间为20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4</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6</w:t>
      </w:r>
      <w:r>
        <w:rPr>
          <w:rFonts w:hint="eastAsia" w:ascii="方正仿宋_GBK" w:hAnsi="方正仿宋_GBK" w:eastAsia="方正仿宋_GBK" w:cs="方正仿宋_GBK"/>
          <w:color w:val="auto"/>
          <w:sz w:val="32"/>
          <w:szCs w:val="32"/>
          <w:highlight w:val="none"/>
          <w:lang w:bidi="ar"/>
        </w:rPr>
        <w:t>日至20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6</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10日</w:t>
      </w:r>
      <w:r>
        <w:rPr>
          <w:rFonts w:hint="eastAsia" w:ascii="方正仿宋_GBK" w:hAnsi="方正仿宋_GBK" w:eastAsia="方正仿宋_GBK" w:cs="方正仿宋_GBK"/>
          <w:color w:val="auto"/>
          <w:sz w:val="32"/>
          <w:szCs w:val="32"/>
          <w:highlight w:val="none"/>
          <w:lang w:bidi="ar"/>
        </w:rPr>
        <w:t>，具体安排如下：</w:t>
      </w:r>
    </w:p>
    <w:p>
      <w:pPr>
        <w:pStyle w:val="20"/>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（1）方案制定——20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4</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6</w:t>
      </w:r>
      <w:r>
        <w:rPr>
          <w:rFonts w:hint="eastAsia" w:ascii="方正仿宋_GBK" w:hAnsi="方正仿宋_GBK" w:eastAsia="方正仿宋_GBK" w:cs="方正仿宋_GBK"/>
          <w:color w:val="auto"/>
          <w:sz w:val="32"/>
          <w:szCs w:val="32"/>
          <w:highlight w:val="none"/>
          <w:lang w:bidi="ar"/>
        </w:rPr>
        <w:t>日前</w:t>
      </w:r>
    </w:p>
    <w:p>
      <w:pPr>
        <w:pStyle w:val="20"/>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我单位根据项目的基本情况，按照财政预算绩效评价工作要求，拟订评价实施方案，并报委托方审核。实施方案应包括人员配置、时间安排、评价依据、评价方法、评价指标体系、实施步骤及工作纪律等内容。</w:t>
      </w:r>
    </w:p>
    <w:p>
      <w:pPr>
        <w:pStyle w:val="20"/>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（2）评价实施阶段——20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4</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15</w:t>
      </w:r>
      <w:r>
        <w:rPr>
          <w:rFonts w:hint="eastAsia" w:ascii="方正仿宋_GBK" w:hAnsi="方正仿宋_GBK" w:eastAsia="方正仿宋_GBK" w:cs="方正仿宋_GBK"/>
          <w:color w:val="auto"/>
          <w:sz w:val="32"/>
          <w:szCs w:val="32"/>
          <w:highlight w:val="none"/>
          <w:lang w:bidi="ar"/>
        </w:rPr>
        <w:t>日前</w:t>
      </w:r>
    </w:p>
    <w:p>
      <w:pPr>
        <w:pStyle w:val="20"/>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数据采集（20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4</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15</w:t>
      </w:r>
      <w:r>
        <w:rPr>
          <w:rFonts w:hint="eastAsia" w:ascii="方正仿宋_GBK" w:hAnsi="方正仿宋_GBK" w:eastAsia="方正仿宋_GBK" w:cs="方正仿宋_GBK"/>
          <w:color w:val="auto"/>
          <w:sz w:val="32"/>
          <w:szCs w:val="32"/>
          <w:highlight w:val="none"/>
          <w:lang w:bidi="ar"/>
        </w:rPr>
        <w:t>日前）。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pStyle w:val="20"/>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实地调研（20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5</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20</w:t>
      </w:r>
      <w:r>
        <w:rPr>
          <w:rFonts w:hint="eastAsia" w:ascii="方正仿宋_GBK" w:hAnsi="方正仿宋_GBK" w:eastAsia="方正仿宋_GBK" w:cs="方正仿宋_GBK"/>
          <w:color w:val="auto"/>
          <w:sz w:val="32"/>
          <w:szCs w:val="32"/>
          <w:highlight w:val="none"/>
          <w:lang w:bidi="ar"/>
        </w:rPr>
        <w:t>日前）。根据方案，对预算</w:t>
      </w:r>
      <w:r>
        <w:rPr>
          <w:rFonts w:hint="eastAsia" w:ascii="方正仿宋_GBK" w:hAnsi="方正仿宋_GBK" w:eastAsia="方正仿宋_GBK" w:cs="方正仿宋_GBK"/>
          <w:color w:val="auto"/>
          <w:sz w:val="32"/>
          <w:szCs w:val="32"/>
          <w:highlight w:val="none"/>
          <w:lang w:val="en-US" w:eastAsia="zh-CN" w:bidi="ar"/>
        </w:rPr>
        <w:t>单位</w:t>
      </w:r>
      <w:r>
        <w:rPr>
          <w:rFonts w:hint="eastAsia" w:ascii="方正仿宋_GBK" w:hAnsi="方正仿宋_GBK" w:eastAsia="方正仿宋_GBK" w:cs="方正仿宋_GBK"/>
          <w:color w:val="auto"/>
          <w:sz w:val="32"/>
          <w:szCs w:val="32"/>
          <w:highlight w:val="none"/>
          <w:lang w:bidi="ar"/>
        </w:rPr>
        <w:t>相关</w:t>
      </w:r>
      <w:r>
        <w:rPr>
          <w:rFonts w:hint="eastAsia" w:ascii="方正仿宋_GBK" w:hAnsi="方正仿宋_GBK" w:eastAsia="方正仿宋_GBK" w:cs="方正仿宋_GBK"/>
          <w:color w:val="auto"/>
          <w:sz w:val="32"/>
          <w:szCs w:val="32"/>
          <w:highlight w:val="none"/>
          <w:lang w:eastAsia="zh-Hans" w:bidi="ar"/>
        </w:rPr>
        <w:t>负责人</w:t>
      </w:r>
      <w:r>
        <w:rPr>
          <w:rFonts w:hint="eastAsia" w:ascii="方正仿宋_GBK" w:hAnsi="方正仿宋_GBK" w:eastAsia="方正仿宋_GBK" w:cs="方正仿宋_GBK"/>
          <w:color w:val="auto"/>
          <w:sz w:val="32"/>
          <w:szCs w:val="32"/>
          <w:highlight w:val="none"/>
          <w:lang w:bidi="ar"/>
        </w:rPr>
        <w:t>进行访谈，并对其填报的数据进行复核。同时，对国有企业退休人员进行满意度问卷调查</w:t>
      </w:r>
      <w:r>
        <w:rPr>
          <w:rFonts w:hint="eastAsia" w:ascii="方正仿宋_GBK" w:hAnsi="方正仿宋_GBK" w:eastAsia="方正仿宋_GBK" w:cs="方正仿宋_GBK"/>
          <w:color w:val="auto"/>
          <w:sz w:val="32"/>
          <w:szCs w:val="32"/>
          <w:highlight w:val="none"/>
          <w:lang w:eastAsia="zh-CN" w:bidi="ar"/>
        </w:rPr>
        <w:t>，项目共发放问卷调查</w:t>
      </w:r>
      <w:r>
        <w:rPr>
          <w:rFonts w:hint="eastAsia" w:ascii="方正仿宋_GBK" w:hAnsi="方正仿宋_GBK" w:eastAsia="方正仿宋_GBK" w:cs="方正仿宋_GBK"/>
          <w:color w:val="auto"/>
          <w:sz w:val="32"/>
          <w:szCs w:val="32"/>
          <w:highlight w:val="none"/>
          <w:lang w:val="en-US" w:eastAsia="zh-CN" w:bidi="ar"/>
        </w:rPr>
        <w:t>136</w:t>
      </w:r>
      <w:r>
        <w:rPr>
          <w:rFonts w:hint="eastAsia" w:ascii="方正仿宋_GBK" w:hAnsi="方正仿宋_GBK" w:eastAsia="方正仿宋_GBK" w:cs="方正仿宋_GBK"/>
          <w:color w:val="auto"/>
          <w:sz w:val="32"/>
          <w:szCs w:val="32"/>
          <w:highlight w:val="none"/>
          <w:lang w:eastAsia="zh-CN" w:bidi="ar"/>
        </w:rPr>
        <w:t>份，最终收回</w:t>
      </w:r>
      <w:r>
        <w:rPr>
          <w:rFonts w:hint="eastAsia" w:ascii="方正仿宋_GBK" w:hAnsi="方正仿宋_GBK" w:eastAsia="方正仿宋_GBK" w:cs="方正仿宋_GBK"/>
          <w:color w:val="auto"/>
          <w:sz w:val="32"/>
          <w:szCs w:val="32"/>
          <w:highlight w:val="none"/>
          <w:lang w:val="en-US" w:eastAsia="zh-CN" w:bidi="ar"/>
        </w:rPr>
        <w:t>136</w:t>
      </w:r>
      <w:r>
        <w:rPr>
          <w:rFonts w:hint="eastAsia" w:ascii="方正仿宋_GBK" w:hAnsi="方正仿宋_GBK" w:eastAsia="方正仿宋_GBK" w:cs="方正仿宋_GBK"/>
          <w:color w:val="auto"/>
          <w:sz w:val="32"/>
          <w:szCs w:val="32"/>
          <w:highlight w:val="none"/>
          <w:lang w:eastAsia="zh-CN" w:bidi="ar"/>
        </w:rPr>
        <w:t>份</w:t>
      </w:r>
      <w:r>
        <w:rPr>
          <w:rFonts w:hint="eastAsia" w:ascii="方正仿宋_GBK" w:hAnsi="方正仿宋_GBK" w:eastAsia="方正仿宋_GBK" w:cs="方正仿宋_GBK"/>
          <w:color w:val="auto"/>
          <w:sz w:val="32"/>
          <w:szCs w:val="32"/>
          <w:highlight w:val="none"/>
          <w:lang w:bidi="ar"/>
        </w:rPr>
        <w:t>。调研结束后，项目绩效评价小组对采集的数据资料进行复核汇总、分类整理和综合分析。按照设立的评价指标、标准、权重、方法实施评价，并形成评价结论。</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bidi="ar"/>
        </w:rPr>
      </w:pPr>
      <w:r>
        <w:rPr>
          <w:rFonts w:hint="eastAsia" w:ascii="方正仿宋_GBK" w:hAnsi="方正仿宋_GBK" w:eastAsia="方正仿宋_GBK" w:cs="方正仿宋_GBK"/>
          <w:color w:val="auto"/>
          <w:kern w:val="0"/>
          <w:sz w:val="32"/>
          <w:szCs w:val="32"/>
          <w:highlight w:val="none"/>
          <w:lang w:bidi="ar"/>
        </w:rPr>
        <w:t>（3）报告撰写阶段</w:t>
      </w:r>
      <w:r>
        <w:rPr>
          <w:rFonts w:hint="eastAsia" w:ascii="方正仿宋_GBK" w:hAnsi="方正仿宋_GBK" w:eastAsia="方正仿宋_GBK" w:cs="方正仿宋_GBK"/>
          <w:color w:val="auto"/>
          <w:sz w:val="32"/>
          <w:szCs w:val="32"/>
          <w:highlight w:val="none"/>
          <w:lang w:bidi="ar"/>
        </w:rPr>
        <w:t>——</w:t>
      </w:r>
      <w:r>
        <w:rPr>
          <w:rFonts w:hint="eastAsia" w:ascii="方正仿宋_GBK" w:hAnsi="方正仿宋_GBK" w:eastAsia="方正仿宋_GBK" w:cs="方正仿宋_GBK"/>
          <w:color w:val="auto"/>
          <w:kern w:val="0"/>
          <w:sz w:val="32"/>
          <w:szCs w:val="32"/>
          <w:highlight w:val="none"/>
          <w:lang w:bidi="ar"/>
        </w:rPr>
        <w:t>20</w:t>
      </w:r>
      <w:r>
        <w:rPr>
          <w:rFonts w:hint="eastAsia" w:ascii="方正仿宋_GBK" w:hAnsi="方正仿宋_GBK" w:eastAsia="方正仿宋_GBK" w:cs="方正仿宋_GBK"/>
          <w:color w:val="auto"/>
          <w:kern w:val="0"/>
          <w:sz w:val="32"/>
          <w:szCs w:val="32"/>
          <w:highlight w:val="none"/>
          <w:lang w:val="en-US" w:eastAsia="zh-CN" w:bidi="ar"/>
        </w:rPr>
        <w:t>23</w:t>
      </w:r>
      <w:r>
        <w:rPr>
          <w:rFonts w:hint="eastAsia" w:ascii="方正仿宋_GBK" w:hAnsi="方正仿宋_GBK" w:eastAsia="方正仿宋_GBK" w:cs="方正仿宋_GBK"/>
          <w:color w:val="auto"/>
          <w:kern w:val="0"/>
          <w:sz w:val="32"/>
          <w:szCs w:val="32"/>
          <w:highlight w:val="none"/>
          <w:lang w:bidi="ar"/>
        </w:rPr>
        <w:t>年</w:t>
      </w:r>
      <w:r>
        <w:rPr>
          <w:rFonts w:hint="eastAsia" w:ascii="方正仿宋_GBK" w:hAnsi="方正仿宋_GBK" w:eastAsia="方正仿宋_GBK" w:cs="方正仿宋_GBK"/>
          <w:color w:val="auto"/>
          <w:kern w:val="0"/>
          <w:sz w:val="32"/>
          <w:szCs w:val="32"/>
          <w:highlight w:val="none"/>
          <w:lang w:val="en-US" w:eastAsia="zh-CN" w:bidi="ar"/>
        </w:rPr>
        <w:t>6</w:t>
      </w:r>
      <w:r>
        <w:rPr>
          <w:rFonts w:hint="eastAsia" w:ascii="方正仿宋_GBK" w:hAnsi="方正仿宋_GBK" w:eastAsia="方正仿宋_GBK" w:cs="方正仿宋_GBK"/>
          <w:color w:val="auto"/>
          <w:kern w:val="0"/>
          <w:sz w:val="32"/>
          <w:szCs w:val="32"/>
          <w:highlight w:val="none"/>
          <w:lang w:bidi="ar"/>
        </w:rPr>
        <w:t>月</w:t>
      </w:r>
      <w:r>
        <w:rPr>
          <w:rFonts w:hint="eastAsia" w:ascii="方正仿宋_GBK" w:hAnsi="方正仿宋_GBK" w:eastAsia="方正仿宋_GBK" w:cs="方正仿宋_GBK"/>
          <w:color w:val="auto"/>
          <w:kern w:val="0"/>
          <w:sz w:val="32"/>
          <w:szCs w:val="32"/>
          <w:highlight w:val="none"/>
          <w:lang w:val="en-US" w:eastAsia="zh-CN" w:bidi="ar"/>
        </w:rPr>
        <w:t>10</w:t>
      </w:r>
      <w:r>
        <w:rPr>
          <w:rFonts w:hint="eastAsia" w:ascii="方正仿宋_GBK" w:hAnsi="方正仿宋_GBK" w:eastAsia="方正仿宋_GBK" w:cs="方正仿宋_GBK"/>
          <w:color w:val="auto"/>
          <w:kern w:val="0"/>
          <w:sz w:val="32"/>
          <w:szCs w:val="32"/>
          <w:highlight w:val="none"/>
          <w:lang w:bidi="ar"/>
        </w:rPr>
        <w:t>日前</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bidi="ar"/>
        </w:rPr>
      </w:pPr>
      <w:r>
        <w:rPr>
          <w:rFonts w:hint="eastAsia" w:ascii="方正仿宋_GBK" w:hAnsi="方正仿宋_GBK" w:eastAsia="方正仿宋_GBK" w:cs="方正仿宋_GBK"/>
          <w:color w:val="auto"/>
          <w:kern w:val="0"/>
          <w:sz w:val="32"/>
          <w:szCs w:val="32"/>
          <w:highlight w:val="none"/>
          <w:lang w:bidi="ar"/>
        </w:rPr>
        <w:t>撰写评价报告（20</w:t>
      </w:r>
      <w:r>
        <w:rPr>
          <w:rFonts w:hint="eastAsia" w:ascii="方正仿宋_GBK" w:hAnsi="方正仿宋_GBK" w:eastAsia="方正仿宋_GBK" w:cs="方正仿宋_GBK"/>
          <w:color w:val="auto"/>
          <w:kern w:val="0"/>
          <w:sz w:val="32"/>
          <w:szCs w:val="32"/>
          <w:highlight w:val="none"/>
          <w:lang w:val="en-US" w:eastAsia="zh-CN" w:bidi="ar"/>
        </w:rPr>
        <w:t>23</w:t>
      </w:r>
      <w:r>
        <w:rPr>
          <w:rFonts w:hint="eastAsia" w:ascii="方正仿宋_GBK" w:hAnsi="方正仿宋_GBK" w:eastAsia="方正仿宋_GBK" w:cs="方正仿宋_GBK"/>
          <w:color w:val="auto"/>
          <w:kern w:val="0"/>
          <w:sz w:val="32"/>
          <w:szCs w:val="32"/>
          <w:highlight w:val="none"/>
          <w:lang w:bidi="ar"/>
        </w:rPr>
        <w:t>年</w:t>
      </w:r>
      <w:r>
        <w:rPr>
          <w:rFonts w:hint="eastAsia" w:ascii="方正仿宋_GBK" w:hAnsi="方正仿宋_GBK" w:eastAsia="方正仿宋_GBK" w:cs="方正仿宋_GBK"/>
          <w:color w:val="auto"/>
          <w:kern w:val="0"/>
          <w:sz w:val="32"/>
          <w:szCs w:val="32"/>
          <w:highlight w:val="none"/>
          <w:lang w:val="en-US" w:eastAsia="zh-CN" w:bidi="ar"/>
        </w:rPr>
        <w:t>6</w:t>
      </w:r>
      <w:r>
        <w:rPr>
          <w:rFonts w:hint="eastAsia" w:ascii="方正仿宋_GBK" w:hAnsi="方正仿宋_GBK" w:eastAsia="方正仿宋_GBK" w:cs="方正仿宋_GBK"/>
          <w:color w:val="auto"/>
          <w:kern w:val="0"/>
          <w:sz w:val="32"/>
          <w:szCs w:val="32"/>
          <w:highlight w:val="none"/>
          <w:lang w:bidi="ar"/>
        </w:rPr>
        <w:t>月</w:t>
      </w:r>
      <w:r>
        <w:rPr>
          <w:rFonts w:hint="eastAsia" w:ascii="方正仿宋_GBK" w:hAnsi="方正仿宋_GBK" w:eastAsia="方正仿宋_GBK" w:cs="方正仿宋_GBK"/>
          <w:color w:val="auto"/>
          <w:kern w:val="0"/>
          <w:sz w:val="32"/>
          <w:szCs w:val="32"/>
          <w:highlight w:val="none"/>
          <w:lang w:val="en-US" w:eastAsia="zh-CN" w:bidi="ar"/>
        </w:rPr>
        <w:t>10</w:t>
      </w:r>
      <w:r>
        <w:rPr>
          <w:rFonts w:hint="eastAsia" w:ascii="方正仿宋_GBK" w:hAnsi="方正仿宋_GBK" w:eastAsia="方正仿宋_GBK" w:cs="方正仿宋_GBK"/>
          <w:color w:val="auto"/>
          <w:kern w:val="0"/>
          <w:sz w:val="32"/>
          <w:szCs w:val="32"/>
          <w:highlight w:val="none"/>
          <w:lang w:bidi="ar"/>
        </w:rPr>
        <w:t>日前）。项目评价组根据绩效评价的原理，对收集的数据汇总和分析，撰写绩效评价报告，形成绩效评价报告初稿，征求项目实施单位意见，双方意见达成一致后在规定时间内上报</w:t>
      </w:r>
      <w:r>
        <w:rPr>
          <w:rFonts w:hint="eastAsia" w:ascii="方正仿宋_GBK" w:hAnsi="方正仿宋_GBK" w:eastAsia="方正仿宋_GBK" w:cs="方正仿宋_GBK"/>
          <w:color w:val="auto"/>
          <w:kern w:val="0"/>
          <w:sz w:val="32"/>
          <w:szCs w:val="32"/>
          <w:highlight w:val="none"/>
          <w:lang w:eastAsia="zh-CN" w:bidi="ar"/>
        </w:rPr>
        <w:t>伽师县</w:t>
      </w:r>
      <w:r>
        <w:rPr>
          <w:rFonts w:hint="eastAsia" w:ascii="方正仿宋_GBK" w:hAnsi="方正仿宋_GBK" w:eastAsia="方正仿宋_GBK" w:cs="方正仿宋_GBK"/>
          <w:color w:val="auto"/>
          <w:kern w:val="0"/>
          <w:sz w:val="32"/>
          <w:szCs w:val="32"/>
          <w:highlight w:val="none"/>
          <w:lang w:bidi="ar"/>
        </w:rPr>
        <w:t>财政局</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bidi="ar"/>
        </w:rPr>
        <w:t>并根据伽师县财政局的安排与单位沟通确认。</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eastAsia="zh-Hans" w:bidi="ar"/>
        </w:rPr>
      </w:pPr>
      <w:bookmarkStart w:id="105" w:name="_Toc18424"/>
      <w:bookmarkStart w:id="106" w:name="_Toc28539832"/>
      <w:bookmarkStart w:id="107" w:name="_Toc11150"/>
      <w:bookmarkStart w:id="108" w:name="_Toc16341"/>
      <w:bookmarkStart w:id="109" w:name="_Toc11504"/>
      <w:bookmarkStart w:id="110" w:name="_Toc31041"/>
      <w:bookmarkStart w:id="111" w:name="_Toc1846"/>
      <w:bookmarkStart w:id="112" w:name="_Toc6934"/>
      <w:bookmarkStart w:id="113" w:name="_Toc6281"/>
      <w:bookmarkStart w:id="114" w:name="_Toc20216"/>
      <w:bookmarkStart w:id="115" w:name="_Toc31770"/>
      <w:r>
        <w:rPr>
          <w:rFonts w:hint="eastAsia" w:ascii="方正仿宋_GBK" w:hAnsi="方正仿宋_GBK" w:eastAsia="方正仿宋_GBK" w:cs="方正仿宋_GBK"/>
          <w:color w:val="auto"/>
          <w:kern w:val="0"/>
          <w:sz w:val="32"/>
          <w:szCs w:val="32"/>
          <w:highlight w:val="none"/>
          <w:lang w:eastAsia="zh-Hans" w:bidi="ar"/>
        </w:rPr>
        <w:t>（4）报告评审修改阶段：2023年7月19日——2023年7月24日</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eastAsia="zh-Hans" w:bidi="ar"/>
        </w:rPr>
      </w:pPr>
      <w:r>
        <w:rPr>
          <w:rFonts w:hint="eastAsia" w:ascii="方正仿宋_GBK" w:hAnsi="方正仿宋_GBK" w:eastAsia="方正仿宋_GBK" w:cs="方正仿宋_GBK"/>
          <w:color w:val="auto"/>
          <w:kern w:val="0"/>
          <w:sz w:val="32"/>
          <w:szCs w:val="32"/>
          <w:highlight w:val="none"/>
          <w:lang w:eastAsia="zh-Hans" w:bidi="ar"/>
        </w:rPr>
        <w:t>财政局牵头组织人大</w:t>
      </w:r>
      <w:r>
        <w:rPr>
          <w:rFonts w:hint="eastAsia" w:ascii="方正仿宋_GBK" w:hAnsi="方正仿宋_GBK" w:eastAsia="方正仿宋_GBK" w:cs="方正仿宋_GBK"/>
          <w:color w:val="auto"/>
          <w:kern w:val="0"/>
          <w:sz w:val="32"/>
          <w:szCs w:val="32"/>
          <w:highlight w:val="none"/>
          <w:lang w:eastAsia="zh-CN" w:bidi="ar"/>
        </w:rPr>
        <w:t>代表</w:t>
      </w:r>
      <w:r>
        <w:rPr>
          <w:rFonts w:hint="eastAsia" w:ascii="方正仿宋_GBK" w:hAnsi="方正仿宋_GBK" w:eastAsia="方正仿宋_GBK" w:cs="方正仿宋_GBK"/>
          <w:color w:val="auto"/>
          <w:kern w:val="0"/>
          <w:sz w:val="32"/>
          <w:szCs w:val="32"/>
          <w:highlight w:val="none"/>
          <w:lang w:eastAsia="zh-Hans" w:bidi="ar"/>
        </w:rPr>
        <w:t>，</w:t>
      </w:r>
      <w:r>
        <w:rPr>
          <w:rFonts w:hint="eastAsia" w:ascii="方正仿宋_GBK" w:hAnsi="方正仿宋_GBK" w:eastAsia="方正仿宋_GBK" w:cs="方正仿宋_GBK"/>
          <w:color w:val="auto"/>
          <w:kern w:val="0"/>
          <w:sz w:val="32"/>
          <w:szCs w:val="32"/>
          <w:highlight w:val="none"/>
          <w:lang w:eastAsia="zh-CN" w:bidi="ar"/>
        </w:rPr>
        <w:t>政协委员、审计部门代表、</w:t>
      </w:r>
      <w:r>
        <w:rPr>
          <w:rFonts w:hint="eastAsia" w:ascii="方正仿宋_GBK" w:hAnsi="方正仿宋_GBK" w:eastAsia="方正仿宋_GBK" w:cs="方正仿宋_GBK"/>
          <w:color w:val="auto"/>
          <w:kern w:val="0"/>
          <w:sz w:val="32"/>
          <w:szCs w:val="32"/>
          <w:highlight w:val="none"/>
          <w:lang w:eastAsia="zh-Hans" w:bidi="ar"/>
        </w:rPr>
        <w:t>财政部门</w:t>
      </w:r>
      <w:r>
        <w:rPr>
          <w:rFonts w:hint="eastAsia" w:ascii="方正仿宋_GBK" w:hAnsi="方正仿宋_GBK" w:eastAsia="方正仿宋_GBK" w:cs="方正仿宋_GBK"/>
          <w:color w:val="auto"/>
          <w:kern w:val="0"/>
          <w:sz w:val="32"/>
          <w:szCs w:val="32"/>
          <w:highlight w:val="none"/>
          <w:lang w:eastAsia="zh-CN" w:bidi="ar"/>
        </w:rPr>
        <w:t>代表、</w:t>
      </w:r>
      <w:r>
        <w:rPr>
          <w:rFonts w:hint="eastAsia" w:ascii="方正仿宋_GBK" w:hAnsi="方正仿宋_GBK" w:eastAsia="方正仿宋_GBK" w:cs="方正仿宋_GBK"/>
          <w:color w:val="auto"/>
          <w:kern w:val="0"/>
          <w:sz w:val="32"/>
          <w:szCs w:val="32"/>
          <w:highlight w:val="none"/>
          <w:lang w:eastAsia="zh-Hans" w:bidi="ar"/>
        </w:rPr>
        <w:t>绩效评价专家</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eastAsia="zh-Hans" w:bidi="ar"/>
        </w:rPr>
        <w:t>行业专家</w:t>
      </w:r>
      <w:r>
        <w:rPr>
          <w:rFonts w:hint="eastAsia" w:ascii="方正仿宋_GBK" w:hAnsi="方正仿宋_GBK" w:eastAsia="方正仿宋_GBK" w:cs="方正仿宋_GBK"/>
          <w:color w:val="auto"/>
          <w:kern w:val="0"/>
          <w:sz w:val="32"/>
          <w:szCs w:val="32"/>
          <w:highlight w:val="none"/>
          <w:lang w:eastAsia="zh-CN" w:bidi="ar"/>
        </w:rPr>
        <w:t>、被评价领域行业专家</w:t>
      </w:r>
      <w:r>
        <w:rPr>
          <w:rFonts w:hint="eastAsia" w:ascii="方正仿宋_GBK" w:hAnsi="方正仿宋_GBK" w:eastAsia="方正仿宋_GBK" w:cs="方正仿宋_GBK"/>
          <w:color w:val="auto"/>
          <w:kern w:val="0"/>
          <w:sz w:val="32"/>
          <w:szCs w:val="32"/>
          <w:highlight w:val="none"/>
          <w:lang w:eastAsia="zh-Hans" w:bidi="ar"/>
        </w:rPr>
        <w:t>以及第三方机构代表开展财政绩效评价报告评审会议。绩效评价工作小组根据评审建议逐条修改报告并报专家评审组组长</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eastAsia="zh-Hans" w:bidi="ar"/>
        </w:rPr>
        <w:t>绩效评价</w:t>
      </w:r>
      <w:r>
        <w:rPr>
          <w:rFonts w:hint="eastAsia" w:ascii="方正仿宋_GBK" w:hAnsi="方正仿宋_GBK" w:eastAsia="方正仿宋_GBK" w:cs="方正仿宋_GBK"/>
          <w:color w:val="auto"/>
          <w:kern w:val="0"/>
          <w:sz w:val="32"/>
          <w:szCs w:val="32"/>
          <w:highlight w:val="none"/>
          <w:lang w:eastAsia="zh-CN" w:bidi="ar"/>
        </w:rPr>
        <w:t>股</w:t>
      </w:r>
      <w:r>
        <w:rPr>
          <w:rFonts w:hint="eastAsia" w:ascii="方正仿宋_GBK" w:hAnsi="方正仿宋_GBK" w:eastAsia="方正仿宋_GBK" w:cs="方正仿宋_GBK"/>
          <w:color w:val="auto"/>
          <w:kern w:val="0"/>
          <w:sz w:val="32"/>
          <w:szCs w:val="32"/>
          <w:highlight w:val="none"/>
          <w:lang w:eastAsia="zh-Hans" w:bidi="ar"/>
        </w:rPr>
        <w:t>审核。</w:t>
      </w:r>
    </w:p>
    <w:p>
      <w:pPr>
        <w:keepNext w:val="0"/>
        <w:keepLines w:val="0"/>
        <w:pageBreakBefore w:val="0"/>
        <w:widowControl/>
        <w:kinsoku/>
        <w:wordWrap/>
        <w:topLinePunct w:val="0"/>
        <w:bidi w:val="0"/>
        <w:snapToGrid/>
        <w:spacing w:line="570" w:lineRule="exact"/>
        <w:ind w:firstLine="643" w:firstLineChars="200"/>
        <w:jc w:val="both"/>
        <w:rPr>
          <w:rFonts w:hint="eastAsia" w:ascii="方正仿宋_GBK" w:hAnsi="方正仿宋_GBK" w:eastAsia="方正仿宋_GBK" w:cs="方正仿宋_GBK"/>
          <w:b/>
          <w:bCs/>
          <w:color w:val="auto"/>
          <w:kern w:val="0"/>
          <w:sz w:val="32"/>
          <w:szCs w:val="32"/>
          <w:highlight w:val="none"/>
          <w:lang w:eastAsia="zh-CN" w:bidi="ar"/>
        </w:rPr>
      </w:pPr>
      <w:r>
        <w:rPr>
          <w:rFonts w:hint="eastAsia" w:ascii="方正仿宋_GBK" w:hAnsi="方正仿宋_GBK" w:eastAsia="方正仿宋_GBK" w:cs="方正仿宋_GBK"/>
          <w:b/>
          <w:bCs/>
          <w:color w:val="auto"/>
          <w:kern w:val="0"/>
          <w:sz w:val="32"/>
          <w:szCs w:val="32"/>
          <w:highlight w:val="none"/>
          <w:lang w:eastAsia="zh-Hans" w:bidi="ar"/>
        </w:rPr>
        <w:t>3.专家评审意见</w:t>
      </w:r>
      <w:r>
        <w:rPr>
          <w:rFonts w:hint="eastAsia" w:ascii="方正仿宋_GBK" w:hAnsi="方正仿宋_GBK" w:eastAsia="方正仿宋_GBK" w:cs="方正仿宋_GBK"/>
          <w:b/>
          <w:bCs/>
          <w:color w:val="auto"/>
          <w:kern w:val="0"/>
          <w:sz w:val="32"/>
          <w:szCs w:val="32"/>
          <w:highlight w:val="none"/>
          <w:lang w:eastAsia="zh-CN" w:bidi="ar"/>
        </w:rPr>
        <w:t>及沟通情况</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eastAsia="zh-Hans" w:bidi="ar"/>
        </w:rPr>
      </w:pPr>
      <w:r>
        <w:rPr>
          <w:rFonts w:hint="eastAsia" w:ascii="方正仿宋_GBK" w:hAnsi="方正仿宋_GBK" w:eastAsia="方正仿宋_GBK" w:cs="方正仿宋_GBK"/>
          <w:color w:val="auto"/>
          <w:kern w:val="0"/>
          <w:sz w:val="32"/>
          <w:szCs w:val="32"/>
          <w:highlight w:val="none"/>
          <w:lang w:eastAsia="zh-Hans" w:bidi="ar"/>
        </w:rPr>
        <w:t>根据专家评审组针对该项目提出的：1.绩效情况只写资金未体现使用情况等方面；2.存在问题及相关建议与项目不符等存在问题。</w:t>
      </w:r>
      <w:r>
        <w:rPr>
          <w:rFonts w:hint="eastAsia" w:ascii="方正仿宋_GBK" w:hAnsi="方正仿宋_GBK" w:eastAsia="方正仿宋_GBK" w:cs="方正仿宋_GBK"/>
          <w:color w:val="auto"/>
          <w:kern w:val="0"/>
          <w:sz w:val="32"/>
          <w:szCs w:val="32"/>
          <w:highlight w:val="none"/>
          <w:lang w:eastAsia="zh-CN" w:bidi="ar"/>
        </w:rPr>
        <w:t>根据专家评审组提出的问题对报告进行修改完善：</w:t>
      </w:r>
      <w:r>
        <w:rPr>
          <w:rFonts w:hint="eastAsia" w:ascii="方正仿宋_GBK" w:hAnsi="方正仿宋_GBK" w:eastAsia="方正仿宋_GBK" w:cs="方正仿宋_GBK"/>
          <w:color w:val="auto"/>
          <w:kern w:val="0"/>
          <w:sz w:val="32"/>
          <w:szCs w:val="32"/>
          <w:highlight w:val="none"/>
          <w:lang w:val="en-US" w:eastAsia="zh-CN" w:bidi="ar"/>
        </w:rPr>
        <w:t>1.</w:t>
      </w:r>
      <w:r>
        <w:rPr>
          <w:rFonts w:hint="eastAsia" w:ascii="方正仿宋_GBK" w:hAnsi="方正仿宋_GBK" w:eastAsia="方正仿宋_GBK" w:cs="方正仿宋_GBK"/>
          <w:color w:val="auto"/>
          <w:kern w:val="0"/>
          <w:sz w:val="32"/>
          <w:szCs w:val="32"/>
          <w:highlight w:val="none"/>
          <w:lang w:eastAsia="zh-Hans" w:bidi="ar"/>
        </w:rPr>
        <w:t>丰富绩效情况内容，增加项目实施情况及效益等；</w:t>
      </w:r>
      <w:r>
        <w:rPr>
          <w:rFonts w:hint="eastAsia" w:ascii="方正仿宋_GBK" w:hAnsi="方正仿宋_GBK" w:eastAsia="方正仿宋_GBK" w:cs="方正仿宋_GBK"/>
          <w:color w:val="auto"/>
          <w:kern w:val="0"/>
          <w:sz w:val="32"/>
          <w:szCs w:val="32"/>
          <w:highlight w:val="none"/>
          <w:lang w:val="en-US" w:eastAsia="zh-CN" w:bidi="ar"/>
        </w:rPr>
        <w:t>2.</w:t>
      </w:r>
      <w:r>
        <w:rPr>
          <w:rFonts w:hint="eastAsia" w:ascii="方正仿宋_GBK" w:hAnsi="方正仿宋_GBK" w:eastAsia="方正仿宋_GBK" w:cs="方正仿宋_GBK"/>
          <w:color w:val="auto"/>
          <w:kern w:val="0"/>
          <w:sz w:val="32"/>
          <w:szCs w:val="32"/>
          <w:highlight w:val="none"/>
          <w:lang w:eastAsia="zh-CN" w:bidi="ar"/>
        </w:rPr>
        <w:t>再次</w:t>
      </w:r>
      <w:r>
        <w:rPr>
          <w:rFonts w:hint="eastAsia" w:ascii="方正仿宋_GBK" w:hAnsi="方正仿宋_GBK" w:eastAsia="方正仿宋_GBK" w:cs="方正仿宋_GBK"/>
          <w:color w:val="auto"/>
          <w:kern w:val="0"/>
          <w:sz w:val="32"/>
          <w:szCs w:val="32"/>
          <w:highlight w:val="none"/>
          <w:lang w:eastAsia="zh-Hans" w:bidi="ar"/>
        </w:rPr>
        <w:t>与单位项目负责人沟通，根据项目实际情况重新写出切合实际的存在问题并提出相应的建议。</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eastAsia="zh-CN" w:bidi="ar"/>
        </w:rPr>
      </w:pPr>
      <w:r>
        <w:rPr>
          <w:rFonts w:hint="eastAsia" w:ascii="方正仿宋_GBK" w:hAnsi="方正仿宋_GBK" w:eastAsia="方正仿宋_GBK" w:cs="方正仿宋_GBK"/>
          <w:color w:val="auto"/>
          <w:kern w:val="0"/>
          <w:sz w:val="32"/>
          <w:szCs w:val="32"/>
          <w:highlight w:val="none"/>
          <w:lang w:eastAsia="zh-CN" w:bidi="ar"/>
        </w:rPr>
        <w:t>将修改无误的报告反馈单位，由单位审核后签署《报告确认函》，将由主评人签字确认的报告定稿交财政局绩效股。</w:t>
      </w:r>
    </w:p>
    <w:p>
      <w:pPr>
        <w:keepNext w:val="0"/>
        <w:keepLines w:val="0"/>
        <w:pageBreakBefore w:val="0"/>
        <w:widowControl/>
        <w:kinsoku/>
        <w:wordWrap/>
        <w:topLinePunct w:val="0"/>
        <w:bidi w:val="0"/>
        <w:snapToGrid/>
        <w:spacing w:line="570" w:lineRule="exact"/>
        <w:ind w:firstLine="640" w:firstLineChars="200"/>
        <w:rPr>
          <w:rFonts w:hint="eastAsia" w:ascii="方正黑体_GBK" w:hAnsi="方正黑体_GBK" w:eastAsia="方正黑体_GBK" w:cs="方正黑体_GBK"/>
          <w:b w:val="0"/>
          <w:bCs/>
          <w:color w:val="auto"/>
          <w:kern w:val="0"/>
          <w:sz w:val="32"/>
          <w:szCs w:val="32"/>
          <w:highlight w:val="none"/>
          <w:lang w:eastAsia="zh-CN"/>
        </w:rPr>
      </w:pPr>
      <w:bookmarkStart w:id="116" w:name="_Toc14270_WPSOffice_Level1"/>
      <w:r>
        <w:rPr>
          <w:rFonts w:hint="eastAsia" w:ascii="方正黑体_GBK" w:hAnsi="方正黑体_GBK" w:eastAsia="方正黑体_GBK" w:cs="方正黑体_GBK"/>
          <w:b w:val="0"/>
          <w:bCs/>
          <w:color w:val="auto"/>
          <w:kern w:val="0"/>
          <w:sz w:val="32"/>
          <w:szCs w:val="32"/>
          <w:highlight w:val="none"/>
        </w:rPr>
        <w:t>三、</w:t>
      </w:r>
      <w:bookmarkEnd w:id="105"/>
      <w:bookmarkEnd w:id="106"/>
      <w:bookmarkEnd w:id="107"/>
      <w:bookmarkEnd w:id="108"/>
      <w:bookmarkEnd w:id="109"/>
      <w:bookmarkEnd w:id="110"/>
      <w:bookmarkEnd w:id="111"/>
      <w:bookmarkEnd w:id="112"/>
      <w:bookmarkEnd w:id="113"/>
      <w:bookmarkEnd w:id="114"/>
      <w:bookmarkEnd w:id="115"/>
      <w:r>
        <w:rPr>
          <w:rFonts w:hint="eastAsia" w:ascii="方正黑体_GBK" w:hAnsi="方正黑体_GBK" w:eastAsia="方正黑体_GBK" w:cs="方正黑体_GBK"/>
          <w:sz w:val="32"/>
          <w:szCs w:val="32"/>
          <w:highlight w:val="none"/>
        </w:rPr>
        <w:t>综合评价情况及评价结论</w:t>
      </w:r>
      <w:bookmarkEnd w:id="116"/>
    </w:p>
    <w:p>
      <w:pPr>
        <w:pStyle w:val="29"/>
        <w:pageBreakBefore w:val="0"/>
        <w:kinsoku/>
        <w:wordWrap/>
        <w:topLinePunct w:val="0"/>
        <w:autoSpaceDE/>
        <w:bidi w:val="0"/>
        <w:spacing w:before="0" w:after="0" w:line="570" w:lineRule="exact"/>
        <w:ind w:left="480" w:leftChars="200" w:firstLine="0" w:firstLineChars="0"/>
        <w:rPr>
          <w:rFonts w:hint="eastAsia" w:ascii="方正楷体_GBK" w:hAnsi="方正楷体_GBK" w:eastAsia="方正楷体_GBK" w:cs="方正楷体_GBK"/>
          <w:b/>
          <w:bCs/>
          <w:color w:val="auto"/>
          <w:sz w:val="32"/>
          <w:highlight w:val="none"/>
        </w:rPr>
      </w:pPr>
      <w:bookmarkStart w:id="117" w:name="_Toc68364665"/>
      <w:bookmarkStart w:id="118" w:name="_Toc11511_WPSOffice_Level2"/>
      <w:r>
        <w:rPr>
          <w:rFonts w:hint="eastAsia" w:ascii="方正楷体_GBK" w:hAnsi="方正楷体_GBK" w:eastAsia="方正楷体_GBK" w:cs="方正楷体_GBK"/>
          <w:b/>
          <w:bCs/>
          <w:color w:val="auto"/>
          <w:sz w:val="32"/>
          <w:highlight w:val="none"/>
        </w:rPr>
        <w:t>（一）综合评价情况</w:t>
      </w:r>
      <w:bookmarkEnd w:id="117"/>
      <w:bookmarkEnd w:id="118"/>
    </w:p>
    <w:p>
      <w:pPr>
        <w:pageBreakBefore w:val="0"/>
        <w:kinsoku/>
        <w:wordWrap/>
        <w:topLinePunct w:val="0"/>
        <w:autoSpaceDE/>
        <w:autoSpaceDN/>
        <w:bidi w:val="0"/>
        <w:spacing w:line="57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经评价组通过实地调研</w:t>
      </w:r>
      <w:r>
        <w:rPr>
          <w:rFonts w:hint="eastAsia" w:ascii="方正仿宋_GBK" w:hAnsi="方正仿宋_GBK" w:eastAsia="方正仿宋_GBK" w:cs="方正仿宋_GBK"/>
          <w:color w:val="auto"/>
          <w:sz w:val="32"/>
          <w:szCs w:val="32"/>
          <w:highlight w:val="none"/>
          <w:lang w:eastAsia="zh-CN"/>
        </w:rPr>
        <w:t>、数据分析、访谈及</w:t>
      </w:r>
      <w:r>
        <w:rPr>
          <w:rFonts w:hint="eastAsia" w:ascii="方正仿宋_GBK" w:hAnsi="方正仿宋_GBK" w:eastAsia="方正仿宋_GBK" w:cs="方正仿宋_GBK"/>
          <w:color w:val="auto"/>
          <w:sz w:val="32"/>
          <w:szCs w:val="32"/>
          <w:highlight w:val="none"/>
        </w:rPr>
        <w:t>问卷调查法等方式，根据绩效评价方案确定的指标体系及评分标准，对“2022年国有企业退休人员社会化服务项目”绩效进行客观评价，</w:t>
      </w:r>
      <w:r>
        <w:rPr>
          <w:rFonts w:hint="eastAsia" w:ascii="方正仿宋_GBK" w:hAnsi="方正仿宋_GBK" w:eastAsia="方正仿宋_GBK" w:cs="方正仿宋_GBK"/>
          <w:color w:val="auto"/>
          <w:sz w:val="32"/>
          <w:szCs w:val="32"/>
          <w:highlight w:val="none"/>
          <w:lang w:eastAsia="zh-CN"/>
        </w:rPr>
        <w:t>该项目共设置绩效目标</w:t>
      </w:r>
      <w:r>
        <w:rPr>
          <w:rFonts w:hint="eastAsia" w:ascii="方正仿宋_GBK" w:hAnsi="方正仿宋_GBK" w:eastAsia="方正仿宋_GBK" w:cs="方正仿宋_GBK"/>
          <w:color w:val="auto"/>
          <w:sz w:val="32"/>
          <w:szCs w:val="32"/>
          <w:highlight w:val="none"/>
          <w:lang w:val="en-US" w:eastAsia="zh-CN"/>
        </w:rPr>
        <w:t>26个，实现目标24个，完成率92.31%。项目决策指标共设置6个，满分指标6个，得分率100%；项目过程指标共设置5个，满分指标4个，得分率94.5%；项目产出指标共设置11个，满分指标10个，得分率99.5%；项目效益指标共设置4个，满分指标3个，得分率98.15%。该项目组织比较规范，完成情况良好，大部分指标实现了预期目标。</w:t>
      </w:r>
    </w:p>
    <w:p>
      <w:pPr>
        <w:pageBreakBefore w:val="0"/>
        <w:kinsoku/>
        <w:wordWrap/>
        <w:topLinePunct w:val="0"/>
        <w:autoSpaceDE/>
        <w:bidi w:val="0"/>
        <w:spacing w:line="570" w:lineRule="exact"/>
        <w:ind w:firstLine="643" w:firstLineChars="200"/>
        <w:rPr>
          <w:rFonts w:hint="eastAsia" w:ascii="方正楷体_GBK" w:hAnsi="方正楷体_GBK" w:eastAsia="方正楷体_GBK" w:cs="方正楷体_GBK"/>
          <w:b/>
          <w:bCs/>
          <w:color w:val="auto"/>
          <w:sz w:val="32"/>
          <w:szCs w:val="32"/>
          <w:highlight w:val="none"/>
          <w:lang w:eastAsia="zh-CN"/>
        </w:rPr>
      </w:pPr>
      <w:bookmarkStart w:id="119" w:name="_Toc25798_WPSOffice_Level2"/>
      <w:r>
        <w:rPr>
          <w:rFonts w:hint="eastAsia" w:ascii="方正楷体_GBK" w:hAnsi="方正楷体_GBK" w:eastAsia="方正楷体_GBK" w:cs="方正楷体_GBK"/>
          <w:b/>
          <w:bCs/>
          <w:color w:val="auto"/>
          <w:sz w:val="32"/>
          <w:szCs w:val="32"/>
          <w:highlight w:val="none"/>
          <w:lang w:eastAsia="zh-CN"/>
        </w:rPr>
        <w:t>（二）综合评价结论</w:t>
      </w:r>
      <w:bookmarkEnd w:id="119"/>
    </w:p>
    <w:p>
      <w:pPr>
        <w:pStyle w:val="20"/>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color w:val="auto"/>
          <w:sz w:val="32"/>
          <w:szCs w:val="32"/>
          <w:highlight w:val="none"/>
        </w:rPr>
        <w:t>依据《中共中央国务院关于全面实施预算绩效管理的意见》、《项目支出绩效评价管理办法》（财预〔2020〕10号）以及《关于进一步加强和规范喀什地区项目支出“全过程”预算绩效管理结果应用的通知》（喀地财绩〔2022〕2号）文件，绩效评价总分设置为100分，划分为四档：90（含）-100分为“优”、80（含）-90分为“良”、70（含）-80分为“中”、70分以下为“差”。</w:t>
      </w:r>
      <w:r>
        <w:rPr>
          <w:rFonts w:hint="eastAsia" w:ascii="方正仿宋_GBK" w:hAnsi="方正仿宋_GBK" w:eastAsia="方正仿宋_GBK" w:cs="方正仿宋_GBK"/>
          <w:color w:val="auto"/>
          <w:sz w:val="32"/>
          <w:szCs w:val="32"/>
          <w:highlight w:val="none"/>
          <w:lang w:eastAsia="zh-CN"/>
        </w:rPr>
        <w:t>该项目</w:t>
      </w:r>
      <w:r>
        <w:rPr>
          <w:rFonts w:hint="eastAsia" w:ascii="方正仿宋_GBK" w:hAnsi="方正仿宋_GBK" w:eastAsia="方正仿宋_GBK" w:cs="方正仿宋_GBK"/>
          <w:color w:val="auto"/>
          <w:sz w:val="32"/>
          <w:szCs w:val="32"/>
          <w:highlight w:val="none"/>
        </w:rPr>
        <w:t>最终评分结果为</w:t>
      </w:r>
      <w:r>
        <w:rPr>
          <w:rFonts w:hint="eastAsia" w:ascii="方正仿宋_GBK" w:hAnsi="方正仿宋_GBK" w:eastAsia="方正仿宋_GBK" w:cs="方正仿宋_GBK"/>
          <w:color w:val="auto"/>
          <w:sz w:val="32"/>
          <w:szCs w:val="32"/>
          <w:highlight w:val="none"/>
          <w:lang w:val="en-US" w:eastAsia="zh-CN"/>
        </w:rPr>
        <w:t>98.33</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，评定等级为“优”</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评价</w:t>
      </w:r>
      <w:r>
        <w:rPr>
          <w:rFonts w:hint="eastAsia" w:ascii="方正仿宋_GBK" w:hAnsi="方正仿宋_GBK" w:eastAsia="方正仿宋_GBK" w:cs="方正仿宋_GBK"/>
          <w:color w:val="auto"/>
          <w:sz w:val="32"/>
          <w:szCs w:val="32"/>
          <w:highlight w:val="none"/>
        </w:rPr>
        <w:t>得分情况详见表3-1。评分过程详见附件1</w:t>
      </w:r>
      <w:r>
        <w:rPr>
          <w:rFonts w:hint="eastAsia" w:ascii="方正仿宋_GBK" w:hAnsi="方正仿宋_GBK" w:eastAsia="方正仿宋_GBK" w:cs="方正仿宋_GBK"/>
          <w:color w:val="auto"/>
          <w:sz w:val="32"/>
          <w:szCs w:val="32"/>
          <w:highlight w:val="none"/>
          <w:lang w:eastAsia="zh-CN"/>
        </w:rPr>
        <w:t>。</w:t>
      </w:r>
    </w:p>
    <w:p>
      <w:pPr>
        <w:pStyle w:val="20"/>
        <w:keepNext w:val="0"/>
        <w:keepLines w:val="0"/>
        <w:pageBreakBefore w:val="0"/>
        <w:widowControl/>
        <w:kinsoku/>
        <w:wordWrap/>
        <w:overflowPunct/>
        <w:topLinePunct w:val="0"/>
        <w:autoSpaceDE/>
        <w:autoSpaceDN/>
        <w:bidi w:val="0"/>
        <w:adjustRightInd/>
        <w:snapToGrid/>
        <w:spacing w:line="570" w:lineRule="exact"/>
        <w:ind w:firstLine="643" w:firstLineChars="200"/>
        <w:jc w:val="center"/>
        <w:textAlignment w:val="auto"/>
        <w:rPr>
          <w:rFonts w:hint="eastAsia" w:ascii="方正仿宋_GBK" w:hAnsi="方正仿宋_GBK" w:eastAsia="方正仿宋_GBK" w:cs="方正仿宋_GBK"/>
          <w:b/>
          <w:color w:val="auto"/>
          <w:sz w:val="32"/>
          <w:szCs w:val="32"/>
          <w:highlight w:val="none"/>
        </w:rPr>
      </w:pPr>
      <w:bookmarkStart w:id="120" w:name="_Toc27413_WPSOffice_Level2"/>
      <w:bookmarkStart w:id="121" w:name="_Toc7801_WPSOffice_Level2"/>
      <w:r>
        <w:rPr>
          <w:rFonts w:hint="eastAsia" w:ascii="方正仿宋_GBK" w:hAnsi="方正仿宋_GBK" w:eastAsia="方正仿宋_GBK" w:cs="方正仿宋_GBK"/>
          <w:b/>
          <w:color w:val="auto"/>
          <w:sz w:val="32"/>
          <w:szCs w:val="32"/>
          <w:highlight w:val="none"/>
        </w:rPr>
        <w:t>表3-1项目指标得分情况汇总表</w:t>
      </w:r>
      <w:bookmarkEnd w:id="120"/>
      <w:bookmarkEnd w:id="121"/>
    </w:p>
    <w:tbl>
      <w:tblPr>
        <w:tblStyle w:val="14"/>
        <w:tblW w:w="85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3"/>
        <w:gridCol w:w="2166"/>
        <w:gridCol w:w="1858"/>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83" w:type="dxa"/>
            <w:tcBorders>
              <w:top w:val="single" w:color="auto" w:sz="4" w:space="0"/>
              <w:left w:val="single" w:color="auto" w:sz="4" w:space="0"/>
              <w:bottom w:val="single" w:color="auto" w:sz="4" w:space="0"/>
              <w:right w:val="single" w:color="auto" w:sz="4" w:space="0"/>
            </w:tcBorders>
            <w:shd w:val="clear" w:color="000000" w:fill="BEBEBE"/>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一级指标</w:t>
            </w:r>
          </w:p>
        </w:tc>
        <w:tc>
          <w:tcPr>
            <w:tcW w:w="2166" w:type="dxa"/>
            <w:tcBorders>
              <w:top w:val="single" w:color="auto" w:sz="4" w:space="0"/>
              <w:left w:val="nil"/>
              <w:bottom w:val="single" w:color="auto" w:sz="4" w:space="0"/>
              <w:right w:val="single" w:color="auto" w:sz="4" w:space="0"/>
            </w:tcBorders>
            <w:shd w:val="clear" w:color="000000" w:fill="BEBEBE"/>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权重分</w:t>
            </w:r>
          </w:p>
        </w:tc>
        <w:tc>
          <w:tcPr>
            <w:tcW w:w="1858" w:type="dxa"/>
            <w:tcBorders>
              <w:top w:val="single" w:color="auto" w:sz="4" w:space="0"/>
              <w:left w:val="nil"/>
              <w:bottom w:val="single" w:color="auto" w:sz="4" w:space="0"/>
              <w:right w:val="single" w:color="auto" w:sz="4" w:space="0"/>
            </w:tcBorders>
            <w:shd w:val="clear" w:color="000000" w:fill="BEBEBE"/>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得分</w:t>
            </w:r>
          </w:p>
        </w:tc>
        <w:tc>
          <w:tcPr>
            <w:tcW w:w="2012" w:type="dxa"/>
            <w:tcBorders>
              <w:top w:val="single" w:color="auto" w:sz="4" w:space="0"/>
              <w:left w:val="nil"/>
              <w:bottom w:val="single" w:color="auto" w:sz="4" w:space="0"/>
              <w:right w:val="single" w:color="auto" w:sz="4" w:space="0"/>
            </w:tcBorders>
            <w:shd w:val="clear" w:color="000000" w:fill="BEBEBE"/>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项目决策</w:t>
            </w:r>
          </w:p>
        </w:tc>
        <w:tc>
          <w:tcPr>
            <w:tcW w:w="21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20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rPr>
              <w:t>项目</w:t>
            </w:r>
            <w:r>
              <w:rPr>
                <w:rFonts w:hint="eastAsia" w:ascii="Times New Roman" w:hAnsi="Times New Roman" w:eastAsia="仿宋_GB2312" w:cs="Times New Roman"/>
                <w:color w:val="auto"/>
                <w:sz w:val="22"/>
                <w:highlight w:val="none"/>
                <w:lang w:eastAsia="zh-CN"/>
              </w:rPr>
              <w:t>过程</w:t>
            </w:r>
          </w:p>
        </w:tc>
        <w:tc>
          <w:tcPr>
            <w:tcW w:w="21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18.9</w:t>
            </w:r>
          </w:p>
        </w:tc>
        <w:tc>
          <w:tcPr>
            <w:tcW w:w="20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rPr>
              <w:t>项目</w:t>
            </w:r>
            <w:r>
              <w:rPr>
                <w:rFonts w:hint="eastAsia" w:ascii="Times New Roman" w:hAnsi="Times New Roman" w:eastAsia="仿宋_GB2312" w:cs="Times New Roman"/>
                <w:color w:val="auto"/>
                <w:sz w:val="22"/>
                <w:highlight w:val="none"/>
                <w:lang w:eastAsia="zh-CN"/>
              </w:rPr>
              <w:t>产出</w:t>
            </w:r>
          </w:p>
        </w:tc>
        <w:tc>
          <w:tcPr>
            <w:tcW w:w="21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40</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39.8</w:t>
            </w:r>
          </w:p>
        </w:tc>
        <w:tc>
          <w:tcPr>
            <w:tcW w:w="20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Times New Roman" w:hAnsi="Times New Roman" w:eastAsia="仿宋_GB2312" w:cs="Times New Roman"/>
                <w:color w:val="auto"/>
                <w:sz w:val="22"/>
                <w:highlight w:val="none"/>
                <w:lang w:eastAsia="zh-CN"/>
              </w:rPr>
            </w:pPr>
            <w:r>
              <w:rPr>
                <w:rFonts w:hint="eastAsia" w:ascii="Times New Roman" w:hAnsi="Times New Roman" w:eastAsia="仿宋_GB2312" w:cs="Times New Roman"/>
                <w:color w:val="auto"/>
                <w:sz w:val="22"/>
                <w:highlight w:val="none"/>
                <w:lang w:eastAsia="zh-CN"/>
              </w:rPr>
              <w:t>项目效益</w:t>
            </w:r>
          </w:p>
        </w:tc>
        <w:tc>
          <w:tcPr>
            <w:tcW w:w="21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19.63</w:t>
            </w:r>
          </w:p>
        </w:tc>
        <w:tc>
          <w:tcPr>
            <w:tcW w:w="20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合计</w:t>
            </w:r>
          </w:p>
        </w:tc>
        <w:tc>
          <w:tcPr>
            <w:tcW w:w="2166"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c>
          <w:tcPr>
            <w:tcW w:w="185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98.33</w:t>
            </w:r>
          </w:p>
        </w:tc>
        <w:tc>
          <w:tcPr>
            <w:tcW w:w="201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98.33%</w:t>
            </w:r>
          </w:p>
        </w:tc>
      </w:tr>
    </w:tbl>
    <w:p>
      <w:pPr>
        <w:pStyle w:val="21"/>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outlineLvl w:val="0"/>
        <w:rPr>
          <w:rFonts w:hint="eastAsia" w:ascii="方正黑体_GBK" w:hAnsi="方正黑体_GBK" w:eastAsia="方正黑体_GBK" w:cs="方正黑体_GBK"/>
          <w:b w:val="0"/>
          <w:bCs/>
          <w:color w:val="auto"/>
          <w:kern w:val="0"/>
          <w:sz w:val="32"/>
          <w:szCs w:val="32"/>
          <w:highlight w:val="none"/>
        </w:rPr>
      </w:pPr>
      <w:bookmarkStart w:id="122" w:name="_Toc31469"/>
      <w:bookmarkStart w:id="123" w:name="_Toc28255"/>
      <w:bookmarkStart w:id="124" w:name="_Toc28350_WPSOffice_Level1"/>
      <w:r>
        <w:rPr>
          <w:rFonts w:hint="eastAsia" w:ascii="方正黑体_GBK" w:hAnsi="方正黑体_GBK" w:eastAsia="方正黑体_GBK" w:cs="方正黑体_GBK"/>
          <w:b w:val="0"/>
          <w:bCs/>
          <w:color w:val="auto"/>
          <w:kern w:val="0"/>
          <w:sz w:val="32"/>
          <w:szCs w:val="32"/>
          <w:highlight w:val="none"/>
        </w:rPr>
        <w:t>四、绩效评价</w:t>
      </w:r>
      <w:r>
        <w:rPr>
          <w:rFonts w:hint="eastAsia" w:ascii="方正黑体_GBK" w:hAnsi="方正黑体_GBK" w:eastAsia="方正黑体_GBK" w:cs="方正黑体_GBK"/>
          <w:b w:val="0"/>
          <w:bCs/>
          <w:color w:val="auto"/>
          <w:kern w:val="0"/>
          <w:sz w:val="32"/>
          <w:szCs w:val="32"/>
          <w:highlight w:val="none"/>
          <w:lang w:eastAsia="zh-CN"/>
        </w:rPr>
        <w:t>指标</w:t>
      </w:r>
      <w:r>
        <w:rPr>
          <w:rFonts w:hint="eastAsia" w:ascii="方正黑体_GBK" w:hAnsi="方正黑体_GBK" w:eastAsia="方正黑体_GBK" w:cs="方正黑体_GBK"/>
          <w:b w:val="0"/>
          <w:bCs/>
          <w:color w:val="auto"/>
          <w:kern w:val="0"/>
          <w:sz w:val="32"/>
          <w:szCs w:val="32"/>
          <w:highlight w:val="none"/>
        </w:rPr>
        <w:t>分析</w:t>
      </w:r>
      <w:bookmarkEnd w:id="122"/>
      <w:bookmarkEnd w:id="123"/>
      <w:bookmarkEnd w:id="124"/>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125" w:name="_Toc6972"/>
      <w:bookmarkStart w:id="126" w:name="_Toc29998_WPSOffice_Level2"/>
      <w:r>
        <w:rPr>
          <w:rFonts w:hint="eastAsia" w:ascii="方正楷体_GBK" w:hAnsi="方正楷体_GBK" w:eastAsia="方正楷体_GBK" w:cs="方正楷体_GBK"/>
          <w:b/>
          <w:bCs w:val="0"/>
          <w:color w:val="auto"/>
          <w:kern w:val="0"/>
          <w:sz w:val="32"/>
          <w:szCs w:val="32"/>
          <w:highlight w:val="none"/>
        </w:rPr>
        <w:t>（一）</w:t>
      </w:r>
      <w:bookmarkEnd w:id="125"/>
      <w:r>
        <w:rPr>
          <w:rFonts w:hint="eastAsia" w:ascii="方正楷体_GBK" w:hAnsi="方正楷体_GBK" w:eastAsia="方正楷体_GBK" w:cs="方正楷体_GBK"/>
          <w:b/>
          <w:bCs w:val="0"/>
          <w:color w:val="auto"/>
          <w:kern w:val="0"/>
          <w:sz w:val="32"/>
          <w:szCs w:val="32"/>
          <w:highlight w:val="none"/>
          <w:lang w:val="en-US" w:eastAsia="zh-CN"/>
        </w:rPr>
        <w:t>项目决策情况</w:t>
      </w:r>
      <w:bookmarkEnd w:id="126"/>
    </w:p>
    <w:p>
      <w:pPr>
        <w:pageBreakBefore w:val="0"/>
        <w:kinsoku/>
        <w:wordWrap/>
        <w:overflowPunct w:val="0"/>
        <w:topLinePunct w:val="0"/>
        <w:autoSpaceDE/>
        <w:bidi w:val="0"/>
        <w:spacing w:line="570" w:lineRule="exact"/>
        <w:ind w:firstLine="640" w:firstLineChars="200"/>
        <w:contextualSpacing/>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项目决策类指标包括项目立项、绩效目标和资金投入三方面的内容，由6个三级指标构成，权重分为20分，实际得分</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分，得分率为</w:t>
      </w:r>
      <w:r>
        <w:rPr>
          <w:rFonts w:hint="eastAsia" w:ascii="方正仿宋_GBK" w:hAnsi="方正仿宋_GBK" w:eastAsia="方正仿宋_GBK" w:cs="方正仿宋_GBK"/>
          <w:color w:val="auto"/>
          <w:sz w:val="32"/>
          <w:szCs w:val="32"/>
          <w:highlight w:val="none"/>
          <w:lang w:val="en-US" w:eastAsia="zh-CN"/>
        </w:rPr>
        <w:t>100</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，各指标业绩值和绩效分值如下表所示：</w:t>
      </w:r>
    </w:p>
    <w:p>
      <w:pPr>
        <w:pageBreakBefore w:val="0"/>
        <w:kinsoku/>
        <w:wordWrap/>
        <w:overflowPunct w:val="0"/>
        <w:topLinePunct w:val="0"/>
        <w:autoSpaceDE/>
        <w:bidi w:val="0"/>
        <w:spacing w:line="570" w:lineRule="exact"/>
        <w:contextualSpacing/>
        <w:jc w:val="center"/>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表4-1：项目决策类指标及分值</w:t>
      </w:r>
    </w:p>
    <w:tbl>
      <w:tblPr>
        <w:tblStyle w:val="14"/>
        <w:tblW w:w="9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3"/>
        <w:gridCol w:w="2176"/>
        <w:gridCol w:w="2175"/>
        <w:gridCol w:w="787"/>
        <w:gridCol w:w="787"/>
        <w:gridCol w:w="629"/>
        <w:gridCol w:w="629"/>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一级指标</w:t>
            </w:r>
          </w:p>
        </w:tc>
        <w:tc>
          <w:tcPr>
            <w:tcW w:w="217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二级指标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三级指标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标杆值</w:t>
            </w:r>
          </w:p>
        </w:tc>
        <w:tc>
          <w:tcPr>
            <w:tcW w:w="78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业绩值</w:t>
            </w:r>
          </w:p>
        </w:tc>
        <w:tc>
          <w:tcPr>
            <w:tcW w:w="6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权重</w:t>
            </w:r>
          </w:p>
        </w:tc>
        <w:tc>
          <w:tcPr>
            <w:tcW w:w="6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实际得分</w:t>
            </w:r>
          </w:p>
        </w:tc>
        <w:tc>
          <w:tcPr>
            <w:tcW w:w="6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54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A项目决策（20）</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A1项目立项（10）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A101立项依据充分性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充分</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充分</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A102立项程序规范性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规范</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规范</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A2绩效目标（5）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A201绩效目标合理性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A202绩效指标明确性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明确</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明确</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176"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A3资金投入（5）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A301预算编制科学性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科学</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科学</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A302资金分配合理性</w:t>
            </w:r>
          </w:p>
        </w:tc>
        <w:tc>
          <w:tcPr>
            <w:tcW w:w="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62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62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62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58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20</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bl>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得分指标分析：</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（1）A101</w:t>
      </w:r>
      <w:r>
        <w:rPr>
          <w:rStyle w:val="16"/>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立项依据充分性：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根据《国务院关于印发加快剥离国有企业办社会职能和解决历史遗留问题工作方案的通知》（国发〔2016〕19号）、《中共中央办公厅国务院办公厅印发&lt;关于国有企业退休人员社会化管理的指导意见&gt;的通知》等规定，中央财政对地方接收中央企业及原中央下放企业退休人员并实行社会化管理的管理服务费用给予适当补助，财政部、国资委下达了《关于支持地方做好中央企业及原中央下放企业退休人员社会化管理工作的通知》（财资〔2020〕1号），明确要求地方各级财政部门要将中央企业和地方国有企业退休人员由街道和社区实行社会化管理的管理服务经费纳入本级预算管理，并规定地方接收中央企业及原中央下放企业退休人员并实行社会化管理的认定标准应当同时满足以下条件：（一）人事档案移交地方管理；（二）党员的党组织关系转地方管理；（三）管理服务由地方政府提供。因此，本项目立项符合国家法律法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②国有企业退休人员实行社会化管理服务，是完善社会保障体系的重要载体，是深化国有企业改革、解决国有企业办社会问题的重要途径，也是保障退休人员合法权益的主要手段，它关系到社会保险事业的巩固与发展，因此，项目立项符合社区服务业发展规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③该项目立项符合《关于印发&lt;伽师县财政局职能配置、内设机构和人员编制规定&gt;》部门职责范围“伽师县财政局国资委负责制定国有企业经营计划和管理规定，协调和推动国有企业的改革和发展，促进国有企业的效益和质量提高，推动国民经济发展”属于部门履职所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④该项目资金性质为“国有资本经营预算资金”，功能分类为“其他企业改革发展补助”，经济分类为“费用补贴”，属于公共财政支持范围，符合中央、地方事权支出责任划分原则。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⑤经查看，预算管理一体化系统（2.0版）显示，无相关部门同类项目或部门内部相关项目重复事项。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（2）A102立项程序规范性：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①2022年1月，各乡镇接收国有企业推送人员信息后，逐一核实信息，按照社会化管理要求对人员进行核对，由主管单位伽师县财政局编制《伽师县2022年国有企业退休人员社会化管理项目实施方案》。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②经查看《专项资金审批表》，该项目审批文件、支付材料符合相关要求。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③该项目为延续性项目，项目的实施程序严格按照实施方案执行，建立退休人员基础信息台账、定期走访慰问，事前也经过必要的集体决策。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6"/>
        <w:pageBreakBefore w:val="0"/>
        <w:numPr>
          <w:ilvl w:val="0"/>
          <w:numId w:val="0"/>
        </w:numPr>
        <w:kinsoku/>
        <w:wordWrap/>
        <w:bidi w:val="0"/>
        <w:spacing w:line="570" w:lineRule="exact"/>
        <w:ind w:firstLine="643" w:firstLineChars="200"/>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（3）A201项目目标合理性：</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经检查，项目实施单位提供的《绩效目标（自评）申报表》，得出如下结论：</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依据《关于下达2020-2021年国有企业退休人员社会化管理中央财政补助资金(清算)的通知》（喀地财企〔2021〕27号）、《关于提前下达2022年国有企业退休人员社会化管理补助资金的通知》（喀地财企〔2022〕3号）文件、《2022年自治区分行业分领域绩效指标体系》、《伽师县2022年国有企业退休人员社会化管理项目实施方案》编制绩效目标。</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②该项目实际工作内容为“对接收79名国有企业退休人员实施社会化管理的乡镇街道给予经费补助。”项目绩效目标与实际工作内容具有相关性。</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③该项目已按照绩效目标完成数量指标、质量指标、时效指标、部分成本指标，项目达到预期经济效益国有企业不承担移交后的退休人员社会化管理服务费用的比例100%，年度绩效目标完成，预期产出效益和效果符合正常的业绩水平。</w:t>
      </w:r>
    </w:p>
    <w:p>
      <w:pPr>
        <w:pageBreakBefore w:val="0"/>
        <w:kinsoku/>
        <w:wordWrap/>
        <w:autoSpaceDE/>
        <w:autoSpaceDN/>
        <w:bidi w:val="0"/>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④根据《关于下达2020-2021年国有企业退休人员社会化管理中央财政补助资金(清算)的通知》（喀地财企〔2021〕27号）、《关于提前下达2022年国有企业退休人员社会化管理补助资金的通知》（喀地财企〔2022〕3号）文件：该项目资金预算额度为4.38万元；根据项目实施单位提供的《绩效目标（自评）申报表》显示：该项目预算资金4.38万元，预算确定的项目资金与绩效目标编制预算金额相匹配。</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该项指标满分为2分，根据评分标准得2分。</w:t>
      </w:r>
    </w:p>
    <w:p>
      <w:pPr>
        <w:pageBreakBefore w:val="0"/>
        <w:numPr>
          <w:ilvl w:val="0"/>
          <w:numId w:val="0"/>
        </w:numPr>
        <w:kinsoku/>
        <w:wordWrap/>
        <w:topLinePunct w:val="0"/>
        <w:autoSpaceDE/>
        <w:bidi w:val="0"/>
        <w:spacing w:line="570" w:lineRule="exact"/>
        <w:ind w:left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（4）A202</w:t>
      </w:r>
      <w:r>
        <w:rPr>
          <w:rFonts w:hint="eastAsia" w:ascii="方正仿宋_GBK" w:hAnsi="方正仿宋_GBK" w:eastAsia="方正仿宋_GBK" w:cs="方正仿宋_GBK"/>
          <w:b/>
          <w:bCs/>
          <w:color w:val="auto"/>
          <w:sz w:val="32"/>
          <w:szCs w:val="32"/>
          <w:highlight w:val="none"/>
        </w:rPr>
        <w:t>绩效指标明确性：</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bidi="ar"/>
        </w:rPr>
        <w:t>经检查项目单位提供的《绩效目标（自评）申报表》，得出如下结论：</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①该项目已将年度绩效目标进行细化为绩效指标体系，共设置一级指标3个，二级指标8个，三级指标15个。</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②绩效目标和指标具备明确性，该项目共设置三级指标15个，其中：定量指标13个，定性指标2个，指标量化率为86.67%，目标指向明确，指标设置具有可衡量性，项目预期产出和效果符合正常的业绩水平，项目具有可实现性，绩效目标与预算相关联，项目有明确的目标实现时间，且所设置经济效益指标、社会效益指标及可持续影响指标均为具体项目实施后的带来的效益，核心指标值均为数值型且符合客观实际，具有可衡量性和可实现性。</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③项目目标任务数79人与实施方案一致。</w:t>
      </w:r>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该项指标满分为3分，根据评分标准得3分。</w:t>
      </w:r>
    </w:p>
    <w:p>
      <w:pPr>
        <w:pageBreakBefore w:val="0"/>
        <w:numPr>
          <w:ilvl w:val="0"/>
          <w:numId w:val="5"/>
        </w:numPr>
        <w:kinsoku/>
        <w:wordWrap/>
        <w:topLinePunct w:val="0"/>
        <w:autoSpaceDE/>
        <w:bidi w:val="0"/>
        <w:spacing w:line="570" w:lineRule="exact"/>
        <w:ind w:firstLine="643" w:firstLine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A301</w:t>
      </w:r>
      <w:r>
        <w:rPr>
          <w:rFonts w:hint="eastAsia" w:ascii="方正仿宋_GBK" w:hAnsi="方正仿宋_GBK" w:eastAsia="方正仿宋_GBK" w:cs="方正仿宋_GBK"/>
          <w:b/>
          <w:bCs/>
          <w:color w:val="auto"/>
          <w:sz w:val="32"/>
          <w:szCs w:val="32"/>
          <w:highlight w:val="none"/>
        </w:rPr>
        <w:t>预算编制科学性：</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①该项目为延续性项目，项目于2019年设立，2022年度为该项目实施的第四个年度，在编制2022年度预算时，伽师县财政局以2021年实施的考核办法进行测算和预算编制，项目预算计划编制科学合理。</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②该项目预算申请内容为：“对2022年10个乡镇79名国有企业退休人员按照每人260元进行经费补助、对2020年-2021年10个乡镇79个国有企业退休人员按照每人294.19元进行经费补差额”根据项目实施方案显示，该项目实施内容为：“对2022年10个乡镇79个国有企业退休人员按照每人260元进行经费补助、对2020年-2021年10个乡镇79个国有企业退休人员按照每人294.19元进行经费补差额”。预算内容与实施方案中项目内容相匹配。</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③该项目依据《关于下达2020-2021年国有企业退休人员社会化管理中央财政补助资金(清算)的通知》（喀地财企〔2021〕27号）、2020-2021年需补差额23241元，《关于提前下达2022年国有企业退休人员社会化管理补助资金的通知》（喀地财企〔2022〕3号）资金分配表，2021年12月31日前移交乡镇管理的国有企业退休人员数79人、补助标准为260元/人，共需资金4.38万元，测算依据较为充分。</w:t>
      </w:r>
    </w:p>
    <w:p>
      <w:pPr>
        <w:pageBreakBefore w:val="0"/>
        <w:numPr>
          <w:ilvl w:val="0"/>
          <w:numId w:val="0"/>
        </w:numPr>
        <w:kinsoku/>
        <w:wordWrap/>
        <w:topLinePunct w:val="0"/>
        <w:autoSpaceDE/>
        <w:bidi w:val="0"/>
        <w:spacing w:line="570" w:lineRule="exact"/>
        <w:ind w:firstLine="640" w:firstLineChars="200"/>
        <w:rPr>
          <w:rFonts w:hint="eastAsia" w:ascii="宋体" w:hAnsi="宋体" w:eastAsia="宋体"/>
          <w:sz w:val="18"/>
          <w:highlight w:val="none"/>
        </w:rPr>
      </w:pPr>
      <w:r>
        <w:rPr>
          <w:rFonts w:hint="eastAsia" w:ascii="方正仿宋_GBK" w:hAnsi="方正仿宋_GBK" w:eastAsia="方正仿宋_GBK" w:cs="方正仿宋_GBK"/>
          <w:color w:val="auto"/>
          <w:sz w:val="32"/>
          <w:szCs w:val="32"/>
          <w:highlight w:val="none"/>
          <w:lang w:val="en-US" w:eastAsia="zh-CN"/>
        </w:rPr>
        <w:t>④该项目预算确定的项目投资额为4.38万元，与项目实施方案中测算的资金需求一致，预算确定的资金与工作任务较匹配。</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该指标满分为2分，根据评分标准得2分。</w:t>
      </w:r>
    </w:p>
    <w:p>
      <w:pPr>
        <w:pageBreakBefore w:val="0"/>
        <w:numPr>
          <w:ilvl w:val="0"/>
          <w:numId w:val="5"/>
        </w:numPr>
        <w:kinsoku/>
        <w:wordWrap/>
        <w:topLinePunct w:val="0"/>
        <w:autoSpaceDE/>
        <w:bidi w:val="0"/>
        <w:spacing w:line="570" w:lineRule="exact"/>
        <w:ind w:left="0" w:leftChars="0" w:firstLine="643" w:firstLineChars="200"/>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A302</w:t>
      </w:r>
      <w:r>
        <w:rPr>
          <w:rFonts w:hint="eastAsia" w:ascii="方正仿宋_GBK" w:hAnsi="方正仿宋_GBK" w:eastAsia="方正仿宋_GBK" w:cs="方正仿宋_GBK"/>
          <w:b/>
          <w:bCs/>
          <w:color w:val="auto"/>
          <w:sz w:val="32"/>
          <w:szCs w:val="32"/>
          <w:highlight w:val="none"/>
        </w:rPr>
        <w:t>资金分配合理性：</w:t>
      </w:r>
    </w:p>
    <w:p>
      <w:pPr>
        <w:pageBreakBefore w:val="0"/>
        <w:numPr>
          <w:ilvl w:val="0"/>
          <w:numId w:val="0"/>
        </w:numPr>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eastAsia="zh-CN"/>
        </w:rPr>
        <w:t>伽师县财政局</w:t>
      </w:r>
      <w:r>
        <w:rPr>
          <w:rFonts w:hint="eastAsia" w:ascii="方正仿宋_GBK" w:hAnsi="方正仿宋_GBK" w:eastAsia="方正仿宋_GBK" w:cs="方正仿宋_GBK"/>
          <w:color w:val="auto"/>
          <w:sz w:val="32"/>
          <w:szCs w:val="32"/>
          <w:highlight w:val="none"/>
        </w:rPr>
        <w:t>202</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rPr>
        <w:t>年度国有企业退休人员社会化管理中央补助资金</w:t>
      </w:r>
      <w:r>
        <w:rPr>
          <w:rFonts w:hint="eastAsia" w:ascii="方正仿宋_GBK" w:hAnsi="方正仿宋_GBK" w:eastAsia="方正仿宋_GBK" w:cs="方正仿宋_GBK"/>
          <w:color w:val="auto"/>
          <w:sz w:val="32"/>
          <w:szCs w:val="32"/>
          <w:highlight w:val="none"/>
          <w:lang w:eastAsia="zh-CN"/>
        </w:rPr>
        <w:t>根据</w:t>
      </w:r>
      <w:r>
        <w:rPr>
          <w:rFonts w:hint="eastAsia" w:ascii="方正仿宋_GBK" w:hAnsi="方正仿宋_GBK" w:eastAsia="方正仿宋_GBK" w:cs="方正仿宋_GBK"/>
          <w:color w:val="auto"/>
          <w:sz w:val="32"/>
          <w:szCs w:val="32"/>
          <w:highlight w:val="none"/>
        </w:rPr>
        <w:t>《关于提前下达2022年国有企业退休人员社会化管理补助资金的通知》（喀地财企〔2022〕3号）由</w:t>
      </w:r>
      <w:r>
        <w:rPr>
          <w:rFonts w:hint="eastAsia" w:ascii="方正仿宋_GBK" w:hAnsi="方正仿宋_GBK" w:eastAsia="方正仿宋_GBK" w:cs="方正仿宋_GBK"/>
          <w:color w:val="auto"/>
          <w:sz w:val="32"/>
          <w:szCs w:val="32"/>
          <w:highlight w:val="none"/>
          <w:lang w:eastAsia="zh-CN"/>
        </w:rPr>
        <w:t>伽师县国资委</w:t>
      </w:r>
      <w:r>
        <w:rPr>
          <w:rFonts w:hint="eastAsia" w:ascii="方正仿宋_GBK" w:hAnsi="方正仿宋_GBK" w:eastAsia="方正仿宋_GBK" w:cs="方正仿宋_GBK"/>
          <w:color w:val="auto"/>
          <w:sz w:val="32"/>
          <w:szCs w:val="32"/>
          <w:highlight w:val="none"/>
        </w:rPr>
        <w:t>分配至</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个乡镇，其中</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个乡镇管理国有企业退休人员</w:t>
      </w:r>
      <w:r>
        <w:rPr>
          <w:rFonts w:hint="eastAsia" w:ascii="方正仿宋_GBK" w:hAnsi="方正仿宋_GBK" w:eastAsia="方正仿宋_GBK" w:cs="方正仿宋_GBK"/>
          <w:color w:val="auto"/>
          <w:sz w:val="32"/>
          <w:szCs w:val="32"/>
          <w:highlight w:val="none"/>
          <w:lang w:val="en-US" w:eastAsia="zh-CN"/>
        </w:rPr>
        <w:t>79</w:t>
      </w:r>
      <w:r>
        <w:rPr>
          <w:rFonts w:hint="eastAsia" w:ascii="方正仿宋_GBK" w:hAnsi="方正仿宋_GBK" w:eastAsia="方正仿宋_GBK" w:cs="方正仿宋_GBK"/>
          <w:color w:val="auto"/>
          <w:sz w:val="32"/>
          <w:szCs w:val="32"/>
          <w:highlight w:val="none"/>
        </w:rPr>
        <w:t>人，人均补助</w:t>
      </w:r>
      <w:r>
        <w:rPr>
          <w:rFonts w:hint="eastAsia" w:ascii="方正仿宋_GBK" w:hAnsi="方正仿宋_GBK" w:eastAsia="方正仿宋_GBK" w:cs="方正仿宋_GBK"/>
          <w:color w:val="auto"/>
          <w:sz w:val="32"/>
          <w:szCs w:val="32"/>
          <w:highlight w:val="none"/>
          <w:lang w:eastAsia="zh-CN"/>
        </w:rPr>
        <w:t>标准</w:t>
      </w:r>
      <w:r>
        <w:rPr>
          <w:rFonts w:hint="eastAsia" w:ascii="方正仿宋_GBK" w:hAnsi="方正仿宋_GBK" w:eastAsia="方正仿宋_GBK" w:cs="方正仿宋_GBK"/>
          <w:color w:val="auto"/>
          <w:sz w:val="32"/>
          <w:szCs w:val="32"/>
          <w:highlight w:val="none"/>
          <w:lang w:val="en-US" w:eastAsia="zh-CN"/>
        </w:rPr>
        <w:t>260元</w:t>
      </w:r>
      <w:r>
        <w:rPr>
          <w:rFonts w:hint="eastAsia" w:ascii="方正仿宋_GBK" w:hAnsi="方正仿宋_GBK" w:eastAsia="方正仿宋_GBK" w:cs="方正仿宋_GBK"/>
          <w:color w:val="auto"/>
          <w:sz w:val="32"/>
          <w:szCs w:val="32"/>
          <w:highlight w:val="none"/>
        </w:rPr>
        <w:t>，共补助</w:t>
      </w:r>
      <w:r>
        <w:rPr>
          <w:rFonts w:hint="eastAsia" w:ascii="方正仿宋_GBK" w:hAnsi="方正仿宋_GBK" w:eastAsia="方正仿宋_GBK" w:cs="方正仿宋_GBK"/>
          <w:color w:val="auto"/>
          <w:sz w:val="32"/>
          <w:szCs w:val="32"/>
          <w:highlight w:val="none"/>
          <w:lang w:val="en-US" w:eastAsia="zh-CN"/>
        </w:rPr>
        <w:t>2.05</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；依据《关于下达2020-2021年国有企业退休人员社会化管理中央财政补助资金(清算)的通知》（喀地财企〔2021〕27号）、2020-2021年需补差额2</w:t>
      </w:r>
      <w:r>
        <w:rPr>
          <w:rFonts w:hint="eastAsia" w:ascii="方正仿宋_GBK" w:hAnsi="方正仿宋_GBK" w:eastAsia="方正仿宋_GBK" w:cs="方正仿宋_GBK"/>
          <w:color w:val="auto"/>
          <w:sz w:val="32"/>
          <w:szCs w:val="32"/>
          <w:highlight w:val="none"/>
          <w:lang w:val="en-US" w:eastAsia="zh-CN"/>
        </w:rPr>
        <w:t>.</w:t>
      </w:r>
      <w:r>
        <w:rPr>
          <w:rFonts w:hint="eastAsia" w:ascii="方正仿宋_GBK" w:hAnsi="方正仿宋_GBK" w:eastAsia="方正仿宋_GBK" w:cs="方正仿宋_GBK"/>
          <w:color w:val="auto"/>
          <w:sz w:val="32"/>
          <w:szCs w:val="32"/>
          <w:highlight w:val="none"/>
          <w:lang w:eastAsia="zh-CN"/>
        </w:rPr>
        <w:t>32万元，共计</w:t>
      </w:r>
      <w:r>
        <w:rPr>
          <w:rFonts w:hint="eastAsia" w:ascii="方正仿宋_GBK" w:hAnsi="方正仿宋_GBK" w:eastAsia="方正仿宋_GBK" w:cs="方正仿宋_GBK"/>
          <w:color w:val="auto"/>
          <w:sz w:val="32"/>
          <w:szCs w:val="32"/>
          <w:highlight w:val="none"/>
          <w:lang w:val="en-US" w:eastAsia="zh-CN"/>
        </w:rPr>
        <w:t>4.38万元，</w:t>
      </w:r>
      <w:r>
        <w:rPr>
          <w:rFonts w:hint="eastAsia" w:ascii="方正仿宋_GBK" w:hAnsi="方正仿宋_GBK" w:eastAsia="方正仿宋_GBK" w:cs="方正仿宋_GBK"/>
          <w:color w:val="auto"/>
          <w:sz w:val="32"/>
          <w:szCs w:val="32"/>
          <w:highlight w:val="none"/>
        </w:rPr>
        <w:t>该项目预算资金分配依据充分</w:t>
      </w:r>
      <w:r>
        <w:rPr>
          <w:rFonts w:hint="eastAsia" w:ascii="方正仿宋_GBK" w:hAnsi="方正仿宋_GBK" w:eastAsia="方正仿宋_GBK" w:cs="方正仿宋_GBK"/>
          <w:color w:val="auto"/>
          <w:sz w:val="32"/>
          <w:szCs w:val="32"/>
          <w:highlight w:val="none"/>
          <w:lang w:eastAsia="zh-CN"/>
        </w:rPr>
        <w:t>。</w:t>
      </w:r>
    </w:p>
    <w:p>
      <w:pPr>
        <w:pageBreakBefore w:val="0"/>
        <w:numPr>
          <w:ilvl w:val="0"/>
          <w:numId w:val="0"/>
        </w:numPr>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本项目</w:t>
      </w:r>
      <w:r>
        <w:rPr>
          <w:rFonts w:hint="eastAsia" w:ascii="方正仿宋_GBK" w:hAnsi="方正仿宋_GBK" w:eastAsia="方正仿宋_GBK" w:cs="方正仿宋_GBK"/>
          <w:color w:val="auto"/>
          <w:sz w:val="32"/>
          <w:szCs w:val="32"/>
          <w:highlight w:val="none"/>
          <w:lang w:eastAsia="zh-CN"/>
        </w:rPr>
        <w:t>根据《关于下达2020-2021年国有企业退休人员社会化管理中央财政补助资金(清算)的通知》（喀地财企〔2021〕27号）文件、</w:t>
      </w:r>
      <w:r>
        <w:rPr>
          <w:rFonts w:hint="eastAsia" w:ascii="方正仿宋_GBK" w:hAnsi="方正仿宋_GBK" w:eastAsia="方正仿宋_GBK" w:cs="方正仿宋_GBK"/>
          <w:color w:val="auto"/>
          <w:sz w:val="32"/>
          <w:szCs w:val="32"/>
          <w:highlight w:val="none"/>
        </w:rPr>
        <w:t>《关于提前下达2022年国有企业退休人员社会化管理补助资金的通知》（喀地财企〔2022〕3号）为依据进行资金分配，资金分配与实际相适应，资金分配额度合理</w:t>
      </w:r>
      <w:bookmarkStart w:id="127" w:name="_Toc9465"/>
      <w:r>
        <w:rPr>
          <w:rFonts w:hint="eastAsia" w:ascii="方正仿宋_GBK" w:hAnsi="方正仿宋_GBK" w:eastAsia="方正仿宋_GBK" w:cs="方正仿宋_GBK"/>
          <w:color w:val="auto"/>
          <w:sz w:val="32"/>
          <w:szCs w:val="32"/>
          <w:highlight w:val="none"/>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该指标满分为</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分，根据评分标准得</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outlineLvl w:val="2"/>
        <w:rPr>
          <w:rFonts w:hint="eastAsia" w:ascii="方正楷体_GBK" w:hAnsi="方正楷体_GBK" w:eastAsia="方正楷体_GBK" w:cs="方正楷体_GBK"/>
          <w:b/>
          <w:bCs/>
          <w:color w:val="auto"/>
          <w:kern w:val="0"/>
          <w:sz w:val="32"/>
          <w:szCs w:val="32"/>
          <w:highlight w:val="none"/>
          <w:lang w:val="en-US" w:eastAsia="zh-CN"/>
        </w:rPr>
      </w:pPr>
      <w:bookmarkStart w:id="128" w:name="_Toc12303_WPSOffice_Level2"/>
      <w:r>
        <w:rPr>
          <w:rFonts w:hint="eastAsia" w:ascii="方正楷体_GBK" w:hAnsi="方正楷体_GBK" w:eastAsia="方正楷体_GBK" w:cs="方正楷体_GBK"/>
          <w:b/>
          <w:bCs/>
          <w:color w:val="auto"/>
          <w:kern w:val="0"/>
          <w:sz w:val="32"/>
          <w:szCs w:val="32"/>
          <w:highlight w:val="none"/>
          <w:lang w:val="en-US" w:eastAsia="zh-CN" w:bidi="ar"/>
        </w:rPr>
        <w:t>（二）项目过程情况</w:t>
      </w:r>
      <w:bookmarkEnd w:id="128"/>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项目过程类指标包括资金管理和组织实施两方面的内容，由5个三级指标构成，权重分为</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分，实际得分</w:t>
      </w:r>
      <w:r>
        <w:rPr>
          <w:rFonts w:hint="eastAsia" w:ascii="方正仿宋_GBK" w:hAnsi="方正仿宋_GBK" w:eastAsia="方正仿宋_GBK" w:cs="方正仿宋_GBK"/>
          <w:color w:val="auto"/>
          <w:sz w:val="32"/>
          <w:szCs w:val="32"/>
          <w:highlight w:val="none"/>
          <w:lang w:val="en-US" w:eastAsia="zh-CN"/>
        </w:rPr>
        <w:t>19</w:t>
      </w:r>
      <w:r>
        <w:rPr>
          <w:rFonts w:hint="eastAsia" w:ascii="方正仿宋_GBK" w:hAnsi="方正仿宋_GBK" w:eastAsia="方正仿宋_GBK" w:cs="方正仿宋_GBK"/>
          <w:color w:val="auto"/>
          <w:sz w:val="32"/>
          <w:szCs w:val="32"/>
          <w:highlight w:val="none"/>
        </w:rPr>
        <w:t>分，得分率为</w:t>
      </w:r>
      <w:r>
        <w:rPr>
          <w:rFonts w:hint="eastAsia" w:ascii="方正仿宋_GBK" w:hAnsi="方正仿宋_GBK" w:eastAsia="方正仿宋_GBK" w:cs="方正仿宋_GBK"/>
          <w:color w:val="auto"/>
          <w:sz w:val="32"/>
          <w:szCs w:val="32"/>
          <w:highlight w:val="none"/>
          <w:lang w:val="en-US" w:eastAsia="zh-CN"/>
        </w:rPr>
        <w:t>95%</w:t>
      </w:r>
      <w:r>
        <w:rPr>
          <w:rFonts w:hint="eastAsia" w:ascii="方正仿宋_GBK" w:hAnsi="方正仿宋_GBK" w:eastAsia="方正仿宋_GBK" w:cs="方正仿宋_GBK"/>
          <w:color w:val="auto"/>
          <w:sz w:val="32"/>
          <w:szCs w:val="32"/>
          <w:highlight w:val="none"/>
        </w:rPr>
        <w:t>。各指标业绩值和绩效分值如下表所示</w:t>
      </w:r>
    </w:p>
    <w:p>
      <w:pPr>
        <w:pageBreakBefore w:val="0"/>
        <w:kinsoku/>
        <w:wordWrap/>
        <w:topLinePunct w:val="0"/>
        <w:autoSpaceDE/>
        <w:bidi w:val="0"/>
        <w:spacing w:line="57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表4-2：项目过程类指标及分值</w:t>
      </w:r>
    </w:p>
    <w:tbl>
      <w:tblPr>
        <w:tblStyle w:val="14"/>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03"/>
        <w:gridCol w:w="1950"/>
        <w:gridCol w:w="2368"/>
        <w:gridCol w:w="790"/>
        <w:gridCol w:w="790"/>
        <w:gridCol w:w="632"/>
        <w:gridCol w:w="632"/>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7" w:hRule="atLeast"/>
        </w:trPr>
        <w:tc>
          <w:tcPr>
            <w:tcW w:w="160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二级指标</w:t>
            </w:r>
          </w:p>
        </w:tc>
        <w:tc>
          <w:tcPr>
            <w:tcW w:w="236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三级指标</w:t>
            </w:r>
          </w:p>
        </w:tc>
        <w:tc>
          <w:tcPr>
            <w:tcW w:w="79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标杆值</w:t>
            </w:r>
          </w:p>
        </w:tc>
        <w:tc>
          <w:tcPr>
            <w:tcW w:w="79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业绩值</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权重</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实际得分</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60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B项目过程（20）</w:t>
            </w:r>
          </w:p>
        </w:tc>
        <w:tc>
          <w:tcPr>
            <w:tcW w:w="19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B1资金管理（15）</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B101资金到位率</w:t>
            </w:r>
          </w:p>
        </w:tc>
        <w:tc>
          <w:tcPr>
            <w:tcW w:w="7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7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B102预算执行率</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97.95%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4.9</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98</w:t>
            </w:r>
            <w:r>
              <w:rPr>
                <w:rFonts w:hint="eastAsia" w:ascii="宋体" w:hAnsi="宋体" w:eastAsia="宋体" w:cs="宋体"/>
                <w:b/>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B103资金使用合规性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合规</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合规</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19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B2组织实施（5）</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B201管理制度健全性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健全</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健全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B202制度执行有效性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有效</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lang w:val="en-US" w:eastAsia="zh-CN"/>
              </w:rPr>
            </w:pPr>
            <w:r>
              <w:rPr>
                <w:rFonts w:hint="eastAsia" w:ascii="宋体" w:hAnsi="宋体" w:eastAsia="宋体" w:cs="宋体"/>
                <w:b/>
                <w:i w:val="0"/>
                <w:color w:val="000000"/>
                <w:sz w:val="22"/>
                <w:szCs w:val="22"/>
                <w:highlight w:val="none"/>
                <w:u w:val="none"/>
                <w:lang w:val="en-US" w:eastAsia="zh-CN"/>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66.67%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59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b/>
                <w:i w:val="0"/>
                <w:color w:val="000000"/>
                <w:sz w:val="22"/>
                <w:szCs w:val="22"/>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宋体" w:hAnsi="宋体" w:eastAsia="宋体" w:cs="宋体"/>
                <w:b/>
                <w:i w:val="0"/>
                <w:color w:val="000000"/>
                <w:sz w:val="22"/>
                <w:szCs w:val="22"/>
                <w:highlight w:val="none"/>
                <w:u w:val="none"/>
                <w:lang w:val="en-US" w:eastAsia="zh-CN"/>
              </w:rPr>
            </w:pPr>
            <w:r>
              <w:rPr>
                <w:rFonts w:hint="eastAsia" w:ascii="宋体" w:hAnsi="宋体" w:eastAsia="宋体" w:cs="宋体"/>
                <w:b/>
                <w:i w:val="0"/>
                <w:color w:val="000000"/>
                <w:sz w:val="22"/>
                <w:szCs w:val="22"/>
                <w:highlight w:val="none"/>
                <w:u w:val="none"/>
                <w:lang w:val="en-US" w:eastAsia="zh-CN"/>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宋体" w:hAnsi="宋体" w:eastAsia="宋体" w:cs="宋体"/>
                <w:b/>
                <w:i w:val="0"/>
                <w:color w:val="000000"/>
                <w:sz w:val="22"/>
                <w:szCs w:val="22"/>
                <w:highlight w:val="none"/>
                <w:u w:val="none"/>
                <w:lang w:val="en-US" w:eastAsia="zh-CN"/>
              </w:rPr>
            </w:pPr>
            <w:r>
              <w:rPr>
                <w:rFonts w:hint="eastAsia" w:ascii="宋体" w:hAnsi="宋体" w:eastAsia="宋体" w:cs="宋体"/>
                <w:b/>
                <w:i w:val="0"/>
                <w:color w:val="000000"/>
                <w:sz w:val="22"/>
                <w:szCs w:val="22"/>
                <w:highlight w:val="none"/>
                <w:u w:val="none"/>
                <w:lang w:val="en-US" w:eastAsia="zh-CN"/>
              </w:rPr>
              <w:t>1</w:t>
            </w:r>
            <w:r>
              <w:rPr>
                <w:rFonts w:hint="eastAsia" w:ascii="宋体" w:hAnsi="宋体" w:cs="宋体"/>
                <w:b/>
                <w:i w:val="0"/>
                <w:color w:val="000000"/>
                <w:sz w:val="22"/>
                <w:szCs w:val="22"/>
                <w:highlight w:val="none"/>
                <w:u w:val="none"/>
                <w:lang w:val="en-US" w:eastAsia="zh-CN"/>
              </w:rPr>
              <w:t>8.9</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94.5</w:t>
            </w:r>
            <w:r>
              <w:rPr>
                <w:rFonts w:hint="eastAsia" w:ascii="宋体" w:hAnsi="宋体" w:eastAsia="宋体" w:cs="宋体"/>
                <w:b/>
                <w:i w:val="0"/>
                <w:color w:val="000000"/>
                <w:sz w:val="22"/>
                <w:szCs w:val="22"/>
                <w:highlight w:val="none"/>
                <w:u w:val="none"/>
                <w:lang w:val="en-US" w:eastAsia="zh-CN"/>
              </w:rPr>
              <w:t>%</w:t>
            </w:r>
          </w:p>
        </w:tc>
      </w:tr>
      <w:bookmarkEnd w:id="127"/>
    </w:tbl>
    <w:p>
      <w:pPr>
        <w:pageBreakBefore w:val="0"/>
        <w:kinsoku/>
        <w:wordWrap/>
        <w:topLinePunct w:val="0"/>
        <w:autoSpaceDE/>
        <w:autoSpaceDN/>
        <w:bidi w:val="0"/>
        <w:spacing w:line="570" w:lineRule="exact"/>
        <w:ind w:firstLine="643" w:firstLineChars="200"/>
        <w:rPr>
          <w:rFonts w:hint="eastAsia" w:ascii="方正仿宋_GBK" w:hAnsi="方正仿宋_GBK" w:eastAsia="方正仿宋_GBK" w:cs="方正仿宋_GBK"/>
          <w:b/>
          <w:bCs/>
          <w:i w:val="0"/>
          <w:iCs w:val="0"/>
          <w:color w:val="auto"/>
          <w:sz w:val="32"/>
          <w:szCs w:val="32"/>
          <w:highlight w:val="none"/>
          <w:lang w:val="en-US" w:eastAsia="zh-CN"/>
        </w:rPr>
      </w:pPr>
      <w:bookmarkStart w:id="129" w:name="_Toc703"/>
      <w:r>
        <w:rPr>
          <w:rFonts w:hint="eastAsia" w:ascii="方正仿宋_GBK" w:hAnsi="方正仿宋_GBK" w:eastAsia="方正仿宋_GBK" w:cs="方正仿宋_GBK"/>
          <w:b/>
          <w:bCs/>
          <w:i w:val="0"/>
          <w:iCs w:val="0"/>
          <w:color w:val="auto"/>
          <w:sz w:val="32"/>
          <w:szCs w:val="32"/>
          <w:highlight w:val="none"/>
          <w:lang w:val="en-US" w:eastAsia="zh-CN"/>
        </w:rPr>
        <w:t>指标得分分析：</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w:t>
      </w:r>
      <w:bookmarkEnd w:id="129"/>
      <w:r>
        <w:rPr>
          <w:rFonts w:hint="eastAsia" w:ascii="方正仿宋_GBK" w:hAnsi="方正仿宋_GBK" w:eastAsia="方正仿宋_GBK" w:cs="方正仿宋_GBK"/>
          <w:b/>
          <w:bCs w:val="0"/>
          <w:color w:val="auto"/>
          <w:kern w:val="0"/>
          <w:sz w:val="32"/>
          <w:szCs w:val="32"/>
          <w:highlight w:val="none"/>
          <w:lang w:val="en-US" w:eastAsia="zh-CN"/>
        </w:rPr>
        <w:t>B101</w:t>
      </w:r>
      <w:r>
        <w:rPr>
          <w:rStyle w:val="23"/>
          <w:rFonts w:hint="eastAsia" w:ascii="方正仿宋_GBK" w:hAnsi="方正仿宋_GBK" w:eastAsia="方正仿宋_GBK" w:cs="方正仿宋_GBK"/>
          <w:b/>
          <w:bCs w:val="0"/>
          <w:color w:val="auto"/>
          <w:sz w:val="32"/>
          <w:szCs w:val="32"/>
          <w:highlight w:val="none"/>
          <w:lang w:eastAsia="zh-CN"/>
        </w:rPr>
        <w:t>资金到位率</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该</w:t>
      </w:r>
      <w:r>
        <w:rPr>
          <w:rFonts w:hint="eastAsia" w:ascii="方正仿宋_GBK" w:hAnsi="方正仿宋_GBK" w:eastAsia="方正仿宋_GBK" w:cs="方正仿宋_GBK"/>
          <w:b w:val="0"/>
          <w:bCs w:val="0"/>
          <w:color w:val="auto"/>
          <w:sz w:val="32"/>
          <w:szCs w:val="32"/>
          <w:highlight w:val="none"/>
        </w:rPr>
        <w:t>项目</w:t>
      </w:r>
      <w:r>
        <w:rPr>
          <w:rFonts w:hint="eastAsia" w:ascii="方正仿宋_GBK" w:hAnsi="方正仿宋_GBK" w:eastAsia="方正仿宋_GBK" w:cs="方正仿宋_GBK"/>
          <w:b w:val="0"/>
          <w:bCs w:val="0"/>
          <w:color w:val="auto"/>
          <w:sz w:val="32"/>
          <w:szCs w:val="32"/>
          <w:highlight w:val="none"/>
          <w:lang w:eastAsia="zh-CN"/>
        </w:rPr>
        <w:t>根据</w:t>
      </w:r>
      <w:r>
        <w:rPr>
          <w:rFonts w:hint="eastAsia" w:ascii="方正仿宋_GBK" w:hAnsi="方正仿宋_GBK" w:eastAsia="方正仿宋_GBK" w:cs="方正仿宋_GBK"/>
          <w:color w:val="auto"/>
          <w:sz w:val="32"/>
          <w:szCs w:val="32"/>
          <w:highlight w:val="none"/>
          <w:lang w:eastAsia="zh-CN"/>
        </w:rPr>
        <w:t>《关于下达2020-2021年国有企业退休人员社会化管理中央财政补助资金(清算)的通知》（喀地财企〔2021〕27号）</w:t>
      </w:r>
      <w:r>
        <w:rPr>
          <w:rFonts w:hint="eastAsia" w:ascii="方正仿宋_GBK" w:hAnsi="方正仿宋_GBK" w:eastAsia="方正仿宋_GBK" w:cs="方正仿宋_GBK"/>
          <w:b w:val="0"/>
          <w:bCs w:val="0"/>
          <w:color w:val="auto"/>
          <w:sz w:val="32"/>
          <w:szCs w:val="32"/>
          <w:highlight w:val="none"/>
          <w:lang w:eastAsia="zh-CN"/>
        </w:rPr>
        <w:t>文件、</w:t>
      </w:r>
      <w:r>
        <w:rPr>
          <w:rFonts w:hint="eastAsia" w:ascii="方正仿宋_GBK" w:hAnsi="方正仿宋_GBK" w:eastAsia="方正仿宋_GBK" w:cs="方正仿宋_GBK"/>
          <w:color w:val="auto"/>
          <w:sz w:val="32"/>
          <w:szCs w:val="32"/>
          <w:highlight w:val="none"/>
        </w:rPr>
        <w:t>《关于提前下达2022年国有企业退休人员社会化管理补助资金的通知》（喀地财企〔2022〕3号）</w:t>
      </w:r>
      <w:r>
        <w:rPr>
          <w:rFonts w:hint="eastAsia" w:ascii="方正仿宋_GBK" w:hAnsi="方正仿宋_GBK" w:eastAsia="方正仿宋_GBK" w:cs="方正仿宋_GBK"/>
          <w:b w:val="0"/>
          <w:bCs w:val="0"/>
          <w:color w:val="auto"/>
          <w:sz w:val="32"/>
          <w:szCs w:val="32"/>
          <w:highlight w:val="none"/>
        </w:rPr>
        <w:t>预算安排总额为</w:t>
      </w:r>
      <w:r>
        <w:rPr>
          <w:rFonts w:hint="eastAsia" w:ascii="方正仿宋_GBK" w:hAnsi="方正仿宋_GBK" w:eastAsia="方正仿宋_GBK" w:cs="方正仿宋_GBK"/>
          <w:b w:val="0"/>
          <w:bCs w:val="0"/>
          <w:color w:val="auto"/>
          <w:sz w:val="32"/>
          <w:szCs w:val="32"/>
          <w:highlight w:val="none"/>
          <w:lang w:val="en-US" w:eastAsia="zh-CN"/>
        </w:rPr>
        <w:t>4.38</w:t>
      </w:r>
      <w:r>
        <w:rPr>
          <w:rFonts w:hint="eastAsia" w:ascii="方正仿宋_GBK" w:hAnsi="方正仿宋_GBK" w:eastAsia="方正仿宋_GBK" w:cs="方正仿宋_GBK"/>
          <w:b w:val="0"/>
          <w:bCs w:val="0"/>
          <w:color w:val="auto"/>
          <w:sz w:val="32"/>
          <w:szCs w:val="32"/>
          <w:highlight w:val="none"/>
        </w:rPr>
        <w:t>万元，实际到位</w:t>
      </w:r>
      <w:r>
        <w:rPr>
          <w:rFonts w:hint="eastAsia" w:ascii="方正仿宋_GBK" w:hAnsi="方正仿宋_GBK" w:eastAsia="方正仿宋_GBK" w:cs="方正仿宋_GBK"/>
          <w:b w:val="0"/>
          <w:bCs w:val="0"/>
          <w:color w:val="auto"/>
          <w:sz w:val="32"/>
          <w:szCs w:val="32"/>
          <w:highlight w:val="none"/>
          <w:lang w:val="en-US" w:eastAsia="zh-CN"/>
        </w:rPr>
        <w:t>4.38</w:t>
      </w:r>
      <w:r>
        <w:rPr>
          <w:rFonts w:hint="eastAsia" w:ascii="方正仿宋_GBK" w:hAnsi="方正仿宋_GBK" w:eastAsia="方正仿宋_GBK" w:cs="方正仿宋_GBK"/>
          <w:b w:val="0"/>
          <w:bCs w:val="0"/>
          <w:color w:val="auto"/>
          <w:sz w:val="32"/>
          <w:szCs w:val="32"/>
          <w:highlight w:val="none"/>
        </w:rPr>
        <w:t>万元，资金到位率100%。</w:t>
      </w:r>
      <w:r>
        <w:rPr>
          <w:rFonts w:hint="eastAsia" w:ascii="方正仿宋_GBK" w:hAnsi="方正仿宋_GBK" w:eastAsia="方正仿宋_GBK" w:cs="方正仿宋_GBK"/>
          <w:bCs w:val="0"/>
          <w:kern w:val="0"/>
          <w:sz w:val="32"/>
          <w:szCs w:val="32"/>
          <w:highlight w:val="none"/>
          <w:lang w:val="en-US" w:eastAsia="zh-CN" w:bidi="ar-SA"/>
        </w:rPr>
        <w:t>资金到位率=（实际到位资金/预算资金）×100%=（4.38万元/4.38万元）×100%=100%，</w:t>
      </w:r>
      <w:r>
        <w:rPr>
          <w:rFonts w:hint="eastAsia" w:ascii="方正仿宋_GBK" w:hAnsi="方正仿宋_GBK" w:eastAsia="方正仿宋_GBK" w:cs="方正仿宋_GBK"/>
          <w:color w:val="auto"/>
          <w:sz w:val="32"/>
          <w:szCs w:val="32"/>
          <w:highlight w:val="none"/>
        </w:rPr>
        <w:t>财政资金足额拨付到位</w:t>
      </w:r>
      <w:r>
        <w:rPr>
          <w:rFonts w:hint="eastAsia" w:ascii="方正仿宋_GBK" w:hAnsi="方正仿宋_GBK" w:eastAsia="方正仿宋_GBK" w:cs="方正仿宋_GBK"/>
          <w:color w:val="auto"/>
          <w:sz w:val="32"/>
          <w:szCs w:val="32"/>
          <w:highlight w:val="none"/>
          <w:lang w:eastAsia="zh-CN"/>
        </w:rPr>
        <w:t>。</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2"/>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该指标满分为</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根据评分标准得</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（2）B102预算执行率</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根据单位提供的《国库集中支付凭证》支出数据，得出该项目实际支出资金为4.29万元，预算执行率=（实际支出资金/实际到位金额）×100%=4.29万元/4.38万元×100%，执行率97.95%，根据评分标准，该指标得4.9分。</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该项指标满分为5分，根据评分标准得4.9分。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（3）B103资金使用合规性</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①该项目资金使用符合国家财经法规、《政府会计制度》、以及《伽师县财政局财务管理制度》。</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②项目预算资金4.38万元，用途为用于对央企移交至我县的退休人员统一由街道社区管理，项目资金使用符合项目预算。</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③该项目不存在截留、挤占、挪用、虚列支出等情况。</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④该项目资金的拨付是有完整的审批程序和手续。</w:t>
      </w:r>
    </w:p>
    <w:p>
      <w:pPr>
        <w:pStyle w:val="26"/>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（4）B201管理制度健全性</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①该项目已建立财务和业务管理制度，具体包括：《伽师县财务管理制度》、《伽师县资金管理制度》、《伽师县预算管理制度》、《关于推进国有企业退休人员社会化管理的实施办法》。</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②财务和业务管理制度是否合法、合规、完整。</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该项指标满分为2分，根据评分标准得2分。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r>
        <w:rPr>
          <w:rFonts w:hint="eastAsia" w:ascii="方正仿宋_GBK" w:hAnsi="方正仿宋_GBK" w:eastAsia="方正仿宋_GBK" w:cs="方正仿宋_GBK"/>
          <w:b/>
          <w:bCs/>
          <w:color w:val="auto"/>
          <w:kern w:val="0"/>
          <w:sz w:val="32"/>
          <w:szCs w:val="32"/>
          <w:highlight w:val="none"/>
          <w:lang w:val="en-US" w:eastAsia="zh-CN" w:bidi="ar"/>
        </w:rPr>
        <w:t>（5）B202制度执行有效性</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伽师县财政局的业务开展工作以《伽师县2022年国有企业退休人员社会化管理项目实施方案》、《伽师县财政局财务管理制度》、《关于推进国有企业退休人员社会化管理的实施办法》等文件为依据，以上制度文件对项目实施内容、项目管理、资金管理等方面做了详细明确的规定，从项目工作流程上也做出工作要求，保证了项目实施的规范性。</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②该项目实施内容和支出均不存在调整的情况。</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③经查看，伽师县财政局督促各乡镇提供的项目档案，档案管理较为规范，项目档案资料较为齐全，具体包括：项目实施方案，国有企业退休人员花名册，国库集中支付凭证等。但在绩效评价组现场调研时，发现该项目具体的乡镇采购及验收等业务资料档案未及时归档，交伽师县财政局国资委备案。根据评分标准，扣1分。</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④项目实施为乡镇根据国有企业推送的名单落实国有企业退休人员社会化管理情况，实施的人员条件落实到位。</w:t>
      </w:r>
    </w:p>
    <w:p>
      <w:pPr>
        <w:pStyle w:val="20"/>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该项指标满分为3分，根据评分标准得2分。</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exact"/>
        <w:ind w:firstLine="643" w:firstLineChars="200"/>
        <w:textAlignment w:val="baseline"/>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130" w:name="_Toc43"/>
      <w:bookmarkStart w:id="131" w:name="_Toc7342"/>
      <w:bookmarkStart w:id="132" w:name="_Toc6296"/>
      <w:bookmarkStart w:id="133" w:name="_Toc6269"/>
      <w:bookmarkStart w:id="134" w:name="_Toc23541"/>
      <w:bookmarkStart w:id="135" w:name="_Toc8986_WPSOffice_Level2"/>
      <w:bookmarkStart w:id="136" w:name="_Toc8372"/>
      <w:r>
        <w:rPr>
          <w:rFonts w:hint="eastAsia" w:ascii="方正楷体_GBK" w:hAnsi="方正楷体_GBK" w:eastAsia="方正楷体_GBK" w:cs="方正楷体_GBK"/>
          <w:b/>
          <w:bCs w:val="0"/>
          <w:color w:val="auto"/>
          <w:kern w:val="0"/>
          <w:sz w:val="32"/>
          <w:szCs w:val="32"/>
          <w:highlight w:val="none"/>
          <w:lang w:val="en-US" w:eastAsia="zh-CN"/>
        </w:rPr>
        <w:t>（三）项目</w:t>
      </w:r>
      <w:bookmarkEnd w:id="130"/>
      <w:bookmarkEnd w:id="131"/>
      <w:bookmarkEnd w:id="132"/>
      <w:bookmarkEnd w:id="133"/>
      <w:bookmarkEnd w:id="134"/>
      <w:r>
        <w:rPr>
          <w:rFonts w:hint="eastAsia" w:ascii="方正楷体_GBK" w:hAnsi="方正楷体_GBK" w:eastAsia="方正楷体_GBK" w:cs="方正楷体_GBK"/>
          <w:b/>
          <w:bCs w:val="0"/>
          <w:color w:val="auto"/>
          <w:kern w:val="0"/>
          <w:sz w:val="32"/>
          <w:szCs w:val="32"/>
          <w:highlight w:val="none"/>
          <w:lang w:val="en-US" w:eastAsia="zh-CN"/>
        </w:rPr>
        <w:t>产出情况</w:t>
      </w:r>
      <w:bookmarkEnd w:id="135"/>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项目产出类指标包括产出数量、产出质量、产出时效、产出成本四方面的内容，由</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个三级指标构成，权重分为</w:t>
      </w:r>
      <w:r>
        <w:rPr>
          <w:rFonts w:hint="eastAsia" w:ascii="方正仿宋_GBK" w:hAnsi="方正仿宋_GBK" w:eastAsia="方正仿宋_GBK" w:cs="方正仿宋_GBK"/>
          <w:color w:val="auto"/>
          <w:sz w:val="32"/>
          <w:szCs w:val="32"/>
          <w:highlight w:val="none"/>
          <w:lang w:val="en-US" w:eastAsia="zh-CN"/>
        </w:rPr>
        <w:t>40</w:t>
      </w:r>
      <w:r>
        <w:rPr>
          <w:rFonts w:hint="eastAsia" w:ascii="方正仿宋_GBK" w:hAnsi="方正仿宋_GBK" w:eastAsia="方正仿宋_GBK" w:cs="方正仿宋_GBK"/>
          <w:color w:val="auto"/>
          <w:sz w:val="32"/>
          <w:szCs w:val="32"/>
          <w:highlight w:val="none"/>
        </w:rPr>
        <w:t>分，实际得分</w:t>
      </w:r>
      <w:r>
        <w:rPr>
          <w:rFonts w:hint="eastAsia" w:ascii="方正仿宋_GBK" w:hAnsi="方正仿宋_GBK" w:eastAsia="方正仿宋_GBK" w:cs="方正仿宋_GBK"/>
          <w:color w:val="auto"/>
          <w:sz w:val="32"/>
          <w:szCs w:val="32"/>
          <w:highlight w:val="none"/>
          <w:lang w:val="en-US" w:eastAsia="zh-CN"/>
        </w:rPr>
        <w:t>39.8</w:t>
      </w:r>
      <w:r>
        <w:rPr>
          <w:rFonts w:hint="eastAsia" w:ascii="方正仿宋_GBK" w:hAnsi="方正仿宋_GBK" w:eastAsia="方正仿宋_GBK" w:cs="方正仿宋_GBK"/>
          <w:color w:val="auto"/>
          <w:sz w:val="32"/>
          <w:szCs w:val="32"/>
          <w:highlight w:val="none"/>
        </w:rPr>
        <w:t>分，得分率为</w:t>
      </w:r>
      <w:r>
        <w:rPr>
          <w:rFonts w:hint="eastAsia" w:ascii="方正仿宋_GBK" w:hAnsi="方正仿宋_GBK" w:eastAsia="方正仿宋_GBK" w:cs="方正仿宋_GBK"/>
          <w:color w:val="auto"/>
          <w:sz w:val="32"/>
          <w:szCs w:val="32"/>
          <w:highlight w:val="none"/>
          <w:lang w:val="en-US" w:eastAsia="zh-CN"/>
        </w:rPr>
        <w:t>99.5</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各指标业绩值和绩效分值如下表所示</w:t>
      </w:r>
      <w:r>
        <w:rPr>
          <w:rFonts w:hint="eastAsia" w:ascii="方正仿宋_GBK" w:hAnsi="方正仿宋_GBK" w:eastAsia="方正仿宋_GBK" w:cs="方正仿宋_GBK"/>
          <w:color w:val="auto"/>
          <w:sz w:val="32"/>
          <w:szCs w:val="32"/>
          <w:highlight w:val="none"/>
          <w:lang w:eastAsia="zh-CN"/>
        </w:rPr>
        <w:t>：</w:t>
      </w:r>
    </w:p>
    <w:p>
      <w:pPr>
        <w:pageBreakBefore w:val="0"/>
        <w:kinsoku/>
        <w:wordWrap/>
        <w:topLinePunct w:val="0"/>
        <w:autoSpaceDE/>
        <w:autoSpaceDN/>
        <w:bidi w:val="0"/>
        <w:spacing w:line="570" w:lineRule="exact"/>
        <w:jc w:val="center"/>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表4-3：项目产出指标及分值</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1"/>
        <w:gridCol w:w="1189"/>
        <w:gridCol w:w="1510"/>
        <w:gridCol w:w="1302"/>
        <w:gridCol w:w="1302"/>
        <w:gridCol w:w="735"/>
        <w:gridCol w:w="915"/>
        <w:gridCol w:w="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709"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一级指标</w:t>
            </w:r>
          </w:p>
        </w:tc>
        <w:tc>
          <w:tcPr>
            <w:tcW w:w="719"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二级指标</w:t>
            </w:r>
          </w:p>
        </w:tc>
        <w:tc>
          <w:tcPr>
            <w:tcW w:w="899" w:type="pc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三级指标</w:t>
            </w:r>
          </w:p>
        </w:tc>
        <w:tc>
          <w:tcPr>
            <w:tcW w:w="632"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标杆值</w:t>
            </w:r>
          </w:p>
        </w:tc>
        <w:tc>
          <w:tcPr>
            <w:tcW w:w="681"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业绩值</w:t>
            </w:r>
          </w:p>
        </w:tc>
        <w:tc>
          <w:tcPr>
            <w:tcW w:w="463"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权重</w:t>
            </w:r>
          </w:p>
        </w:tc>
        <w:tc>
          <w:tcPr>
            <w:tcW w:w="425"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实际得分</w:t>
            </w:r>
          </w:p>
        </w:tc>
        <w:tc>
          <w:tcPr>
            <w:tcW w:w="468"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C产出（40）</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C1产出数量（20）</w:t>
            </w:r>
          </w:p>
        </w:tc>
        <w:tc>
          <w:tcPr>
            <w:tcW w:w="899"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C101移交街道和社区实行社会化管理的国有企业已退休人员数量（人）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79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79</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C102移交街道和社区实行社会化管理的比例（%）</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C103国有企业已退休人员管理服务工作与原企业分离的比例（%）</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C104国有企业新办理退休人员管理服务工作与原企业分离的比例（%）</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C2产出质量（5）</w:t>
            </w: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C201国有企业退休人员移交街道社区实名制台账准确率（%）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C202资金使用合规（%）</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C3产出时效（5）</w:t>
            </w: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C301改革任务完成及时率（%）</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C302经费保障及时（%）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C303项目完成时间</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2022年12月</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2022年12月</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C4产出成本（10）</w:t>
            </w:r>
          </w:p>
        </w:tc>
        <w:tc>
          <w:tcPr>
            <w:tcW w:w="89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C401移交街道和社区实行社会化管理的国有企业已退休当年人均经费额（元/人）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260</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260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9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C402移交街道和社区实行社会化管理的国有企业已退休2020年-2021年人均经费补差额（元/人）</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294.19</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283.02</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4.8</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32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40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39.8</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99.50%</w:t>
            </w:r>
          </w:p>
        </w:tc>
      </w:tr>
    </w:tbl>
    <w:p>
      <w:pPr>
        <w:pageBreakBefore w:val="0"/>
        <w:kinsoku/>
        <w:wordWrap/>
        <w:topLinePunct w:val="0"/>
        <w:autoSpaceDE/>
        <w:autoSpaceDN/>
        <w:bidi w:val="0"/>
        <w:spacing w:line="570" w:lineRule="exact"/>
        <w:ind w:firstLine="643" w:firstLineChars="200"/>
        <w:rPr>
          <w:rFonts w:hint="eastAsia" w:ascii="方正仿宋_GBK" w:hAnsi="方正仿宋_GBK" w:eastAsia="方正仿宋_GBK" w:cs="方正仿宋_GBK"/>
          <w:b/>
          <w:bCs/>
          <w:i w:val="0"/>
          <w:iCs w:val="0"/>
          <w:color w:val="auto"/>
          <w:sz w:val="32"/>
          <w:szCs w:val="32"/>
          <w:highlight w:val="none"/>
          <w:lang w:val="en-US" w:eastAsia="zh-CN"/>
        </w:rPr>
      </w:pPr>
      <w:r>
        <w:rPr>
          <w:rFonts w:hint="eastAsia" w:ascii="方正仿宋_GBK" w:hAnsi="方正仿宋_GBK" w:eastAsia="方正仿宋_GBK" w:cs="方正仿宋_GBK"/>
          <w:b/>
          <w:bCs/>
          <w:i w:val="0"/>
          <w:iCs w:val="0"/>
          <w:color w:val="auto"/>
          <w:sz w:val="32"/>
          <w:szCs w:val="32"/>
          <w:highlight w:val="none"/>
          <w:lang w:val="en-US" w:eastAsia="zh-CN"/>
        </w:rPr>
        <w:t>指标得分分析：</w:t>
      </w:r>
      <w:bookmarkEnd w:id="136"/>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bookmarkStart w:id="137" w:name="_Toc828"/>
      <w:r>
        <w:rPr>
          <w:rFonts w:hint="eastAsia" w:ascii="方正仿宋_GBK" w:hAnsi="方正仿宋_GBK" w:eastAsia="方正仿宋_GBK" w:cs="方正仿宋_GBK"/>
          <w:b/>
          <w:bCs w:val="0"/>
          <w:color w:val="auto"/>
          <w:kern w:val="0"/>
          <w:sz w:val="32"/>
          <w:szCs w:val="32"/>
          <w:highlight w:val="none"/>
          <w:lang w:val="en-US" w:eastAsia="zh-CN"/>
        </w:rPr>
        <w:t>（1）C101移交街道和社区实行社会化管理的国有企业已退休人员数量指标：</w:t>
      </w:r>
      <w:bookmarkEnd w:id="137"/>
      <w:bookmarkStart w:id="138" w:name="_Toc16314"/>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w:t>
      </w:r>
      <w:r>
        <w:rPr>
          <w:rFonts w:hint="eastAsia" w:ascii="方正仿宋_GBK" w:hAnsi="方正仿宋_GBK" w:eastAsia="方正仿宋_GBK" w:cs="方正仿宋_GBK"/>
          <w:b w:val="0"/>
          <w:bCs w:val="0"/>
          <w:color w:val="auto"/>
          <w:sz w:val="32"/>
          <w:szCs w:val="32"/>
          <w:highlight w:val="none"/>
          <w:lang w:val="en-US" w:eastAsia="zh-CN"/>
        </w:rPr>
        <w:t>伽师县2022年国有企业退休人员社会化管理项目实施方案</w:t>
      </w:r>
      <w:r>
        <w:rPr>
          <w:rFonts w:hint="eastAsia" w:ascii="方正仿宋_GBK" w:hAnsi="方正仿宋_GBK" w:eastAsia="方正仿宋_GBK" w:cs="方正仿宋_GBK"/>
          <w:b w:val="0"/>
          <w:bCs/>
          <w:color w:val="auto"/>
          <w:kern w:val="0"/>
          <w:sz w:val="32"/>
          <w:szCs w:val="32"/>
          <w:highlight w:val="none"/>
          <w:lang w:val="en-US" w:eastAsia="zh-CN"/>
        </w:rPr>
        <w:t>》该项目接收国有企业退休人员79人，经查看《2022年国有企业退休人员社会化管理补助资金分配明细表》，各乡镇实际完成国有企业退休人员经费补助79人。根据评分标准，得满分。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default"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（2）C102移交街道和社区实行社会化管理的比例指标：</w:t>
      </w:r>
    </w:p>
    <w:bookmarkEnd w:id="138"/>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bookmarkStart w:id="139" w:name="_Toc7793"/>
      <w:r>
        <w:rPr>
          <w:rFonts w:hint="eastAsia" w:ascii="方正仿宋_GBK" w:hAnsi="方正仿宋_GBK" w:eastAsia="方正仿宋_GBK" w:cs="方正仿宋_GBK"/>
          <w:b w:val="0"/>
          <w:bCs/>
          <w:color w:val="auto"/>
          <w:kern w:val="0"/>
          <w:sz w:val="32"/>
          <w:szCs w:val="32"/>
          <w:highlight w:val="none"/>
          <w:lang w:val="en-US" w:eastAsia="zh-CN"/>
        </w:rPr>
        <w:t>根据《伽师县2022年国有企业退休人员社会化管理项目实施方案》各乡镇接收国有企业退休人员79人，经查看各乡镇《国库集中支付凭证》及社会化管理人员档案资料，各乡镇已完成社会化管理的比例100%，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default"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（3）C103国有企业已退休人员管理服务工作与原企业分离的比例指标：</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根据《关于提前下达2022年国有企业退休人员社会化管理财政补助资金分配表》2021年12月31日前移交地方管理的国有企业退休人员数79人，经查看与各乡镇人员名单一致，</w:t>
      </w:r>
      <w:bookmarkEnd w:id="139"/>
      <w:bookmarkStart w:id="140" w:name="_Toc17515"/>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default"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（4）C104国有企业新办理退休人员管理服务工作与原企业分离的比例指标：</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关于提前下达2022年国有企业退休人员社会化管理财政补助资金分配表》2021年12月31日前移交地方管理的国有企业退休人员数79人，经查看与各乡镇人员名单一致，不存在新办理退休人员情况，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bookmarkEnd w:id="140"/>
      <w:r>
        <w:rPr>
          <w:rFonts w:hint="eastAsia" w:ascii="方正仿宋_GBK" w:hAnsi="方正仿宋_GBK" w:eastAsia="方正仿宋_GBK" w:cs="方正仿宋_GBK"/>
          <w:b w:val="0"/>
          <w:bCs/>
          <w:color w:val="auto"/>
          <w:kern w:val="0"/>
          <w:sz w:val="32"/>
          <w:szCs w:val="32"/>
          <w:highlight w:val="none"/>
          <w:lang w:val="en-US" w:eastAsia="zh-CN"/>
        </w:rPr>
        <w:tab/>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141" w:name="_Toc20491"/>
      <w:r>
        <w:rPr>
          <w:rFonts w:hint="eastAsia" w:ascii="方正仿宋_GBK" w:hAnsi="方正仿宋_GBK" w:eastAsia="方正仿宋_GBK" w:cs="方正仿宋_GBK"/>
          <w:b/>
          <w:bCs w:val="0"/>
          <w:color w:val="auto"/>
          <w:kern w:val="0"/>
          <w:sz w:val="32"/>
          <w:szCs w:val="32"/>
          <w:highlight w:val="none"/>
          <w:lang w:val="en-US" w:eastAsia="zh-CN"/>
        </w:rPr>
        <w:t>C2产出质量方面</w:t>
      </w:r>
      <w:bookmarkEnd w:id="141"/>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142" w:name="_Toc10415"/>
      <w:r>
        <w:rPr>
          <w:rFonts w:hint="eastAsia" w:ascii="方正仿宋_GBK" w:hAnsi="方正仿宋_GBK" w:eastAsia="方正仿宋_GBK" w:cs="方正仿宋_GBK"/>
          <w:b/>
          <w:bCs w:val="0"/>
          <w:color w:val="auto"/>
          <w:kern w:val="0"/>
          <w:sz w:val="32"/>
          <w:szCs w:val="32"/>
          <w:highlight w:val="none"/>
          <w:lang w:val="en-US" w:eastAsia="zh-CN"/>
        </w:rPr>
        <w:t>（1）C201国有企业退休人员移交街道社区实名制台账准确率指标：</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经查看《2022年国有企业退休人员社会化管理补助资金分配明细表》人员台账与企业退休人员移交街道社区名单一致，根据评分标准，得满分。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bookmarkEnd w:id="142"/>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bookmarkStart w:id="143" w:name="_Toc4013"/>
      <w:r>
        <w:rPr>
          <w:rFonts w:hint="eastAsia" w:ascii="方正仿宋_GBK" w:hAnsi="方正仿宋_GBK" w:eastAsia="方正仿宋_GBK" w:cs="方正仿宋_GBK"/>
          <w:b/>
          <w:bCs w:val="0"/>
          <w:color w:val="auto"/>
          <w:kern w:val="0"/>
          <w:sz w:val="32"/>
          <w:szCs w:val="32"/>
          <w:highlight w:val="none"/>
          <w:lang w:val="en-US" w:eastAsia="zh-CN"/>
        </w:rPr>
        <w:t>（2）C202资金使用合规率指标</w:t>
      </w:r>
      <w:r>
        <w:rPr>
          <w:rFonts w:hint="eastAsia" w:ascii="方正仿宋_GBK" w:hAnsi="方正仿宋_GBK" w:eastAsia="方正仿宋_GBK" w:cs="方正仿宋_GBK"/>
          <w:b w:val="0"/>
          <w:bCs/>
          <w:color w:val="auto"/>
          <w:kern w:val="0"/>
          <w:sz w:val="32"/>
          <w:szCs w:val="32"/>
          <w:highlight w:val="none"/>
          <w:lang w:val="en-US" w:eastAsia="zh-CN"/>
        </w:rPr>
        <w:t>：</w:t>
      </w:r>
      <w:bookmarkEnd w:id="143"/>
      <w:bookmarkStart w:id="144" w:name="_Toc7590"/>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经查看各乡镇国库集中支付凭证，共计执行4.29万元，完全按照实施方案及资金管理使用要求实施，根据评分标准，得满分。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C3产出时效方面</w:t>
      </w:r>
      <w:bookmarkEnd w:id="144"/>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bookmarkStart w:id="145" w:name="_Toc10704"/>
      <w:r>
        <w:rPr>
          <w:rFonts w:hint="eastAsia" w:ascii="方正仿宋_GBK" w:hAnsi="方正仿宋_GBK" w:eastAsia="方正仿宋_GBK" w:cs="方正仿宋_GBK"/>
          <w:b/>
          <w:bCs w:val="0"/>
          <w:color w:val="auto"/>
          <w:kern w:val="0"/>
          <w:sz w:val="32"/>
          <w:szCs w:val="32"/>
          <w:highlight w:val="none"/>
          <w:lang w:val="en-US" w:eastAsia="zh-CN"/>
        </w:rPr>
        <w:t>（1）C301改革任务完成及时率指标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经访谈询问及查看支付凭证，该项目在规定时间完成国有企业退休人员移交街道社区工作。</w:t>
      </w:r>
      <w:bookmarkEnd w:id="145"/>
      <w:bookmarkStart w:id="146" w:name="_Toc9789"/>
      <w:r>
        <w:rPr>
          <w:rFonts w:hint="eastAsia" w:ascii="方正仿宋_GBK" w:hAnsi="方正仿宋_GBK" w:eastAsia="方正仿宋_GBK" w:cs="方正仿宋_GBK"/>
          <w:b w:val="0"/>
          <w:bCs/>
          <w:color w:val="auto"/>
          <w:kern w:val="0"/>
          <w:sz w:val="32"/>
          <w:szCs w:val="32"/>
          <w:highlight w:val="none"/>
          <w:lang w:val="en-US" w:eastAsia="zh-CN"/>
        </w:rPr>
        <w:t>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（2）C302经费保障及时率指标：</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default" w:ascii="方正仿宋_GBK" w:hAnsi="方正仿宋_GBK" w:eastAsia="方正仿宋_GBK" w:cs="方正仿宋_GBK"/>
          <w:b w:val="0"/>
          <w:bCs/>
          <w:color w:val="auto"/>
          <w:kern w:val="0"/>
          <w:sz w:val="32"/>
          <w:szCs w:val="32"/>
          <w:highlight w:val="none"/>
          <w:lang w:val="en-US" w:eastAsia="zh-CN"/>
        </w:rPr>
        <w:t>经查看支付凭证，</w:t>
      </w:r>
      <w:r>
        <w:rPr>
          <w:rFonts w:hint="eastAsia" w:ascii="方正仿宋_GBK" w:hAnsi="方正仿宋_GBK" w:eastAsia="方正仿宋_GBK" w:cs="方正仿宋_GBK"/>
          <w:b w:val="0"/>
          <w:bCs/>
          <w:color w:val="auto"/>
          <w:kern w:val="0"/>
          <w:sz w:val="32"/>
          <w:szCs w:val="32"/>
          <w:highlight w:val="none"/>
          <w:lang w:val="en-US" w:eastAsia="zh-CN"/>
        </w:rPr>
        <w:t>已按要求及时对各乡镇国有企业退休人员进行经费保障，根据评分标准，得满分。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（3）C303项目完成时间指标</w:t>
      </w:r>
      <w:r>
        <w:rPr>
          <w:rFonts w:hint="eastAsia" w:ascii="方正仿宋_GBK" w:hAnsi="方正仿宋_GBK" w:eastAsia="方正仿宋_GBK" w:cs="方正仿宋_GBK"/>
          <w:b w:val="0"/>
          <w:bCs/>
          <w:color w:val="auto"/>
          <w:kern w:val="0"/>
          <w:sz w:val="32"/>
          <w:szCs w:val="32"/>
          <w:highlight w:val="none"/>
          <w:lang w:val="en-US" w:eastAsia="zh-CN"/>
        </w:rPr>
        <w:t>：</w:t>
      </w:r>
      <w:bookmarkEnd w:id="146"/>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经查看支付凭证及政采云验收单，该项目已于2022年12月按要求实施完成，根据评分标准，得满分。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该指标满分为1分，根据评分标准得1分。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147" w:name="_Toc17575"/>
      <w:r>
        <w:rPr>
          <w:rFonts w:hint="eastAsia" w:ascii="方正仿宋_GBK" w:hAnsi="方正仿宋_GBK" w:eastAsia="方正仿宋_GBK" w:cs="方正仿宋_GBK"/>
          <w:b/>
          <w:bCs w:val="0"/>
          <w:color w:val="auto"/>
          <w:kern w:val="0"/>
          <w:sz w:val="32"/>
          <w:szCs w:val="32"/>
          <w:highlight w:val="none"/>
          <w:lang w:val="en-US" w:eastAsia="zh-CN"/>
        </w:rPr>
        <w:t>C4产出成本方面</w:t>
      </w:r>
      <w:bookmarkEnd w:id="147"/>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bookmarkStart w:id="148" w:name="_Toc2826"/>
      <w:r>
        <w:rPr>
          <w:rFonts w:hint="eastAsia" w:ascii="方正仿宋_GBK" w:hAnsi="方正仿宋_GBK" w:eastAsia="方正仿宋_GBK" w:cs="方正仿宋_GBK"/>
          <w:b/>
          <w:bCs w:val="0"/>
          <w:color w:val="auto"/>
          <w:kern w:val="0"/>
          <w:sz w:val="32"/>
          <w:szCs w:val="32"/>
          <w:highlight w:val="none"/>
          <w:lang w:val="en-US" w:eastAsia="zh-CN"/>
        </w:rPr>
        <w:t>（1）C401移交街道和社区实行社会化管理的国有企业已退休当年人均经费额指标</w:t>
      </w:r>
      <w:r>
        <w:rPr>
          <w:rFonts w:hint="eastAsia" w:ascii="方正仿宋_GBK" w:hAnsi="方正仿宋_GBK" w:eastAsia="方正仿宋_GBK" w:cs="方正仿宋_GBK"/>
          <w:b w:val="0"/>
          <w:bCs/>
          <w:color w:val="auto"/>
          <w:kern w:val="0"/>
          <w:sz w:val="32"/>
          <w:szCs w:val="32"/>
          <w:highlight w:val="none"/>
          <w:lang w:val="en-US" w:eastAsia="zh-CN"/>
        </w:rPr>
        <w:t>：</w:t>
      </w:r>
      <w:bookmarkEnd w:id="148"/>
      <w:bookmarkStart w:id="149" w:name="_Toc31979"/>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经查看支付凭证及政采云验收单，该项目2022年已按260元/人的标准对实行社会化管理的国有企业退休人员进行经费补助，根据评分标准，得满分。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（2）C402移交街道和社区实行社会化管理的国有企业已退休2020年-2021年人均经费补差额指标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及政采云验收单，实行社会化管理的国有企业已退休2020年-2021年人均经费补差额按283.02元/人的标准进行补助，该指标未完成，根据评分标准，扣0.2分。原因为该项目夏普吐勒镇有三人资料未及时提交乡镇，资金未支出，导致人均经费补差额下降；改进措施：督促项目管理人员做好人员档案整理，及时报送乡镇财务人员，按要求拨付项目资金。</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该指标满分为5分，根据评分标准得4.8分。</w:t>
      </w:r>
    </w:p>
    <w:bookmarkEnd w:id="149"/>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150" w:name="_Toc6744"/>
      <w:bookmarkStart w:id="151" w:name="_Toc31965_WPSOffice_Level2"/>
      <w:r>
        <w:rPr>
          <w:rFonts w:hint="eastAsia" w:ascii="方正楷体_GBK" w:hAnsi="方正楷体_GBK" w:eastAsia="方正楷体_GBK" w:cs="方正楷体_GBK"/>
          <w:b/>
          <w:bCs w:val="0"/>
          <w:color w:val="auto"/>
          <w:kern w:val="0"/>
          <w:sz w:val="32"/>
          <w:szCs w:val="32"/>
          <w:highlight w:val="none"/>
          <w:lang w:val="en-US" w:eastAsia="zh-CN"/>
        </w:rPr>
        <w:t>（四）项目效益</w:t>
      </w:r>
      <w:bookmarkEnd w:id="150"/>
      <w:r>
        <w:rPr>
          <w:rFonts w:hint="eastAsia" w:ascii="方正楷体_GBK" w:hAnsi="方正楷体_GBK" w:eastAsia="方正楷体_GBK" w:cs="方正楷体_GBK"/>
          <w:b/>
          <w:bCs w:val="0"/>
          <w:color w:val="auto"/>
          <w:kern w:val="0"/>
          <w:sz w:val="32"/>
          <w:szCs w:val="32"/>
          <w:highlight w:val="none"/>
          <w:lang w:val="en-US" w:eastAsia="zh-CN"/>
        </w:rPr>
        <w:t>情况</w:t>
      </w:r>
      <w:bookmarkEnd w:id="151"/>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项目效益指标由1个二级指标和4个三级指标构成，权重分值20分，实际得分19.63分。各指标业绩值和绩效分值如下</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表所示：</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表4-4：项目效益指标及分值</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35"/>
        <w:gridCol w:w="1253"/>
        <w:gridCol w:w="1574"/>
        <w:gridCol w:w="1099"/>
        <w:gridCol w:w="1186"/>
        <w:gridCol w:w="799"/>
        <w:gridCol w:w="914"/>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696" w:type="pct"/>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一级指标</w:t>
            </w:r>
          </w:p>
        </w:tc>
        <w:tc>
          <w:tcPr>
            <w:tcW w:w="706"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二级指标</w:t>
            </w:r>
          </w:p>
        </w:tc>
        <w:tc>
          <w:tcPr>
            <w:tcW w:w="887"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三级指标</w:t>
            </w:r>
          </w:p>
        </w:tc>
        <w:tc>
          <w:tcPr>
            <w:tcW w:w="619"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标杆值</w:t>
            </w:r>
          </w:p>
        </w:tc>
        <w:tc>
          <w:tcPr>
            <w:tcW w:w="668"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业绩值</w:t>
            </w:r>
          </w:p>
        </w:tc>
        <w:tc>
          <w:tcPr>
            <w:tcW w:w="450"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权重</w:t>
            </w:r>
          </w:p>
        </w:tc>
        <w:tc>
          <w:tcPr>
            <w:tcW w:w="515"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实际得分</w:t>
            </w:r>
          </w:p>
        </w:tc>
        <w:tc>
          <w:tcPr>
            <w:tcW w:w="456" w:type="pct"/>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9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D效益（20）</w:t>
            </w:r>
          </w:p>
        </w:tc>
        <w:tc>
          <w:tcPr>
            <w:tcW w:w="70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D1项目效益(5)</w:t>
            </w:r>
          </w:p>
        </w:tc>
        <w:tc>
          <w:tcPr>
            <w:tcW w:w="88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D101国有企业不承担移交后的退休人员社会化管理服务费用的比例（%）</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0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D102保障国有企业退休人员晚年生活多姿多彩</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有效保障</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有效保障</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69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0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D103提供社会化管理服务年限（年）</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=1年</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=1年</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9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70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8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D104国有企业退休人员满意度（%）</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&gt;=95%</w:t>
            </w: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9.63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228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6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i w:val="0"/>
                <w:color w:val="000000"/>
                <w:sz w:val="22"/>
                <w:szCs w:val="22"/>
                <w:highlight w:val="none"/>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19.63</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98.15</w:t>
            </w:r>
            <w:r>
              <w:rPr>
                <w:rFonts w:hint="eastAsia" w:ascii="宋体" w:hAnsi="宋体" w:eastAsia="宋体" w:cs="宋体"/>
                <w:b/>
                <w:i w:val="0"/>
                <w:color w:val="000000"/>
                <w:kern w:val="0"/>
                <w:sz w:val="22"/>
                <w:szCs w:val="22"/>
                <w:highlight w:val="none"/>
                <w:u w:val="none"/>
                <w:lang w:val="en-US" w:eastAsia="zh-CN" w:bidi="ar"/>
              </w:rPr>
              <w:t>%</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指标得分分析：</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default"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D1项目效益方面</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（1）D101国有企业不承担移交后的退休人员社会化管理服务费用的比例指标：</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经查看国库支付凭证并进行访谈，由乡镇（社区）全额负担国有企业退休人员社会化管理服务费用，根据评分标准，得满分。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（2）D102保障国有企业退休人员晚年生活多姿多彩指标</w:t>
      </w:r>
      <w:bookmarkStart w:id="152" w:name="_Toc7393"/>
      <w:r>
        <w:rPr>
          <w:rFonts w:hint="eastAsia" w:ascii="方正仿宋_GBK" w:hAnsi="方正仿宋_GBK" w:eastAsia="方正仿宋_GBK" w:cs="方正仿宋_GBK"/>
          <w:b/>
          <w:bCs w:val="0"/>
          <w:color w:val="auto"/>
          <w:kern w:val="0"/>
          <w:sz w:val="32"/>
          <w:szCs w:val="32"/>
          <w:highlight w:val="none"/>
          <w:lang w:val="en-US"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经查看活动照片，乡镇（社区）组织国有企业退休人员开展多姿多彩的活动，丰富了退休人员人晚年生活。根据评价标准，得满分。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该指标满分为3分，根据评分标准得3分。</w:t>
      </w:r>
    </w:p>
    <w:bookmarkEnd w:id="152"/>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（3）D103提供社会化管理服务年限指标：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依据《关于下达2020-2021年国有企业退休人员社会化管理中央财政补助资金(清算)的通知》（喀地财企〔2021〕27号）、《关于提前下达2022年国有企业退休人员社会化管理补助资金的通知》（喀地财企〔2022〕3号）文件，经查看验收单及资金支付凭证，该经费保障社会化管理服务1年。根据评价标准，得满分。</w:t>
      </w: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该指标满分为2分，根据评分标准得2分。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2"/>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（4）D104国有企业退休人员满意度指标：</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2"/>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满意度调查问卷》中“问题5.您对该项目的实施过程及效果是否满意？”统计情况，选择选项“A.非常满意”126人，选择“B.比较满意”10人，选择“C.一般”0人，选择“D.较不满意”0人，选择“E.不满意”0人，指标完成率=Σ样本数（“非常满意”×1.0+“比较满意”×0.8+“一般”×0.6+“较不满意”×0.3+“不满意”×0）/总样本数×100.00%=（126×1+10×0.8+0×0.6+0×0.3）/136×100.00%=98.53%。得分=（实际完成率</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2"/>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-60.00%）/（1-60.00%）×指标分值=（100%-60.00%）/（1-60.00%）×10=9.63分。</w:t>
      </w:r>
    </w:p>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2"/>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该指标满分为10分，根据评分标准得9.63分。</w:t>
      </w:r>
    </w:p>
    <w:p>
      <w:pPr>
        <w:pageBreakBefore w:val="0"/>
        <w:numPr>
          <w:ilvl w:val="0"/>
          <w:numId w:val="6"/>
        </w:numPr>
        <w:kinsoku/>
        <w:wordWrap/>
        <w:bidi w:val="0"/>
        <w:spacing w:line="570" w:lineRule="exact"/>
        <w:ind w:firstLine="640" w:firstLineChars="200"/>
        <w:rPr>
          <w:rFonts w:hint="eastAsia" w:ascii="方正黑体_GBK" w:hAnsi="方正黑体_GBK" w:eastAsia="方正黑体_GBK" w:cs="方正黑体_GBK"/>
          <w:b w:val="0"/>
          <w:bCs w:val="0"/>
          <w:sz w:val="32"/>
          <w:szCs w:val="32"/>
          <w:highlight w:val="none"/>
        </w:rPr>
      </w:pPr>
      <w:bookmarkStart w:id="153" w:name="_Toc32150_WPSOffice_Level1"/>
      <w:r>
        <w:rPr>
          <w:rFonts w:hint="eastAsia" w:ascii="方正黑体_GBK" w:hAnsi="方正黑体_GBK" w:eastAsia="方正黑体_GBK" w:cs="方正黑体_GBK"/>
          <w:b w:val="0"/>
          <w:bCs w:val="0"/>
          <w:sz w:val="32"/>
          <w:szCs w:val="32"/>
          <w:highlight w:val="none"/>
        </w:rPr>
        <w:t>主要经验及做法、存在的问题及原因分析</w:t>
      </w:r>
      <w:bookmarkEnd w:id="153"/>
    </w:p>
    <w:p>
      <w:pPr>
        <w:pageBreakBefore w:val="0"/>
        <w:numPr>
          <w:ilvl w:val="0"/>
          <w:numId w:val="0"/>
        </w:numPr>
        <w:kinsoku/>
        <w:wordWrap/>
        <w:bidi w:val="0"/>
        <w:spacing w:line="570" w:lineRule="exact"/>
        <w:ind w:firstLine="643" w:firstLineChars="200"/>
        <w:rPr>
          <w:rFonts w:hint="default" w:ascii="仿宋" w:hAnsi="仿宋" w:eastAsia="仿宋" w:cs="仿宋"/>
          <w:color w:val="auto"/>
          <w:kern w:val="2"/>
          <w:sz w:val="32"/>
          <w:szCs w:val="32"/>
          <w:highlight w:val="none"/>
          <w:lang w:val="en-US" w:eastAsia="zh-CN"/>
        </w:rPr>
      </w:pPr>
      <w:bookmarkStart w:id="154" w:name="_Toc15641_WPSOffice_Level2"/>
      <w:r>
        <w:rPr>
          <w:rFonts w:hint="eastAsia" w:ascii="方正楷体_GBK" w:hAnsi="方正楷体_GBK" w:eastAsia="方正楷体_GBK" w:cs="方正楷体_GBK"/>
          <w:b/>
          <w:bCs/>
          <w:color w:val="auto"/>
          <w:kern w:val="2"/>
          <w:sz w:val="32"/>
          <w:szCs w:val="32"/>
          <w:highlight w:val="none"/>
          <w:lang w:val="en-US" w:eastAsia="zh-CN"/>
        </w:rPr>
        <w:t>（一）主要经验及做法</w:t>
      </w:r>
      <w:bookmarkEnd w:id="154"/>
    </w:p>
    <w:p>
      <w:pPr>
        <w:pStyle w:val="25"/>
        <w:keepNext w:val="0"/>
        <w:keepLines w:val="0"/>
        <w:pageBreakBefore w:val="0"/>
        <w:widowControl w:val="0"/>
        <w:kinsoku/>
        <w:wordWrap/>
        <w:overflowPunct/>
        <w:topLinePunct w:val="0"/>
        <w:autoSpaceDE/>
        <w:autoSpaceDN/>
        <w:bidi w:val="0"/>
        <w:adjustRightInd/>
        <w:snapToGrid/>
        <w:spacing w:line="570" w:lineRule="exact"/>
        <w:ind w:left="0" w:leftChars="0" w:firstLine="640"/>
        <w:textAlignment w:val="auto"/>
        <w:outlineLvl w:val="9"/>
        <w:rPr>
          <w:rFonts w:hint="eastAsia" w:ascii="方正仿宋_GBK" w:hAnsi="方正仿宋_GBK" w:eastAsia="方正仿宋_GBK" w:cs="方正仿宋_GBK"/>
          <w:color w:val="auto"/>
          <w:kern w:val="2"/>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rPr>
        <w:t>一是</w:t>
      </w:r>
      <w:r>
        <w:rPr>
          <w:rFonts w:hint="eastAsia" w:ascii="方正仿宋_GBK" w:hAnsi="方正仿宋_GBK" w:eastAsia="方正仿宋_GBK" w:cs="方正仿宋_GBK"/>
          <w:color w:val="auto"/>
          <w:kern w:val="2"/>
          <w:sz w:val="32"/>
          <w:szCs w:val="32"/>
          <w:highlight w:val="none"/>
          <w:lang w:eastAsia="zh-CN"/>
        </w:rPr>
        <w:t>成立国企退休人员养老服务工作领导小组，明确责任，合理分工，密切协作，为社会化管理服务工作顺利开展提供保障。</w:t>
      </w:r>
    </w:p>
    <w:p>
      <w:pPr>
        <w:pStyle w:val="25"/>
        <w:keepNext w:val="0"/>
        <w:keepLines w:val="0"/>
        <w:pageBreakBefore w:val="0"/>
        <w:widowControl w:val="0"/>
        <w:kinsoku/>
        <w:wordWrap/>
        <w:overflowPunct/>
        <w:topLinePunct w:val="0"/>
        <w:autoSpaceDE/>
        <w:autoSpaceDN/>
        <w:bidi w:val="0"/>
        <w:adjustRightInd/>
        <w:snapToGrid/>
        <w:spacing w:line="570" w:lineRule="exact"/>
        <w:ind w:left="0" w:leftChars="0" w:firstLine="640"/>
        <w:textAlignment w:val="auto"/>
        <w:outlineLvl w:val="9"/>
        <w:rPr>
          <w:rFonts w:hint="eastAsia" w:ascii="方正仿宋_GBK" w:hAnsi="方正仿宋_GBK" w:eastAsia="方正仿宋_GBK" w:cs="方正仿宋_GBK"/>
          <w:color w:val="auto"/>
          <w:kern w:val="2"/>
          <w:sz w:val="32"/>
          <w:szCs w:val="32"/>
          <w:highlight w:val="none"/>
          <w:lang w:val="en-US" w:eastAsia="zh-CN"/>
        </w:rPr>
      </w:pPr>
      <w:r>
        <w:rPr>
          <w:rFonts w:hint="eastAsia" w:ascii="方正仿宋_GBK" w:hAnsi="方正仿宋_GBK" w:eastAsia="方正仿宋_GBK" w:cs="方正仿宋_GBK"/>
          <w:color w:val="auto"/>
          <w:kern w:val="2"/>
          <w:sz w:val="32"/>
          <w:szCs w:val="32"/>
          <w:highlight w:val="none"/>
          <w:lang w:val="en-US" w:eastAsia="zh-CN"/>
        </w:rPr>
        <w:t>二是国有企业退休人员活动开展方面，利用有限的经费对乡镇（社区）工作予以支持，通过以点带面推动社区退休人员管理服务平台建设。同时督促乡镇（社区）根据自身特点与实际情况组织退休人员开展形式多样的文体活动。</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exact"/>
        <w:ind w:firstLine="643" w:firstLineChars="200"/>
        <w:textAlignment w:val="baseline"/>
        <w:outlineLvl w:val="0"/>
        <w:rPr>
          <w:rFonts w:hint="eastAsia" w:ascii="方正楷体_GBK" w:hAnsi="方正楷体_GBK" w:eastAsia="方正楷体_GBK" w:cs="方正楷体_GBK"/>
          <w:b/>
          <w:bCs/>
          <w:color w:val="auto"/>
          <w:kern w:val="2"/>
          <w:sz w:val="32"/>
          <w:szCs w:val="32"/>
          <w:highlight w:val="none"/>
          <w:lang w:eastAsia="zh-CN"/>
        </w:rPr>
      </w:pPr>
      <w:bookmarkStart w:id="155" w:name="_Toc8520_WPSOffice_Level2"/>
      <w:bookmarkStart w:id="156" w:name="_Toc26696"/>
      <w:bookmarkStart w:id="157" w:name="_Toc13526"/>
      <w:bookmarkStart w:id="158" w:name="_Toc15615"/>
      <w:bookmarkStart w:id="159" w:name="_Toc32080"/>
      <w:bookmarkStart w:id="160" w:name="_Toc30163852"/>
      <w:bookmarkStart w:id="161" w:name="_Toc21621"/>
      <w:r>
        <w:rPr>
          <w:rFonts w:hint="eastAsia" w:ascii="方正楷体_GBK" w:hAnsi="方正楷体_GBK" w:eastAsia="方正楷体_GBK" w:cs="方正楷体_GBK"/>
          <w:b/>
          <w:bCs/>
          <w:color w:val="auto"/>
          <w:kern w:val="2"/>
          <w:sz w:val="32"/>
          <w:szCs w:val="32"/>
          <w:highlight w:val="none"/>
          <w:lang w:eastAsia="zh-CN"/>
        </w:rPr>
        <w:t>（二）存在问题与不足</w:t>
      </w:r>
      <w:bookmarkEnd w:id="155"/>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left"/>
        <w:textAlignment w:val="auto"/>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一是由于乡镇、社区档案管理人员不专业及人员流动性较大，导致部分党员关系转移证明不齐全，企业退休党员移交仅在党统系统内办理移交，未及时出具党员关系转移证明，导致退休人员档案寄存管理没有落实到位。</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left"/>
        <w:textAlignment w:val="auto"/>
        <w:rPr>
          <w:rFonts w:hint="eastAsia" w:ascii="仿宋" w:hAnsi="仿宋" w:eastAsia="仿宋" w:cs="仿宋"/>
          <w:b w:val="0"/>
          <w:bCs w:val="0"/>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二是由于实施单位为各乡镇，主管单位与各乡镇项目负责人配合程度不够，导致项目完成后，资料未及时归档、提交财政局国资委备案。</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exact"/>
        <w:ind w:firstLine="640" w:firstLineChars="200"/>
        <w:textAlignment w:val="baseline"/>
        <w:outlineLvl w:val="0"/>
        <w:rPr>
          <w:rFonts w:hint="eastAsia" w:ascii="方正黑体_GBK" w:hAnsi="方正黑体_GBK" w:eastAsia="方正黑体_GBK" w:cs="方正黑体_GBK"/>
          <w:b w:val="0"/>
          <w:bCs w:val="0"/>
          <w:color w:val="auto"/>
          <w:kern w:val="2"/>
          <w:sz w:val="32"/>
          <w:szCs w:val="32"/>
          <w:highlight w:val="none"/>
          <w:lang w:eastAsia="zh-CN"/>
        </w:rPr>
      </w:pPr>
      <w:bookmarkStart w:id="162" w:name="_Toc11511_WPSOffice_Level1"/>
      <w:r>
        <w:rPr>
          <w:rFonts w:hint="eastAsia" w:ascii="方正黑体_GBK" w:hAnsi="方正黑体_GBK" w:eastAsia="方正黑体_GBK" w:cs="方正黑体_GBK"/>
          <w:b w:val="0"/>
          <w:bCs w:val="0"/>
          <w:color w:val="auto"/>
          <w:kern w:val="2"/>
          <w:sz w:val="32"/>
          <w:szCs w:val="32"/>
          <w:highlight w:val="none"/>
          <w:lang w:eastAsia="zh-CN"/>
        </w:rPr>
        <w:t>六、相关建议</w:t>
      </w:r>
      <w:bookmarkEnd w:id="162"/>
    </w:p>
    <w:bookmarkEnd w:id="156"/>
    <w:bookmarkEnd w:id="157"/>
    <w:bookmarkEnd w:id="158"/>
    <w:bookmarkEnd w:id="159"/>
    <w:bookmarkEnd w:id="160"/>
    <w:bookmarkEnd w:id="161"/>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both"/>
        <w:textAlignment w:val="auto"/>
        <w:rPr>
          <w:rFonts w:hint="eastAsia" w:ascii="方正仿宋_GBK" w:hAnsi="方正仿宋_GBK" w:eastAsia="方正仿宋_GBK" w:cs="方正仿宋_GBK"/>
          <w:color w:val="auto"/>
          <w:spacing w:val="6"/>
          <w:kern w:val="0"/>
          <w:sz w:val="32"/>
          <w:szCs w:val="32"/>
          <w:highlight w:val="none"/>
          <w:lang w:val="en-US" w:eastAsia="zh-CN" w:bidi="ar"/>
        </w:rPr>
      </w:pPr>
      <w:bookmarkStart w:id="163" w:name="_Toc16235"/>
      <w:bookmarkStart w:id="164" w:name="_Toc29593"/>
      <w:bookmarkStart w:id="165" w:name="_Toc9891"/>
      <w:r>
        <w:rPr>
          <w:rFonts w:hint="eastAsia" w:ascii="方正仿宋_GBK" w:hAnsi="方正仿宋_GBK" w:eastAsia="方正仿宋_GBK" w:cs="方正仿宋_GBK"/>
          <w:color w:val="auto"/>
          <w:spacing w:val="6"/>
          <w:kern w:val="0"/>
          <w:sz w:val="32"/>
          <w:szCs w:val="32"/>
          <w:highlight w:val="none"/>
          <w:lang w:val="en-US" w:eastAsia="zh-CN" w:bidi="ar"/>
        </w:rPr>
        <w:t>一是加强退管工作队伍建设，强化效能管理，健全规章制度，打造过硬的工作队伍，积极参加培训，提升退管服务水平。同时自觉接受社会公众监督，吸纳各方意见建议，确保社会化管理工作平稳有序开展；加强沟通协调，协调配合企业、社区、人事部门做好退休人员档案资料完善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70" w:lineRule="exact"/>
        <w:ind w:right="0" w:rightChars="0" w:firstLine="664" w:firstLineChars="200"/>
        <w:jc w:val="both"/>
        <w:textAlignment w:val="auto"/>
        <w:rPr>
          <w:rFonts w:hint="eastAsia" w:ascii="方正仿宋_GBK" w:hAnsi="方正仿宋_GBK" w:eastAsia="方正仿宋_GBK" w:cs="方正仿宋_GBK"/>
          <w:color w:val="auto"/>
          <w:spacing w:val="6"/>
          <w:kern w:val="0"/>
          <w:sz w:val="32"/>
          <w:szCs w:val="32"/>
          <w:highlight w:val="none"/>
          <w:lang w:val="en-US" w:eastAsia="zh-CN" w:bidi="ar"/>
        </w:rPr>
      </w:pPr>
      <w:r>
        <w:rPr>
          <w:rFonts w:hint="eastAsia" w:ascii="方正仿宋_GBK" w:hAnsi="方正仿宋_GBK" w:eastAsia="方正仿宋_GBK" w:cs="方正仿宋_GBK"/>
          <w:color w:val="auto"/>
          <w:spacing w:val="6"/>
          <w:kern w:val="0"/>
          <w:sz w:val="32"/>
          <w:szCs w:val="32"/>
          <w:highlight w:val="none"/>
          <w:lang w:val="en-US" w:eastAsia="zh-CN" w:bidi="ar"/>
        </w:rPr>
        <w:t>二是完善档案管理机制，与项目实施单位做好沟通协调工作，建立台账，督促实施单位按时完成资料归档、提交财政局国资委备案。</w:t>
      </w:r>
    </w:p>
    <w:p>
      <w:pPr>
        <w:keepNext w:val="0"/>
        <w:keepLines w:val="0"/>
        <w:pageBreakBefore w:val="0"/>
        <w:widowControl/>
        <w:kinsoku/>
        <w:wordWrap/>
        <w:overflowPunct w:val="0"/>
        <w:topLinePunct w:val="0"/>
        <w:autoSpaceDE w:val="0"/>
        <w:autoSpaceDN w:val="0"/>
        <w:bidi w:val="0"/>
        <w:adjustRightInd w:val="0"/>
        <w:snapToGrid/>
        <w:spacing w:line="570" w:lineRule="exact"/>
        <w:ind w:firstLine="640" w:firstLineChars="200"/>
        <w:textAlignment w:val="baseline"/>
        <w:outlineLvl w:val="0"/>
        <w:rPr>
          <w:rFonts w:hint="default" w:ascii="Times New Roman" w:hAnsi="Times New Roman" w:eastAsia="黑体" w:cs="Times New Roman"/>
          <w:b w:val="0"/>
          <w:bCs/>
          <w:kern w:val="0"/>
          <w:sz w:val="32"/>
          <w:szCs w:val="32"/>
          <w:highlight w:val="none"/>
        </w:rPr>
      </w:pPr>
      <w:bookmarkStart w:id="166" w:name="_Toc25798_WPSOffice_Level1"/>
      <w:r>
        <w:rPr>
          <w:rFonts w:hint="default" w:ascii="Times New Roman" w:hAnsi="Times New Roman" w:eastAsia="黑体" w:cs="Times New Roman"/>
          <w:b w:val="0"/>
          <w:bCs/>
          <w:kern w:val="0"/>
          <w:sz w:val="32"/>
          <w:szCs w:val="32"/>
          <w:highlight w:val="none"/>
        </w:rPr>
        <w:t>七、其他需要说明的问题</w:t>
      </w:r>
      <w:bookmarkEnd w:id="163"/>
      <w:bookmarkEnd w:id="164"/>
      <w:bookmarkEnd w:id="165"/>
      <w:bookmarkEnd w:id="166"/>
    </w:p>
    <w:p>
      <w:pPr>
        <w:ind w:firstLine="643" w:firstLineChars="200"/>
        <w:rPr>
          <w:rFonts w:hint="eastAsia" w:ascii="方正楷体_GBK" w:hAnsi="方正楷体_GBK" w:eastAsia="方正楷体_GBK" w:cs="方正楷体_GBK"/>
          <w:b/>
          <w:bCs w:val="0"/>
          <w:color w:val="auto"/>
          <w:kern w:val="0"/>
          <w:sz w:val="32"/>
          <w:szCs w:val="32"/>
          <w:highlight w:val="none"/>
          <w:lang w:val="en-US" w:eastAsia="zh-CN"/>
        </w:rPr>
      </w:pPr>
      <w:r>
        <w:rPr>
          <w:rFonts w:hint="eastAsia" w:ascii="方正楷体_GBK" w:hAnsi="方正楷体_GBK" w:eastAsia="方正楷体_GBK" w:cs="方正楷体_GBK"/>
          <w:b/>
          <w:bCs w:val="0"/>
          <w:color w:val="auto"/>
          <w:kern w:val="0"/>
          <w:sz w:val="32"/>
          <w:szCs w:val="32"/>
          <w:highlight w:val="none"/>
          <w:lang w:val="en-US" w:eastAsia="zh-CN"/>
        </w:rPr>
        <w:t>绩效结果挂钩次年预算资金安排</w:t>
      </w:r>
    </w:p>
    <w:p>
      <w:pPr>
        <w:ind w:firstLine="640" w:firstLineChars="200"/>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为有效提高财政预算资金的经济性、效率性以及效益性，建议将本次绩效评价结果作为预算单位次年预算编制的重要依据，并优化支出结构、完善相关办法、改进预算管理。对绩效评价结果为“优秀”和“良好”的项目，建议根据政策制度，结合喀什地区工作安排以及本级财力情况等因素，原则上优先予以保障。对绩效评价结果为“一般”的项目，项目实施单位应针对性提出整改措施，落实到位。本级财政部门在编制次年该预算单位同类型项目支出时，按比例扣减预算，具体扣减比例计算方式为：（80-项目绩效评价结果得分）/100。对绩效评价结果“较差”的项目，本级财政部门原则上不在次年预算中给予安排。</w:t>
      </w:r>
      <w:r>
        <w:rPr>
          <w:rFonts w:hint="eastAsia" w:ascii="方正仿宋_GBK" w:hAnsi="方正仿宋_GBK" w:eastAsia="方正仿宋_GBK" w:cs="方正仿宋_GBK"/>
          <w:b w:val="0"/>
          <w:bCs/>
          <w:color w:val="auto"/>
          <w:kern w:val="0"/>
          <w:sz w:val="32"/>
          <w:szCs w:val="32"/>
          <w:highlight w:val="none"/>
          <w:lang w:val="en-US" w:eastAsia="zh-CN"/>
        </w:rPr>
        <w:br w:type="page"/>
      </w:r>
    </w:p>
    <w:p>
      <w:pPr>
        <w:pStyle w:val="2"/>
        <w:bidi w:val="0"/>
        <w:rPr>
          <w:rFonts w:hint="eastAsia"/>
          <w:highlight w:val="none"/>
          <w:lang w:val="en-US" w:eastAsia="zh-CN"/>
        </w:rPr>
      </w:pPr>
      <w:bookmarkStart w:id="167" w:name="_Toc7801_WPSOffice_Level1"/>
      <w:r>
        <w:rPr>
          <w:rFonts w:hint="eastAsia"/>
          <w:highlight w:val="none"/>
          <w:lang w:val="en-US" w:eastAsia="zh-CN"/>
        </w:rPr>
        <w:t>附件1部门单位项目支出绩效自评表</w:t>
      </w:r>
      <w:bookmarkEnd w:id="167"/>
    </w:p>
    <w:tbl>
      <w:tblPr>
        <w:tblStyle w:val="14"/>
        <w:tblW w:w="8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5"/>
        <w:gridCol w:w="745"/>
        <w:gridCol w:w="1045"/>
        <w:gridCol w:w="745"/>
        <w:gridCol w:w="693"/>
        <w:gridCol w:w="601"/>
        <w:gridCol w:w="910"/>
        <w:gridCol w:w="1066"/>
        <w:gridCol w:w="279"/>
        <w:gridCol w:w="279"/>
        <w:gridCol w:w="269"/>
        <w:gridCol w:w="269"/>
        <w:gridCol w:w="486"/>
        <w:gridCol w:w="7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8" w:hRule="atLeast"/>
        </w:trPr>
        <w:tc>
          <w:tcPr>
            <w:tcW w:w="88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32"/>
                <w:szCs w:val="32"/>
                <w:highlight w:val="none"/>
                <w:u w:val="none"/>
              </w:rPr>
            </w:pPr>
            <w:r>
              <w:rPr>
                <w:rFonts w:hint="eastAsia" w:ascii="宋体" w:hAnsi="宋体" w:eastAsia="宋体" w:cs="宋体"/>
                <w:b/>
                <w:i w:val="0"/>
                <w:color w:val="000000"/>
                <w:kern w:val="0"/>
                <w:sz w:val="32"/>
                <w:szCs w:val="32"/>
                <w:highlight w:val="none"/>
                <w:u w:val="none"/>
                <w:lang w:val="en-US" w:eastAsia="zh-CN" w:bidi="ar"/>
              </w:rPr>
              <w:t>部门单位项目支出绩效自评表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88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项目名称</w:t>
            </w:r>
          </w:p>
        </w:tc>
        <w:tc>
          <w:tcPr>
            <w:tcW w:w="739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伽师县2022年国有企业退休人员社会化服务项目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主管部门</w:t>
            </w:r>
          </w:p>
        </w:tc>
        <w:tc>
          <w:tcPr>
            <w:tcW w:w="308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伽师县财政局</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实施单位</w:t>
            </w:r>
          </w:p>
        </w:tc>
        <w:tc>
          <w:tcPr>
            <w:tcW w:w="33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伽师县财政局（本级）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4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项目资金</w:t>
            </w:r>
            <w:r>
              <w:rPr>
                <w:rFonts w:hint="eastAsia" w:ascii="宋体" w:hAnsi="宋体" w:eastAsia="宋体" w:cs="宋体"/>
                <w:i w:val="0"/>
                <w:color w:val="000000"/>
                <w:kern w:val="0"/>
                <w:sz w:val="20"/>
                <w:szCs w:val="20"/>
                <w:highlight w:val="none"/>
                <w:u w:val="none"/>
                <w:lang w:val="en-US" w:eastAsia="zh-CN" w:bidi="ar"/>
              </w:rPr>
              <w:br w:type="textWrapping"/>
            </w:r>
            <w:r>
              <w:rPr>
                <w:rFonts w:hint="eastAsia" w:ascii="宋体" w:hAnsi="宋体" w:eastAsia="宋体" w:cs="宋体"/>
                <w:i w:val="0"/>
                <w:color w:val="000000"/>
                <w:kern w:val="0"/>
                <w:sz w:val="20"/>
                <w:szCs w:val="20"/>
                <w:highlight w:val="none"/>
                <w:u w:val="none"/>
                <w:lang w:val="en-US" w:eastAsia="zh-CN" w:bidi="ar"/>
              </w:rPr>
              <w:t>（万元）</w:t>
            </w: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年初预算数</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全年预算数</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全年执行数</w:t>
            </w:r>
          </w:p>
        </w:tc>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分值</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执行率</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年度资金总额</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4.38</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4.29</w:t>
            </w:r>
          </w:p>
        </w:tc>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97.95%</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9.80分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其中：当年财政拨款</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4.38</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4.29</w:t>
            </w:r>
          </w:p>
        </w:tc>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上年结转资金</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0.00</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0.00</w:t>
            </w:r>
          </w:p>
        </w:tc>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4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7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 xml:space="preserve">  其他资金</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0.00</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0.00</w:t>
            </w:r>
          </w:p>
        </w:tc>
        <w:tc>
          <w:tcPr>
            <w:tcW w:w="13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0.00</w:t>
            </w:r>
          </w:p>
        </w:tc>
        <w:tc>
          <w:tcPr>
            <w:tcW w:w="5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c>
          <w:tcPr>
            <w:tcW w:w="7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年度总体目标</w:t>
            </w:r>
          </w:p>
        </w:tc>
        <w:tc>
          <w:tcPr>
            <w:tcW w:w="473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预期目标</w:t>
            </w:r>
          </w:p>
        </w:tc>
        <w:tc>
          <w:tcPr>
            <w:tcW w:w="33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1"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473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根据(喀地财企〔2021〕27号)文件，下达资金2.3241万元，（喀地财企〔2022〕3号）下达预算资金2.0540万元，主要用于对央企移交至我县的退休人员统一由街道社区管理，由财政安排预算接收退休人员的街道和社区进行经费补助，使国有企业退休人员100%移交，企业不再承担管理费用。</w:t>
            </w:r>
          </w:p>
        </w:tc>
        <w:tc>
          <w:tcPr>
            <w:tcW w:w="33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top"/>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截止2022年12月5日，项目支出资金4.29万元，完成对央企移交至我县的退休人员接收的乡镇和社区经费补助，项目的实施完成使国有企业退休人员100%移交，企业不再承担管理费用。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一级指标</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二级指标</w:t>
            </w:r>
          </w:p>
        </w:tc>
        <w:tc>
          <w:tcPr>
            <w:tcW w:w="20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三级指标</w:t>
            </w:r>
          </w:p>
        </w:tc>
        <w:tc>
          <w:tcPr>
            <w:tcW w:w="9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年度指标值</w:t>
            </w:r>
          </w:p>
        </w:tc>
        <w:tc>
          <w:tcPr>
            <w:tcW w:w="10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实际完成值</w:t>
            </w:r>
          </w:p>
        </w:tc>
        <w:tc>
          <w:tcPr>
            <w:tcW w:w="5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分值</w:t>
            </w:r>
          </w:p>
        </w:tc>
        <w:tc>
          <w:tcPr>
            <w:tcW w:w="5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得分</w:t>
            </w:r>
          </w:p>
        </w:tc>
        <w:tc>
          <w:tcPr>
            <w:tcW w:w="12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20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9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5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2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年度绩效指标完成情况</w:t>
            </w: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产出指标</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数量指标</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移交街道和社区实行社会化管理的国有企业已退休人员数量（人）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=79</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79</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移交街道和社区实行社会化管理的比例（%）</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国有企业已退休人员管理服务工作与原企业分离的比例（%）</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国有企业新办理退休人员管理服务工作与原企业分离的比例（%）</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质量指标</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国有企业退休人员移交街道社区实名制台账准确率（%）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资金使用合规率（%）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时效指标</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改革任务完成及时率（%）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经费保障及时率（%）</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项目完成时间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2022年12月</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2022年12月</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成本指标</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移交街道和社区实行社会化管理的国有企业已退休当年人均经费额（元/人）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260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65"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移交街道和社区实行社会化管理的国有企业已退休2020年-2021年人均经费补差额（元/人）</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=294.19</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283.02</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4</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3.85</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180" w:lineRule="atLeas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15"/>
                <w:szCs w:val="15"/>
                <w:highlight w:val="none"/>
                <w:u w:val="none"/>
                <w:lang w:val="en-US" w:eastAsia="zh-CN" w:bidi="ar"/>
              </w:rPr>
              <w:t>原因为该项目夏普吐勒镇有三人资料未及时提交乡镇，资金未支出，导致人均经费补差额下降；改进措施：督促项目管理人员做好人员档案整理，及时报送乡镇财务人员，按要求拨付项目资金。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效益指标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经济效益指标</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国有企业不承担移交后的退休人员社会化管理服务费用的比例（%）</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社会效益指标</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保障国有企业退休人员晚年生活多姿多彩</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有效保障</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有效保障</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可持续影响指标</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提供社会化管理服务年限（年）</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=1年</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1年</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65"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满意度指标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满意度指标</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国有企业退休人员满意度（%）</w:t>
            </w:r>
          </w:p>
        </w:tc>
        <w:tc>
          <w:tcPr>
            <w:tcW w:w="9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&gt;=95%</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16"/>
                <w:szCs w:val="16"/>
                <w:highlight w:val="none"/>
                <w:u w:val="none"/>
                <w:lang w:val="en-US" w:eastAsia="zh-CN" w:bidi="ar"/>
              </w:rPr>
              <w:t>国有企业退休人员对该项目的实施都较满意。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trPr>
        <w:tc>
          <w:tcPr>
            <w:tcW w:w="655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总分</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100</w:t>
            </w:r>
          </w:p>
        </w:tc>
        <w:tc>
          <w:tcPr>
            <w:tcW w:w="5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99.65分</w:t>
            </w: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trPr>
        <w:tc>
          <w:tcPr>
            <w:tcW w:w="1490"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经办人：</w:t>
            </w:r>
          </w:p>
        </w:tc>
        <w:tc>
          <w:tcPr>
            <w:tcW w:w="2483" w:type="dxa"/>
            <w:gridSpan w:val="3"/>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庹德群</w:t>
            </w:r>
          </w:p>
        </w:tc>
        <w:tc>
          <w:tcPr>
            <w:tcW w:w="2856" w:type="dxa"/>
            <w:gridSpan w:val="4"/>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联系电话：</w:t>
            </w:r>
          </w:p>
        </w:tc>
        <w:tc>
          <w:tcPr>
            <w:tcW w:w="2051" w:type="dxa"/>
            <w:gridSpan w:val="5"/>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13899177896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0" w:type="auto"/>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联系人：</w:t>
            </w:r>
          </w:p>
        </w:tc>
        <w:tc>
          <w:tcPr>
            <w:tcW w:w="0" w:type="auto"/>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高新龙</w:t>
            </w:r>
          </w:p>
        </w:tc>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righ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联系电话：</w:t>
            </w:r>
          </w:p>
        </w:tc>
        <w:tc>
          <w:tcPr>
            <w:tcW w:w="0" w:type="auto"/>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18099541530</w:t>
            </w:r>
          </w:p>
        </w:tc>
      </w:tr>
    </w:tbl>
    <w:p>
      <w:pPr>
        <w:rPr>
          <w:rFonts w:hint="default" w:ascii="方正仿宋_GBK" w:hAnsi="方正仿宋_GBK" w:eastAsia="方正仿宋_GBK" w:cs="方正仿宋_GBK"/>
          <w:b/>
          <w:bCs w:val="0"/>
          <w:color w:val="auto"/>
          <w:kern w:val="0"/>
          <w:sz w:val="32"/>
          <w:szCs w:val="32"/>
          <w:highlight w:val="none"/>
          <w:lang w:val="en-US" w:eastAsia="zh-CN"/>
        </w:rPr>
      </w:pPr>
      <w:r>
        <w:rPr>
          <w:rFonts w:hint="default" w:ascii="方正仿宋_GBK" w:hAnsi="方正仿宋_GBK" w:eastAsia="方正仿宋_GBK" w:cs="方正仿宋_GBK"/>
          <w:b/>
          <w:bCs w:val="0"/>
          <w:color w:val="auto"/>
          <w:kern w:val="0"/>
          <w:sz w:val="32"/>
          <w:szCs w:val="32"/>
          <w:highlight w:val="none"/>
          <w:lang w:val="en-US" w:eastAsia="zh-CN"/>
        </w:rPr>
        <w:br w:type="page"/>
      </w:r>
    </w:p>
    <w:p>
      <w:pPr>
        <w:pStyle w:val="20"/>
        <w:keepNext w:val="0"/>
        <w:keepLines w:val="0"/>
        <w:pageBreakBefore w:val="0"/>
        <w:widowControl w:val="0"/>
        <w:kinsoku/>
        <w:wordWrap/>
        <w:overflowPunct/>
        <w:topLinePunct w:val="0"/>
        <w:autoSpaceDE/>
        <w:autoSpaceDN/>
        <w:bidi w:val="0"/>
        <w:adjustRightInd/>
        <w:snapToGrid/>
        <w:spacing w:line="570" w:lineRule="exact"/>
        <w:textAlignment w:val="auto"/>
        <w:outlineLvl w:val="1"/>
        <w:rPr>
          <w:rFonts w:hint="default" w:ascii="方正仿宋_GBK" w:hAnsi="方正仿宋_GBK" w:eastAsia="方正仿宋_GBK" w:cs="方正仿宋_GBK"/>
          <w:b/>
          <w:bCs w:val="0"/>
          <w:color w:val="auto"/>
          <w:kern w:val="0"/>
          <w:sz w:val="32"/>
          <w:szCs w:val="32"/>
          <w:highlight w:val="none"/>
          <w:lang w:val="en-US" w:eastAsia="zh-CN"/>
        </w:rPr>
        <w:sectPr>
          <w:footerReference r:id="rId3" w:type="default"/>
          <w:pgSz w:w="11906" w:h="16838"/>
          <w:pgMar w:top="1984" w:right="1531" w:bottom="1701" w:left="1531" w:header="851" w:footer="992" w:gutter="0"/>
          <w:pgNumType w:fmt="numberInDash" w:start="1"/>
          <w:cols w:space="425" w:num="1"/>
          <w:docGrid w:type="lines" w:linePitch="312" w:charSpace="0"/>
        </w:sectPr>
      </w:pPr>
    </w:p>
    <w:p>
      <w:pPr>
        <w:pStyle w:val="2"/>
        <w:bidi w:val="0"/>
        <w:rPr>
          <w:rFonts w:hint="eastAsia"/>
          <w:highlight w:val="none"/>
          <w:lang w:val="en-US" w:eastAsia="zh-CN"/>
        </w:rPr>
      </w:pPr>
      <w:bookmarkStart w:id="168" w:name="_Toc29211"/>
      <w:bookmarkStart w:id="169" w:name="_Toc3194"/>
      <w:bookmarkStart w:id="170" w:name="_Toc17295"/>
      <w:bookmarkStart w:id="171" w:name="_Toc31778"/>
      <w:bookmarkStart w:id="172" w:name="_Toc28067"/>
      <w:bookmarkStart w:id="173" w:name="_Toc14656"/>
      <w:bookmarkStart w:id="174" w:name="_Toc4341"/>
      <w:bookmarkStart w:id="175" w:name="_Toc9723"/>
      <w:bookmarkStart w:id="176" w:name="_Toc29998_WPSOffice_Level1"/>
      <w:r>
        <w:rPr>
          <w:rFonts w:hint="eastAsia"/>
          <w:highlight w:val="none"/>
        </w:rPr>
        <w:t>附件</w:t>
      </w:r>
      <w:bookmarkEnd w:id="168"/>
      <w:bookmarkEnd w:id="169"/>
      <w:bookmarkEnd w:id="170"/>
      <w:bookmarkEnd w:id="171"/>
      <w:bookmarkEnd w:id="172"/>
      <w:bookmarkEnd w:id="173"/>
      <w:bookmarkEnd w:id="174"/>
      <w:bookmarkEnd w:id="175"/>
      <w:r>
        <w:rPr>
          <w:rFonts w:hint="eastAsia"/>
          <w:highlight w:val="none"/>
          <w:lang w:val="en-US" w:eastAsia="zh-CN"/>
        </w:rPr>
        <w:t>2</w:t>
      </w:r>
      <w:r>
        <w:rPr>
          <w:rFonts w:hint="eastAsia"/>
          <w:highlight w:val="none"/>
        </w:rPr>
        <w:t>项目支出绩效评价指标体系</w:t>
      </w:r>
      <w:bookmarkEnd w:id="176"/>
    </w:p>
    <w:tbl>
      <w:tblPr>
        <w:tblStyle w:val="14"/>
        <w:tblW w:w="505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6"/>
        <w:gridCol w:w="538"/>
        <w:gridCol w:w="603"/>
        <w:gridCol w:w="2429"/>
        <w:gridCol w:w="6896"/>
        <w:gridCol w:w="947"/>
        <w:gridCol w:w="832"/>
        <w:gridCol w:w="668"/>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25" w:hRule="atLeast"/>
        </w:trPr>
        <w:tc>
          <w:tcPr>
            <w:tcW w:w="224"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一级指标</w:t>
            </w:r>
          </w:p>
        </w:tc>
        <w:tc>
          <w:tcPr>
            <w:tcW w:w="190"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二级指标</w:t>
            </w:r>
          </w:p>
        </w:tc>
        <w:tc>
          <w:tcPr>
            <w:tcW w:w="213"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三级指标</w:t>
            </w:r>
          </w:p>
        </w:tc>
        <w:tc>
          <w:tcPr>
            <w:tcW w:w="859" w:type="pct"/>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指标解释</w:t>
            </w:r>
          </w:p>
        </w:tc>
        <w:tc>
          <w:tcPr>
            <w:tcW w:w="2439"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指标说明</w:t>
            </w:r>
          </w:p>
        </w:tc>
        <w:tc>
          <w:tcPr>
            <w:tcW w:w="335"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标杆值</w:t>
            </w:r>
          </w:p>
        </w:tc>
        <w:tc>
          <w:tcPr>
            <w:tcW w:w="294"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业绩值</w:t>
            </w:r>
          </w:p>
        </w:tc>
        <w:tc>
          <w:tcPr>
            <w:tcW w:w="236"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权重</w:t>
            </w:r>
          </w:p>
        </w:tc>
        <w:tc>
          <w:tcPr>
            <w:tcW w:w="206" w:type="pct"/>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A项目决策（20分）</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A1项目立项（10分）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A101立项依据充分性</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项目立项是否符合法律法规、相关政策、发展规划以及部门职责，用以反映和考核项目立项依据情况。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充分</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充分</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①项目立项是否符合国家法律法规、国民经济发展规划和相关政策（1分）；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②项目立项是否符合行业发展规划和政策要求（1分）；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③项目立项是否与部门职责范围相符，属于部门履职所需（1分）；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④项目是否属于公共财政支持范围，是否符合中央、地方事权支出责任划分原则（1分）；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⑤项目是否与相关部门同类项目或部门内部相关项目重复（1分），否则不得分。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A102立项程序规范性</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项目申请、设立过程是否符合相关要求，用以反映和考核项目立项的规范情况。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规范</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规范</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①项目是否按照规定的程序申请设立；</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②审批文件、材料是否符合相关要求；</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③事前是否已经过必要的可行性研究、专家论证、风险评估、绩效评估、集体决策；①②③齐全得权重分的100%，缺①扣权重分的40%，缺②扣权重分的30%，缺③扣权重分的30%。。</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A2 绩效目标（5分）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A201绩效目标合理性</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项目所设定的绩效目标是否依据充分，是否符合客观实际，用以反映和考核项目绩效目标与项目实施的相符情况。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合理</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合理</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（如未设定预算绩效目标，也可考核其他工作任务目标）</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①项目是否有绩效目标（0.5分）；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②项目绩效目标与实际工作内容是否具有相关性（0.5分）；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③项目预期产出效益和效果是否符合正常的业绩水平（0.5分）；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④是否与预算确定的项目投资额或资金量相匹配（0.5分）。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A202绩效指标明确性</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依据绩效目标设定的绩效指标是否清晰、细化、可衡量等，用以反映和考核项目绩效目标的明细化情况。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明确</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明确</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①是否将项目绩效目标细化分解为具体的绩效指标（1分）；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②是否通过清晰、可衡量的指标值予以体现（1分）；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③是否与项目目标任务数或计划数相对应（1分）。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A3资金投入（5分）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A301预算编制科学性</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项目预算编制是否经过科学论证、有明确标准，资金额度与年度目标是否相适应，用以反映和考核项目预算编制的科学性、合理性情况。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科学</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科学</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①预算编制是否经过科学论证（0.5分）；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②预算内容与项目内容是否匹配（0.5分）；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③预算额度测算依据是否充分，是否按照标准编制（0.5分）；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④预算确定的项目投资额或资金量是否与工作任务相匹配（0.5分）。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A302资金分配合理性</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项目预算资金分配是否有测算依据，与补助单位或地方实际是否相适应，用以反映和考核项目预算资金分配的科学性、合理性情况。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合理</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合理</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①预算资金分配依据是否充分（1分）；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②资金分配额度是否合理，与项目单位或地方实际是否相适应（2分）。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B 项目过程（20）</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B1资金管理（15分）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B101资金到位率</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实际到位资金与预算资金的比率，用以反映和考核资金落实情况对项目实施的总体保障程度。</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①资金到位率为100%的，得满分。（5分）。             </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②资金未全额到位的，按照满分乘以到位率计算得分。资金到位率=（实际到位资金/预算资金）×100%。</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实际到位资金：一定时期（本年度或项目期）内落实到具体项目的资金。</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预算资金：一定时期（本年度或项目期）内预算安排到具体项目的资金，满足则得分，否则扣除对应权重分。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B102预算执行率</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项目预算资金是否按照计划执行，用以反映或考核项目预算执行情况。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①预算执行率为100%的，得满分（5分）；</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②资金未执行完毕的，按照满分乘以到位率计算得分，预算执行率=（实际支出资金/实际到位资金）×100%。</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97.95%</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实际支出资金：一定时期（本年度或项目期）内项目实际拨付的资金。</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B103资金使用合规性</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项目资金使用是否符合相关的财务管理制度规定，用以反映和考核项目资金的规范运行情况。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合规</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合规</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①是否符合国家财经法规和财务管理制度以及有关专项资金管理办法的规定（1分）；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②资金的拨付是否有完整的审批程序和手续（1分）；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③是否符合项目预算批复或合同规定的用途（1分）；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④是否存在截留、挤占、挪用、虚列支出等情况（2分）。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B2组织实施（5分）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B201管理制度健全性（2分）</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项目实施单位的财务和业务管理制度是否健全，用以反映和考核财务和业务管理制度对项目顺利实施的保障情况。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健全</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健全</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①是否已制定或具有相应的财务和业务管理制度（1分）；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2"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②财务和业务管理制度是否合法、合规、完整；以上两项各占50%的权重分，满足一项得对应的权重分（1分）。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B201制度执行有效性（3分）</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项目实施是否符合相关管理规定，用以反映和考核相关管理制度的有效执行情况。</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评价要点：</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有效</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部分有效</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①是否遵守相关法律法规和相关管理规定（1分）；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②项目调整及支出调整手续是否完备（0.5分）；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③项目合同书、验收报告、技术鉴定等资料是否齐全并及时归档（1分）；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④项目实施的人员条件、场地设备、信息支撑等是否落实到位（0.5分）。</w:t>
            </w: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C产出（40分）</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C1产出数量（20分）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C101实际完成率</w:t>
            </w:r>
          </w:p>
        </w:tc>
        <w:tc>
          <w:tcPr>
            <w:tcW w:w="859" w:type="pct"/>
            <w:vMerge w:val="restart"/>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项目实施的实际产出数与计划产出数的比率，用以反映和考核项目产出数量目标的实现程度。</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①移交街道和社区实行社会化管理的国有企业已退休人员指标，完成该指标得满分；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79</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79</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②移交街道和社区实行社会化管理的比例指标，完成该指标得满分；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③国有企业已退休人员管理服务工作与原企业分离的比例指标，完成该指标得满分；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④国有企业新办理退休人员管理服务工作与原企业分离的比例指标，完成该指标得满分；实际完成率=（实际产出数/计划产出数）*100%；得分=实际完成率*100%</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C2产出质量（5分）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C102质量达标率</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项目完成的质量达标产出数与实际产出数的比率，用以反映和考核项目产出质量目标的实现程度。</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①国有企业退休人员移交街道社区实名制台账准确率指标，完成该指标得满分；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②资金使用合规率指标，完成该指标得满分。实际完成率=（实际产出数/计划产出数）*100%；得分=实际完成率*100%</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C3产出时效（5分）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C103完成及时性</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项目实际完成时间与计划完成时间的比较，用以反映和考核项目产出时效目标的实现程度。</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①改革任务完成及时率指标，完成该指标得满分；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②经费保障及时率指标，完成该指标得满分；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439" w:type="pc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③项目完成时间指标，完成该指标得满分。实际完成率=（实际产出数/计划产出数）*100%；得分=实际完成率*100%</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2022年12月</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0"/>
                <w:szCs w:val="20"/>
                <w:highlight w:val="none"/>
                <w:u w:val="none"/>
              </w:rPr>
            </w:pPr>
            <w:r>
              <w:rPr>
                <w:rFonts w:hint="eastAsia" w:ascii="宋体" w:hAnsi="宋体" w:eastAsia="宋体" w:cs="宋体"/>
                <w:i w:val="0"/>
                <w:color w:val="000000"/>
                <w:kern w:val="0"/>
                <w:sz w:val="20"/>
                <w:szCs w:val="20"/>
                <w:highlight w:val="none"/>
                <w:u w:val="none"/>
                <w:lang w:val="en-US" w:eastAsia="zh-CN" w:bidi="ar"/>
              </w:rPr>
              <w:t>2022年12月</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C4产出成本（10分）</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C401成本节约率</w:t>
            </w:r>
          </w:p>
        </w:tc>
        <w:tc>
          <w:tcPr>
            <w:tcW w:w="859" w:type="pct"/>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完成项目计划工作目标的实际节约成本与计划成本的比率，用以反映和考核项目的成本节约程度。</w:t>
            </w:r>
          </w:p>
        </w:tc>
        <w:tc>
          <w:tcPr>
            <w:tcW w:w="2439" w:type="pct"/>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①移交街道和社区实行社会化管理的国有企业已退休当年人均经费额指标，完成该指标得满分；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260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②移交街道和社区实行社会化管理的国有企业已退休2020年-2021年人均经费补差额指标，完成该指标得满分。成本节约率=[（计划成本-实际成本）/计划成本]×100%，分值按照满分乘成本节约率，实际成本：项目实施单位如期、保质、保量完成既定工作目标实际所耗费的支出；计划成本：项目实施单位为完成工作目标计划安排的支出，一般以项目预算为参考。</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294.19</w:t>
            </w:r>
          </w:p>
        </w:tc>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283.02</w:t>
            </w:r>
          </w:p>
        </w:tc>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eastAsia" w:ascii="宋体" w:hAnsi="宋体" w:eastAsia="宋体" w:cs="宋体"/>
                <w:i w:val="0"/>
                <w:color w:val="000000"/>
                <w:sz w:val="22"/>
                <w:szCs w:val="22"/>
                <w:highlight w:val="none"/>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rPr>
                <w:rFonts w:hint="eastAsia" w:ascii="宋体" w:hAnsi="宋体" w:eastAsia="宋体" w:cs="宋体"/>
                <w:i w:val="0"/>
                <w:color w:val="000000"/>
                <w:sz w:val="22"/>
                <w:szCs w:val="22"/>
                <w:highlight w:val="none"/>
                <w:u w:val="none"/>
              </w:rPr>
            </w:pPr>
          </w:p>
        </w:tc>
        <w:tc>
          <w:tcPr>
            <w:tcW w:w="2439" w:type="pct"/>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rPr>
                <w:rFonts w:hint="eastAsia" w:ascii="宋体" w:hAnsi="宋体" w:eastAsia="宋体" w:cs="宋体"/>
                <w:i w:val="0"/>
                <w:color w:val="000000"/>
                <w:sz w:val="22"/>
                <w:szCs w:val="22"/>
                <w:highlight w:val="none"/>
                <w:u w:val="none"/>
              </w:rPr>
            </w:pPr>
          </w:p>
        </w:tc>
        <w:tc>
          <w:tcPr>
            <w:tcW w:w="3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0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24"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D效益（20分）</w:t>
            </w:r>
          </w:p>
        </w:tc>
        <w:tc>
          <w:tcPr>
            <w:tcW w:w="19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D1项目效益　</w:t>
            </w:r>
          </w:p>
        </w:tc>
        <w:tc>
          <w:tcPr>
            <w:tcW w:w="213"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D101实施效益</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经济效益指标</w:t>
            </w:r>
          </w:p>
        </w:tc>
        <w:tc>
          <w:tcPr>
            <w:tcW w:w="24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国有企业不承担移交后的退休人员社会化管理服务费用的比例指标，完成该指标得满分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社会效益指标</w:t>
            </w:r>
          </w:p>
        </w:tc>
        <w:tc>
          <w:tcPr>
            <w:tcW w:w="24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保障国有企业退休人员晚年生活多姿多彩指标，完成该指标得满分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有效保障</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有效保障</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可持续影响指标</w:t>
            </w:r>
          </w:p>
        </w:tc>
        <w:tc>
          <w:tcPr>
            <w:tcW w:w="24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提供社会化管理服务年限指标，完成该指标得满分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1年</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1年</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224"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19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1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D102满意度</w:t>
            </w:r>
          </w:p>
        </w:tc>
        <w:tc>
          <w:tcPr>
            <w:tcW w:w="859"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社会公众或服务对象对项目实施效果的满意程度。</w:t>
            </w:r>
          </w:p>
        </w:tc>
        <w:tc>
          <w:tcPr>
            <w:tcW w:w="243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根</w:t>
            </w:r>
            <w:r>
              <w:rPr>
                <w:rFonts w:hint="eastAsia" w:ascii="宋体" w:hAnsi="宋体" w:eastAsia="宋体" w:cs="宋体"/>
                <w:i w:val="0"/>
                <w:color w:val="000000"/>
                <w:kern w:val="0"/>
                <w:sz w:val="22"/>
                <w:szCs w:val="22"/>
                <w:highlight w:val="none"/>
                <w:u w:val="none"/>
                <w:lang w:val="en-US" w:eastAsia="zh-CN" w:bidi="ar"/>
              </w:rPr>
              <w:t>据满意度问卷统计情况计算完成比率，指标完成率=Σ样本数（“很</w:t>
            </w:r>
          </w:p>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满意”×1.0+“满意”×0.8+“一般”×0.6+“不满</w:t>
            </w:r>
          </w:p>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意”×0.3+“很不满意”×0）/总样本数×100.00%，根访谈调研情</w:t>
            </w:r>
          </w:p>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况进行评分，得分大于等于XX%,得满分；实际完成率大于60%且小</w:t>
            </w:r>
          </w:p>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于XX%的，按超过的比重赋分，计算公式为：得分=（实际完成率-60%）</w:t>
            </w:r>
          </w:p>
          <w:p>
            <w:pPr>
              <w:keepNext w:val="0"/>
              <w:keepLines w:val="0"/>
              <w:pageBreakBefore w:val="0"/>
              <w:widowControl/>
              <w:suppressLineNumbers w:val="0"/>
              <w:kinsoku/>
              <w:wordWrap/>
              <w:bidi w:val="0"/>
              <w:spacing w:before="0" w:beforeAutospacing="0" w:after="0" w:afterAutospacing="0" w:line="570" w:lineRule="exact"/>
              <w:ind w:left="0" w:right="0"/>
              <w:jc w:val="both"/>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/（1-60%）×指标分值；完成率小于60%为不及格，不得分。</w:t>
            </w:r>
          </w:p>
        </w:tc>
        <w:tc>
          <w:tcPr>
            <w:tcW w:w="33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95%</w:t>
            </w:r>
          </w:p>
        </w:tc>
        <w:tc>
          <w:tcPr>
            <w:tcW w:w="2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cs="宋体"/>
                <w:i w:val="0"/>
                <w:color w:val="000000"/>
                <w:kern w:val="0"/>
                <w:sz w:val="22"/>
                <w:szCs w:val="22"/>
                <w:highlight w:val="none"/>
                <w:u w:val="none"/>
                <w:lang w:val="en-US" w:eastAsia="zh-CN" w:bidi="ar"/>
              </w:rPr>
              <w:t>98.53</w:t>
            </w:r>
            <w:r>
              <w:rPr>
                <w:rFonts w:hint="eastAsia" w:ascii="宋体" w:hAnsi="宋体" w:eastAsia="宋体" w:cs="宋体"/>
                <w:i w:val="0"/>
                <w:color w:val="000000"/>
                <w:kern w:val="0"/>
                <w:sz w:val="22"/>
                <w:szCs w:val="22"/>
                <w:highlight w:val="none"/>
                <w:u w:val="none"/>
                <w:lang w:val="en-US" w:eastAsia="zh-CN" w:bidi="ar"/>
              </w:rPr>
              <w:t>%</w:t>
            </w:r>
          </w:p>
        </w:tc>
        <w:tc>
          <w:tcPr>
            <w:tcW w:w="2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w:t>
            </w:r>
          </w:p>
        </w:tc>
        <w:tc>
          <w:tcPr>
            <w:tcW w:w="20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cs="宋体"/>
                <w:i w:val="0"/>
                <w:color w:val="000000"/>
                <w:kern w:val="0"/>
                <w:sz w:val="22"/>
                <w:szCs w:val="22"/>
                <w:highlight w:val="none"/>
                <w:u w:val="none"/>
                <w:lang w:val="en-US" w:eastAsia="zh-CN" w:bidi="ar"/>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487" w:type="pct"/>
            <w:gridSpan w:val="4"/>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2439" w:type="pct"/>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629" w:type="pct"/>
            <w:gridSpan w:val="2"/>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rPr>
                <w:rFonts w:hint="eastAsia" w:ascii="宋体" w:hAnsi="宋体" w:eastAsia="宋体" w:cs="宋体"/>
                <w:i w:val="0"/>
                <w:color w:val="000000"/>
                <w:sz w:val="22"/>
                <w:szCs w:val="22"/>
                <w:highlight w:val="none"/>
                <w:u w:val="none"/>
              </w:rPr>
            </w:pPr>
          </w:p>
        </w:tc>
        <w:tc>
          <w:tcPr>
            <w:tcW w:w="2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100</w:t>
            </w:r>
          </w:p>
        </w:tc>
        <w:tc>
          <w:tcPr>
            <w:tcW w:w="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before="0" w:beforeAutospacing="0" w:after="0" w:afterAutospacing="0" w:line="570" w:lineRule="exact"/>
              <w:ind w:left="0" w:right="0"/>
              <w:jc w:val="center"/>
              <w:textAlignment w:val="center"/>
              <w:rPr>
                <w:rFonts w:hint="default" w:ascii="宋体" w:hAnsi="宋体" w:eastAsia="宋体" w:cs="宋体"/>
                <w:i w:val="0"/>
                <w:color w:val="000000"/>
                <w:sz w:val="22"/>
                <w:szCs w:val="22"/>
                <w:highlight w:val="none"/>
                <w:u w:val="none"/>
                <w:lang w:val="en-US"/>
              </w:rPr>
            </w:pPr>
            <w:r>
              <w:rPr>
                <w:rFonts w:hint="eastAsia" w:ascii="宋体" w:hAnsi="宋体" w:eastAsia="宋体" w:cs="宋体"/>
                <w:i w:val="0"/>
                <w:color w:val="000000"/>
                <w:kern w:val="0"/>
                <w:sz w:val="22"/>
                <w:szCs w:val="22"/>
                <w:highlight w:val="none"/>
                <w:u w:val="none"/>
                <w:lang w:val="en-US" w:eastAsia="zh-CN" w:bidi="ar"/>
              </w:rPr>
              <w:t>98.</w:t>
            </w:r>
            <w:r>
              <w:rPr>
                <w:rFonts w:hint="eastAsia" w:ascii="宋体" w:hAnsi="宋体" w:cs="宋体"/>
                <w:i w:val="0"/>
                <w:color w:val="000000"/>
                <w:kern w:val="0"/>
                <w:sz w:val="22"/>
                <w:szCs w:val="22"/>
                <w:highlight w:val="none"/>
                <w:u w:val="none"/>
                <w:lang w:val="en-US" w:eastAsia="zh-CN" w:bidi="ar"/>
              </w:rPr>
              <w:t>33</w:t>
            </w:r>
          </w:p>
        </w:tc>
      </w:tr>
    </w:tbl>
    <w:p>
      <w:pPr>
        <w:pStyle w:val="20"/>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2"/>
        <w:bidi w:val="0"/>
        <w:rPr>
          <w:rFonts w:hint="eastAsia"/>
          <w:highlight w:val="none"/>
          <w:lang w:val="en-US" w:eastAsia="zh-CN"/>
        </w:rPr>
      </w:pPr>
      <w:bookmarkStart w:id="177" w:name="_Toc15575"/>
      <w:bookmarkStart w:id="178" w:name="_Toc29155"/>
      <w:bookmarkStart w:id="179" w:name="_Toc12303_WPSOffice_Level1"/>
      <w:r>
        <w:rPr>
          <w:rFonts w:hint="eastAsia"/>
          <w:highlight w:val="none"/>
          <w:lang w:val="en-US" w:eastAsia="zh-CN"/>
        </w:rPr>
        <w:t>附件3访谈</w:t>
      </w:r>
      <w:bookmarkEnd w:id="177"/>
      <w:r>
        <w:rPr>
          <w:rFonts w:hint="eastAsia"/>
          <w:highlight w:val="none"/>
          <w:lang w:val="en-US" w:eastAsia="zh-CN"/>
        </w:rPr>
        <w:t>报告</w:t>
      </w:r>
      <w:bookmarkEnd w:id="178"/>
      <w:bookmarkEnd w:id="179"/>
    </w:p>
    <w:p>
      <w:pPr>
        <w:keepNext w:val="0"/>
        <w:keepLines w:val="0"/>
        <w:pageBreakBefore w:val="0"/>
        <w:widowControl w:val="0"/>
        <w:kinsoku/>
        <w:wordWrap/>
        <w:overflowPunct/>
        <w:topLinePunct w:val="0"/>
        <w:autoSpaceDE/>
        <w:autoSpaceDN/>
        <w:bidi w:val="0"/>
        <w:adjustRightInd/>
        <w:snapToGrid/>
        <w:spacing w:line="570" w:lineRule="exact"/>
        <w:ind w:firstLine="0" w:firstLineChars="0"/>
        <w:jc w:val="center"/>
        <w:textAlignment w:val="auto"/>
        <w:rPr>
          <w:rFonts w:ascii="方正小标宋_GBK" w:hAnsi="方正小标宋_GBK" w:eastAsia="方正小标宋_GBK" w:cs="方正小标宋_GBK"/>
          <w:bCs/>
          <w:kern w:val="0"/>
          <w:sz w:val="32"/>
          <w:szCs w:val="32"/>
          <w:highlight w:val="none"/>
        </w:rPr>
      </w:pPr>
      <w:bookmarkStart w:id="180" w:name="_Toc15312"/>
      <w:bookmarkStart w:id="181" w:name="_Toc32406_WPSOffice_Level1"/>
      <w:bookmarkStart w:id="182" w:name="_Toc30622"/>
      <w:bookmarkStart w:id="183" w:name="_Toc10947"/>
      <w:r>
        <w:rPr>
          <w:rFonts w:hint="eastAsia" w:ascii="方正小标宋_GBK" w:hAnsi="方正小标宋_GBK" w:eastAsia="方正小标宋_GBK" w:cs="方正小标宋_GBK"/>
          <w:bCs/>
          <w:kern w:val="0"/>
          <w:sz w:val="32"/>
          <w:szCs w:val="32"/>
          <w:highlight w:val="none"/>
        </w:rPr>
        <w:t>伽师县2022年国有企业退休人员社会化服务项目相关负责人访谈提纲</w:t>
      </w:r>
      <w:bookmarkEnd w:id="180"/>
      <w:bookmarkEnd w:id="181"/>
      <w:bookmarkEnd w:id="182"/>
      <w:bookmarkEnd w:id="183"/>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highlight w:val="none"/>
        </w:rPr>
      </w:pPr>
      <w:bookmarkStart w:id="184" w:name="_Toc14809"/>
      <w:bookmarkStart w:id="185" w:name="_Toc15365_WPSOffice_Level1"/>
      <w:bookmarkStart w:id="186" w:name="_Toc11974"/>
      <w:bookmarkStart w:id="187" w:name="_Toc24709"/>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highlight w:val="none"/>
        </w:rPr>
      </w:pPr>
      <w:bookmarkStart w:id="188" w:name="_Toc3676_WPSOffice_Level1"/>
      <w:bookmarkStart w:id="189" w:name="_Toc7620_WPSOffice_Level2"/>
      <w:r>
        <w:rPr>
          <w:rFonts w:hint="eastAsia" w:ascii="方正仿宋_GBK" w:hAnsi="方正仿宋_GBK" w:eastAsia="方正仿宋_GBK" w:cs="方正仿宋_GBK"/>
          <w:sz w:val="32"/>
          <w:szCs w:val="32"/>
          <w:highlight w:val="none"/>
        </w:rPr>
        <w:t>1.请您从以下几点谈谈该项目的概况。</w:t>
      </w:r>
      <w:bookmarkEnd w:id="184"/>
      <w:bookmarkEnd w:id="185"/>
      <w:bookmarkEnd w:id="186"/>
      <w:bookmarkEnd w:id="187"/>
      <w:bookmarkEnd w:id="188"/>
      <w:bookmarkEnd w:id="18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kern w:val="0"/>
          <w:sz w:val="32"/>
          <w:szCs w:val="32"/>
          <w:highlight w:val="none"/>
          <w:lang w:eastAsia="zh-CN"/>
        </w:rPr>
      </w:pPr>
      <w:bookmarkStart w:id="190" w:name="_Toc28738"/>
      <w:bookmarkStart w:id="191" w:name="_Toc26050"/>
      <w:bookmarkStart w:id="192" w:name="_Toc27067"/>
      <w:bookmarkStart w:id="193" w:name="_Toc27413_WPSOffice_Level1"/>
      <w:bookmarkStart w:id="194" w:name="_Toc27003"/>
      <w:r>
        <w:rPr>
          <w:rFonts w:hint="eastAsia" w:ascii="方正仿宋_GBK" w:hAnsi="方正仿宋_GBK" w:eastAsia="方正仿宋_GBK" w:cs="方正仿宋_GBK"/>
          <w:kern w:val="0"/>
          <w:sz w:val="32"/>
          <w:szCs w:val="32"/>
          <w:highlight w:val="none"/>
        </w:rPr>
        <w:t>（1）项目立项时间与背景</w:t>
      </w:r>
      <w:bookmarkEnd w:id="190"/>
      <w:bookmarkEnd w:id="191"/>
      <w:bookmarkEnd w:id="192"/>
      <w:bookmarkEnd w:id="193"/>
      <w:bookmarkEnd w:id="194"/>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left"/>
        <w:textAlignment w:val="auto"/>
        <w:rPr>
          <w:rFonts w:hint="eastAsia" w:ascii="方正仿宋_GBK" w:hAnsi="方正仿宋_GBK" w:eastAsia="方正仿宋_GBK" w:cs="方正仿宋_GBK"/>
          <w:kern w:val="16959"/>
          <w:sz w:val="32"/>
          <w:szCs w:val="32"/>
          <w:highlight w:val="none"/>
        </w:rPr>
      </w:pPr>
      <w:r>
        <w:rPr>
          <w:rFonts w:hint="eastAsia" w:ascii="方正仿宋_GBK" w:hAnsi="方正仿宋_GBK" w:eastAsia="方正仿宋_GBK" w:cs="方正仿宋_GBK"/>
          <w:b/>
          <w:bCs/>
          <w:kern w:val="0"/>
          <w:sz w:val="32"/>
          <w:szCs w:val="32"/>
          <w:highlight w:val="none"/>
        </w:rPr>
        <w:t>答：</w:t>
      </w:r>
      <w:r>
        <w:rPr>
          <w:rFonts w:hint="eastAsia" w:ascii="方正仿宋_GBK" w:hAnsi="方正仿宋_GBK" w:eastAsia="方正仿宋_GBK" w:cs="方正仿宋_GBK"/>
          <w:kern w:val="16959"/>
          <w:sz w:val="32"/>
          <w:szCs w:val="32"/>
          <w:highlight w:val="none"/>
        </w:rPr>
        <w:t>项目立项时间202</w:t>
      </w:r>
      <w:r>
        <w:rPr>
          <w:rFonts w:hint="eastAsia" w:ascii="方正仿宋_GBK" w:hAnsi="方正仿宋_GBK" w:eastAsia="方正仿宋_GBK" w:cs="方正仿宋_GBK"/>
          <w:kern w:val="16959"/>
          <w:sz w:val="32"/>
          <w:szCs w:val="32"/>
          <w:highlight w:val="none"/>
          <w:lang w:val="en-US" w:eastAsia="zh-CN"/>
        </w:rPr>
        <w:t>2</w:t>
      </w:r>
      <w:r>
        <w:rPr>
          <w:rFonts w:hint="eastAsia" w:ascii="方正仿宋_GBK" w:hAnsi="方正仿宋_GBK" w:eastAsia="方正仿宋_GBK" w:cs="方正仿宋_GBK"/>
          <w:kern w:val="16959"/>
          <w:sz w:val="32"/>
          <w:szCs w:val="32"/>
          <w:highlight w:val="none"/>
        </w:rPr>
        <w:t>年</w:t>
      </w:r>
      <w:r>
        <w:rPr>
          <w:rFonts w:hint="eastAsia" w:ascii="方正仿宋_GBK" w:hAnsi="方正仿宋_GBK" w:eastAsia="方正仿宋_GBK" w:cs="方正仿宋_GBK"/>
          <w:kern w:val="16959"/>
          <w:sz w:val="32"/>
          <w:szCs w:val="32"/>
          <w:highlight w:val="none"/>
          <w:lang w:val="en-US" w:eastAsia="zh-CN"/>
        </w:rPr>
        <w:t>1</w:t>
      </w:r>
      <w:r>
        <w:rPr>
          <w:rFonts w:hint="eastAsia" w:ascii="方正仿宋_GBK" w:hAnsi="方正仿宋_GBK" w:eastAsia="方正仿宋_GBK" w:cs="方正仿宋_GBK"/>
          <w:kern w:val="16959"/>
          <w:sz w:val="32"/>
          <w:szCs w:val="32"/>
          <w:highlight w:val="none"/>
        </w:rPr>
        <w:t>月。</w:t>
      </w:r>
    </w:p>
    <w:p>
      <w:pPr>
        <w:pStyle w:val="18"/>
        <w:keepNext w:val="0"/>
        <w:keepLines w:val="0"/>
        <w:pageBreakBefore w:val="0"/>
        <w:widowControl/>
        <w:kinsoku/>
        <w:wordWrap/>
        <w:overflowPunct/>
        <w:topLinePunct w:val="0"/>
        <w:autoSpaceDE/>
        <w:autoSpaceDN/>
        <w:bidi w:val="0"/>
        <w:adjustRightInd/>
        <w:snapToGrid/>
        <w:spacing w:line="570" w:lineRule="exact"/>
        <w:ind w:firstLine="664" w:firstLineChars="200"/>
        <w:textAlignment w:val="auto"/>
        <w:rPr>
          <w:rFonts w:hint="eastAsia" w:ascii="方正仿宋_GBK" w:hAnsi="方正仿宋_GBK" w:eastAsia="方正仿宋_GBK" w:cs="方正仿宋_GBK"/>
          <w:color w:val="auto"/>
          <w:spacing w:val="0"/>
          <w:kern w:val="16959"/>
          <w:sz w:val="32"/>
          <w:szCs w:val="32"/>
          <w:highlight w:val="none"/>
          <w:lang w:val="en-US" w:eastAsia="zh-CN" w:bidi="ar"/>
        </w:rPr>
      </w:pPr>
      <w:r>
        <w:rPr>
          <w:rFonts w:hint="eastAsia" w:ascii="方正仿宋_GBK" w:hAnsi="方正仿宋_GBK" w:eastAsia="方正仿宋_GBK" w:cs="方正仿宋_GBK"/>
          <w:kern w:val="16959"/>
          <w:sz w:val="32"/>
          <w:szCs w:val="32"/>
          <w:highlight w:val="none"/>
        </w:rPr>
        <w:t>项目背景：</w:t>
      </w:r>
      <w:r>
        <w:rPr>
          <w:rFonts w:hint="eastAsia" w:ascii="方正仿宋_GBK" w:hAnsi="方正仿宋_GBK" w:eastAsia="方正仿宋_GBK" w:cs="方正仿宋_GBK"/>
          <w:color w:val="auto"/>
          <w:spacing w:val="0"/>
          <w:kern w:val="16959"/>
          <w:sz w:val="32"/>
          <w:szCs w:val="32"/>
          <w:highlight w:val="none"/>
          <w:lang w:val="en-US" w:eastAsia="zh-CN" w:bidi="ar"/>
        </w:rPr>
        <w:t>国有企业退休人员社会化管理，是以习近平新时代中国特色社会主义思想为指导，全面贯彻落实党的十九大和十九届二中、三中、四中全会精神、全面深化国有企业改革，平稳有序推进国有企业退休人员社会化管理，为国有企业公平参与市场竞争创造条件。立足退休人员法定权益保障和服务需求，整合管理服务资源，创新服务管理方式，提升管理服务水平，做好国有企业退休人员实施社会化管理后的各项服务保障工作确保国有企业退休人员共享全面建成小康社会新成果。</w:t>
      </w:r>
    </w:p>
    <w:p>
      <w:pPr>
        <w:keepNext w:val="0"/>
        <w:keepLines w:val="0"/>
        <w:pageBreakBefore w:val="0"/>
        <w:widowControl w:val="0"/>
        <w:numPr>
          <w:ilvl w:val="0"/>
          <w:numId w:val="7"/>
        </w:numPr>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kern w:val="0"/>
          <w:sz w:val="32"/>
          <w:szCs w:val="32"/>
          <w:highlight w:val="none"/>
        </w:rPr>
      </w:pPr>
      <w:bookmarkStart w:id="195" w:name="_Toc14715"/>
      <w:bookmarkStart w:id="196" w:name="_Toc32562"/>
      <w:bookmarkStart w:id="197" w:name="_Toc14292_WPSOffice_Level1"/>
      <w:bookmarkStart w:id="198" w:name="_Toc13131"/>
      <w:bookmarkStart w:id="199" w:name="_Toc12697"/>
      <w:r>
        <w:rPr>
          <w:rFonts w:hint="eastAsia" w:ascii="方正仿宋_GBK" w:hAnsi="方正仿宋_GBK" w:eastAsia="方正仿宋_GBK" w:cs="方正仿宋_GBK"/>
          <w:kern w:val="0"/>
          <w:sz w:val="32"/>
          <w:szCs w:val="32"/>
          <w:highlight w:val="none"/>
        </w:rPr>
        <w:t>项目立项的目标</w:t>
      </w:r>
      <w:bookmarkEnd w:id="195"/>
      <w:bookmarkEnd w:id="196"/>
      <w:bookmarkEnd w:id="197"/>
      <w:bookmarkEnd w:id="198"/>
      <w:bookmarkEnd w:id="199"/>
      <w:r>
        <w:rPr>
          <w:rFonts w:hint="eastAsia" w:ascii="方正仿宋_GBK" w:hAnsi="方正仿宋_GBK" w:eastAsia="方正仿宋_GBK" w:cs="方正仿宋_GBK"/>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kern w:val="16959"/>
          <w:sz w:val="32"/>
          <w:szCs w:val="32"/>
          <w:highlight w:val="none"/>
        </w:rPr>
      </w:pPr>
      <w:bookmarkStart w:id="200" w:name="_Toc24247"/>
      <w:r>
        <w:rPr>
          <w:rFonts w:hint="eastAsia" w:ascii="方正仿宋_GBK" w:hAnsi="方正仿宋_GBK" w:eastAsia="方正仿宋_GBK" w:cs="方正仿宋_GBK"/>
          <w:b/>
          <w:bCs/>
          <w:kern w:val="0"/>
          <w:sz w:val="32"/>
          <w:szCs w:val="32"/>
          <w:highlight w:val="none"/>
        </w:rPr>
        <w:t>答：</w:t>
      </w:r>
      <w:bookmarkEnd w:id="200"/>
      <w:r>
        <w:rPr>
          <w:rFonts w:hint="eastAsia" w:ascii="方正仿宋_GBK" w:hAnsi="方正仿宋_GBK" w:eastAsia="方正仿宋_GBK" w:cs="方正仿宋_GBK"/>
          <w:kern w:val="16959"/>
          <w:sz w:val="32"/>
          <w:szCs w:val="32"/>
          <w:highlight w:val="none"/>
        </w:rPr>
        <w:t>该项目根据《关于下达2020-2021年国有企业退休人员社会化管理中央财政补助资金（清算）的通知》（喀地财企〔2021〕27号）文件，下达资金2.3241万元，《关于提前下达2022年国有企业退休人员社会化管理补助资金的通知》（喀地财企〔2022〕3号）下达预算资金2.0540万元，主要用于对国企移交至我县的退休人员统一由乡镇（社区）管理，由财政安排预算对接收退休人员的乡镇（社区）进行经费补助，确保国有企业退休人员100%移交乡镇（社区），减轻国有企业负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kern w:val="16959"/>
          <w:sz w:val="32"/>
          <w:szCs w:val="32"/>
          <w:highlight w:val="none"/>
        </w:rPr>
      </w:pPr>
      <w:bookmarkStart w:id="201" w:name="_Toc28712"/>
      <w:bookmarkStart w:id="202" w:name="_Toc3473"/>
      <w:bookmarkStart w:id="203" w:name="_Toc18326"/>
      <w:bookmarkStart w:id="204" w:name="_Toc1013"/>
      <w:bookmarkStart w:id="205" w:name="_Toc2771_WPSOffice_Level1"/>
      <w:r>
        <w:rPr>
          <w:rFonts w:hint="eastAsia" w:ascii="方正仿宋_GBK" w:hAnsi="方正仿宋_GBK" w:eastAsia="方正仿宋_GBK" w:cs="方正仿宋_GBK"/>
          <w:kern w:val="0"/>
          <w:sz w:val="32"/>
          <w:szCs w:val="32"/>
          <w:highlight w:val="none"/>
        </w:rPr>
        <w:t>（3）</w:t>
      </w:r>
      <w:r>
        <w:rPr>
          <w:rFonts w:hint="eastAsia" w:ascii="方正仿宋_GBK" w:hAnsi="方正仿宋_GBK" w:eastAsia="方正仿宋_GBK" w:cs="方正仿宋_GBK"/>
          <w:kern w:val="16959"/>
          <w:sz w:val="32"/>
          <w:szCs w:val="32"/>
          <w:highlight w:val="none"/>
        </w:rPr>
        <w:t>伽师县2022年国有企业退休人员社会化服务项目的内容与实施情况</w:t>
      </w:r>
      <w:bookmarkEnd w:id="201"/>
      <w:bookmarkEnd w:id="202"/>
      <w:bookmarkEnd w:id="203"/>
      <w:bookmarkEnd w:id="204"/>
      <w:bookmarkEnd w:id="205"/>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kern w:val="16959"/>
          <w:sz w:val="32"/>
          <w:szCs w:val="32"/>
          <w:highlight w:val="none"/>
        </w:rPr>
      </w:pPr>
      <w:r>
        <w:rPr>
          <w:rFonts w:hint="eastAsia" w:ascii="方正仿宋_GBK" w:hAnsi="方正仿宋_GBK" w:eastAsia="方正仿宋_GBK" w:cs="方正仿宋_GBK"/>
          <w:b/>
          <w:bCs/>
          <w:kern w:val="0"/>
          <w:sz w:val="32"/>
          <w:szCs w:val="32"/>
          <w:highlight w:val="none"/>
        </w:rPr>
        <w:t>答：</w:t>
      </w:r>
      <w:r>
        <w:rPr>
          <w:rFonts w:hint="eastAsia" w:ascii="方正仿宋_GBK" w:hAnsi="方正仿宋_GBK" w:eastAsia="方正仿宋_GBK" w:cs="方正仿宋_GBK"/>
          <w:kern w:val="16959"/>
          <w:sz w:val="32"/>
          <w:szCs w:val="32"/>
          <w:highlight w:val="none"/>
          <w:lang w:eastAsia="zh-CN"/>
        </w:rPr>
        <w:t>该项目</w:t>
      </w:r>
      <w:r>
        <w:rPr>
          <w:rFonts w:hint="eastAsia" w:ascii="方正仿宋_GBK" w:hAnsi="方正仿宋_GBK" w:eastAsia="方正仿宋_GBK" w:cs="方正仿宋_GBK"/>
          <w:kern w:val="16959"/>
          <w:sz w:val="32"/>
          <w:szCs w:val="32"/>
          <w:highlight w:val="none"/>
        </w:rPr>
        <w:t>主要用于为国有企业退休人员社会化管理服务时发生的相关支出，实现国有企业已退休人员管理服务工作与原企业分离，国有企业不承担移交后的退休人员社会化管理服务费用</w:t>
      </w:r>
      <w:r>
        <w:rPr>
          <w:rFonts w:hint="eastAsia" w:ascii="方正仿宋_GBK" w:hAnsi="方正仿宋_GBK" w:eastAsia="方正仿宋_GBK" w:cs="方正仿宋_GBK"/>
          <w:kern w:val="16959"/>
          <w:sz w:val="32"/>
          <w:szCs w:val="32"/>
          <w:highlight w:val="none"/>
          <w:lang w:eastAsia="zh-CN"/>
        </w:rPr>
        <w:t>；</w:t>
      </w:r>
      <w:r>
        <w:rPr>
          <w:rFonts w:hint="eastAsia" w:ascii="方正仿宋_GBK" w:hAnsi="方正仿宋_GBK" w:eastAsia="方正仿宋_GBK" w:cs="方正仿宋_GBK"/>
          <w:kern w:val="16959"/>
          <w:sz w:val="32"/>
          <w:szCs w:val="32"/>
          <w:highlight w:val="none"/>
        </w:rPr>
        <w:t>实施地点为伽师县10个乡镇，主要对各乡镇（社区）</w:t>
      </w:r>
      <w:r>
        <w:rPr>
          <w:rFonts w:hint="eastAsia" w:ascii="方正仿宋_GBK" w:hAnsi="方正仿宋_GBK" w:eastAsia="方正仿宋_GBK" w:cs="方正仿宋_GBK"/>
          <w:kern w:val="16959"/>
          <w:sz w:val="32"/>
          <w:szCs w:val="32"/>
          <w:highlight w:val="none"/>
          <w:lang w:val="en-US" w:eastAsia="zh-CN"/>
        </w:rPr>
        <w:t>79名国有</w:t>
      </w:r>
      <w:r>
        <w:rPr>
          <w:rFonts w:hint="eastAsia" w:ascii="方正仿宋_GBK" w:hAnsi="方正仿宋_GBK" w:eastAsia="方正仿宋_GBK" w:cs="方正仿宋_GBK"/>
          <w:kern w:val="16959"/>
          <w:sz w:val="32"/>
          <w:szCs w:val="32"/>
          <w:highlight w:val="none"/>
        </w:rPr>
        <w:t>企业退休人员社会化管理服务进行经费补贴，2020-2021年按照每人294.19元的标准进行经费差额补贴，2022年</w:t>
      </w:r>
      <w:r>
        <w:rPr>
          <w:rFonts w:hint="eastAsia" w:ascii="方正仿宋_GBK" w:hAnsi="方正仿宋_GBK" w:eastAsia="方正仿宋_GBK" w:cs="方正仿宋_GBK"/>
          <w:kern w:val="16959"/>
          <w:sz w:val="32"/>
          <w:szCs w:val="32"/>
          <w:highlight w:val="none"/>
          <w:lang w:eastAsia="zh-CN"/>
        </w:rPr>
        <w:t>按照</w:t>
      </w:r>
      <w:r>
        <w:rPr>
          <w:rFonts w:hint="eastAsia" w:ascii="方正仿宋_GBK" w:hAnsi="方正仿宋_GBK" w:eastAsia="方正仿宋_GBK" w:cs="方正仿宋_GBK"/>
          <w:kern w:val="16959"/>
          <w:sz w:val="32"/>
          <w:szCs w:val="32"/>
          <w:highlight w:val="none"/>
        </w:rPr>
        <w:t>每人260元的标准进行补助，弥补乡镇（社区）为国有企业退休人员服务的经费不足的问题，减轻国有企业负担。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（4）</w:t>
      </w:r>
      <w:r>
        <w:rPr>
          <w:rFonts w:hint="eastAsia" w:ascii="方正仿宋_GBK" w:hAnsi="方正仿宋_GBK" w:eastAsia="方正仿宋_GBK" w:cs="方正仿宋_GBK"/>
          <w:kern w:val="16959"/>
          <w:sz w:val="32"/>
          <w:szCs w:val="32"/>
          <w:highlight w:val="none"/>
        </w:rPr>
        <w:t>请您简要介绍该项目实施的关键环节有哪些？针对各环节已制定的管理办法有哪些？以及上述办法的实际实施过程中是如何操作的。</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kern w:val="16959"/>
          <w:sz w:val="32"/>
          <w:szCs w:val="32"/>
          <w:highlight w:val="none"/>
        </w:rPr>
      </w:pPr>
      <w:bookmarkStart w:id="206" w:name="_Toc4977"/>
      <w:r>
        <w:rPr>
          <w:rFonts w:hint="eastAsia" w:ascii="方正仿宋_GBK" w:hAnsi="方正仿宋_GBK" w:eastAsia="方正仿宋_GBK" w:cs="方正仿宋_GBK"/>
          <w:b/>
          <w:bCs/>
          <w:kern w:val="0"/>
          <w:sz w:val="32"/>
          <w:szCs w:val="32"/>
          <w:highlight w:val="none"/>
        </w:rPr>
        <w:t>答：</w:t>
      </w:r>
      <w:bookmarkEnd w:id="206"/>
      <w:r>
        <w:rPr>
          <w:rFonts w:hint="eastAsia" w:ascii="方正仿宋_GBK" w:hAnsi="方正仿宋_GBK" w:eastAsia="方正仿宋_GBK" w:cs="方正仿宋_GBK"/>
          <w:kern w:val="16959"/>
          <w:sz w:val="32"/>
          <w:szCs w:val="32"/>
          <w:highlight w:val="none"/>
        </w:rPr>
        <w:t>伽师县2022年国有企业退休人员社会化管理项目严格落实项目管理制度，明确职责分工，统一协调解决项目实施过程中出现的各类问题，确保项目的顺利实施。项目实施机构具体如下：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kern w:val="16959"/>
          <w:sz w:val="32"/>
          <w:szCs w:val="32"/>
          <w:highlight w:val="none"/>
        </w:rPr>
      </w:pPr>
      <w:r>
        <w:rPr>
          <w:rFonts w:hint="eastAsia" w:ascii="方正仿宋_GBK" w:hAnsi="方正仿宋_GBK" w:eastAsia="方正仿宋_GBK" w:cs="方正仿宋_GBK"/>
          <w:kern w:val="16959"/>
          <w:sz w:val="32"/>
          <w:szCs w:val="32"/>
          <w:highlight w:val="none"/>
        </w:rPr>
        <w:t>项目负责人：庹徳群，主要负责项目实施的全程监督与运行。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kern w:val="16959"/>
          <w:sz w:val="32"/>
          <w:szCs w:val="32"/>
          <w:highlight w:val="none"/>
        </w:rPr>
      </w:pPr>
      <w:r>
        <w:rPr>
          <w:rFonts w:hint="eastAsia" w:ascii="方正仿宋_GBK" w:hAnsi="方正仿宋_GBK" w:eastAsia="方正仿宋_GBK" w:cs="方正仿宋_GBK"/>
          <w:kern w:val="16959"/>
          <w:sz w:val="32"/>
          <w:szCs w:val="32"/>
          <w:highlight w:val="none"/>
        </w:rPr>
        <w:t>项目实施人员：孙滨，主要负责依据《伽师县财政局资金管理办法》审核票据的合理性、真实性等。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仿宋_GBK" w:hAnsi="方正仿宋_GBK" w:eastAsia="方正仿宋_GBK" w:cs="方正仿宋_GBK"/>
          <w:b/>
          <w:bCs/>
          <w:kern w:val="16959"/>
          <w:sz w:val="32"/>
          <w:szCs w:val="32"/>
          <w:highlight w:val="none"/>
        </w:rPr>
      </w:pPr>
      <w:r>
        <w:rPr>
          <w:rFonts w:hint="eastAsia" w:ascii="方正仿宋_GBK" w:hAnsi="方正仿宋_GBK" w:eastAsia="方正仿宋_GBK" w:cs="方正仿宋_GBK"/>
          <w:kern w:val="16959"/>
          <w:sz w:val="32"/>
          <w:szCs w:val="32"/>
          <w:highlight w:val="none"/>
        </w:rPr>
        <w:t>财务负责人:各乡镇财务人员，依据审核后的金额请示报告院财经领导小组，进行预算单位资金报告审批，进行资金的审核支付。</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kern w:val="16959"/>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（5）</w:t>
      </w:r>
      <w:r>
        <w:rPr>
          <w:rFonts w:hint="eastAsia" w:ascii="方正仿宋_GBK" w:hAnsi="方正仿宋_GBK" w:eastAsia="方正仿宋_GBK" w:cs="方正仿宋_GBK"/>
          <w:kern w:val="16959"/>
          <w:sz w:val="32"/>
          <w:szCs w:val="32"/>
          <w:highlight w:val="none"/>
          <w:lang w:val="en-US" w:eastAsia="zh-CN"/>
        </w:rPr>
        <w:t>该项目实施过程中涉及的部门或单位有哪些？相互之间是如何联合确保项目顺利开展的？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1"/>
        <w:rPr>
          <w:rFonts w:hint="eastAsia" w:ascii="方正仿宋_GBK" w:hAnsi="方正仿宋_GBK" w:eastAsia="方正仿宋_GBK" w:cs="方正仿宋_GBK"/>
          <w:kern w:val="0"/>
          <w:sz w:val="32"/>
          <w:szCs w:val="32"/>
          <w:highlight w:val="none"/>
          <w:lang w:val="en-US" w:eastAsia="zh-CN"/>
        </w:rPr>
      </w:pPr>
      <w:bookmarkStart w:id="207" w:name="_Toc13314"/>
      <w:bookmarkStart w:id="208" w:name="_Toc9685"/>
      <w:bookmarkStart w:id="209" w:name="_Toc23503"/>
      <w:r>
        <w:rPr>
          <w:rFonts w:hint="eastAsia" w:ascii="方正仿宋_GBK" w:hAnsi="方正仿宋_GBK" w:eastAsia="方正仿宋_GBK" w:cs="方正仿宋_GBK"/>
          <w:kern w:val="0"/>
          <w:sz w:val="32"/>
          <w:szCs w:val="32"/>
          <w:highlight w:val="none"/>
          <w:lang w:val="en-US" w:eastAsia="zh-CN"/>
        </w:rPr>
        <w:t>该项目主管单位财政局，实施单位：10个乡镇：巴仁镇、      江巴孜乡、古勒鲁克乡、夏普吐勒镇、和夏阿瓦提镇、卧里托格拉克镇、玉代克力克乡、克孜勒博依镇、铁日木乡、米夏乡。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1"/>
        <w:rPr>
          <w:rFonts w:hint="eastAsia" w:ascii="方正仿宋_GBK" w:hAnsi="方正仿宋_GBK" w:eastAsia="方正仿宋_GBK" w:cs="方正仿宋_GBK"/>
          <w:kern w:val="0"/>
          <w:sz w:val="32"/>
          <w:szCs w:val="32"/>
          <w:highlight w:val="none"/>
          <w:lang w:val="en-US" w:eastAsia="zh-CN"/>
        </w:rPr>
      </w:pPr>
      <w:r>
        <w:rPr>
          <w:rFonts w:hint="eastAsia" w:ascii="方正仿宋_GBK" w:hAnsi="方正仿宋_GBK" w:eastAsia="方正仿宋_GBK" w:cs="方正仿宋_GBK"/>
          <w:kern w:val="0"/>
          <w:sz w:val="32"/>
          <w:szCs w:val="32"/>
          <w:highlight w:val="none"/>
          <w:lang w:val="en-US" w:eastAsia="zh-CN"/>
        </w:rPr>
        <w:t>由县领导亲自挂帅，财政局、人社局、社保中心部门主要领导牵头各乡镇项目分管领导督促执行。</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outlineLvl w:val="1"/>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（6）</w:t>
      </w:r>
      <w:r>
        <w:rPr>
          <w:rFonts w:hint="eastAsia" w:ascii="方正仿宋_GBK" w:hAnsi="方正仿宋_GBK" w:eastAsia="方正仿宋_GBK" w:cs="方正仿宋_GBK"/>
          <w:kern w:val="16959"/>
          <w:sz w:val="32"/>
          <w:szCs w:val="32"/>
          <w:highlight w:val="none"/>
        </w:rPr>
        <w:t>通过本项目</w:t>
      </w:r>
      <w:r>
        <w:rPr>
          <w:rFonts w:hint="eastAsia" w:ascii="方正仿宋_GBK" w:hAnsi="方正仿宋_GBK" w:eastAsia="方正仿宋_GBK" w:cs="方正仿宋_GBK"/>
          <w:kern w:val="16959"/>
          <w:sz w:val="32"/>
          <w:szCs w:val="32"/>
          <w:highlight w:val="none"/>
          <w:lang w:val="en-US" w:eastAsia="zh-CN"/>
        </w:rPr>
        <w:t>的实施</w:t>
      </w:r>
      <w:r>
        <w:rPr>
          <w:rFonts w:hint="eastAsia" w:ascii="方正仿宋_GBK" w:hAnsi="方正仿宋_GBK" w:eastAsia="方正仿宋_GBK" w:cs="方正仿宋_GBK"/>
          <w:kern w:val="16959"/>
          <w:sz w:val="32"/>
          <w:szCs w:val="32"/>
          <w:highlight w:val="none"/>
        </w:rPr>
        <w:t>，您认为是否达到了预期效果？</w:t>
      </w:r>
      <w:bookmarkEnd w:id="207"/>
      <w:bookmarkEnd w:id="208"/>
      <w:bookmarkEnd w:id="209"/>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kern w:val="16959"/>
          <w:sz w:val="32"/>
          <w:szCs w:val="32"/>
          <w:highlight w:val="none"/>
        </w:rPr>
      </w:pPr>
      <w:bookmarkStart w:id="210" w:name="_Toc20852"/>
      <w:r>
        <w:rPr>
          <w:rFonts w:hint="eastAsia" w:ascii="方正仿宋_GBK" w:hAnsi="方正仿宋_GBK" w:eastAsia="方正仿宋_GBK" w:cs="方正仿宋_GBK"/>
          <w:b/>
          <w:bCs/>
          <w:kern w:val="0"/>
          <w:sz w:val="32"/>
          <w:szCs w:val="32"/>
          <w:highlight w:val="none"/>
        </w:rPr>
        <w:t>答：</w:t>
      </w:r>
      <w:r>
        <w:rPr>
          <w:rFonts w:hint="eastAsia" w:ascii="方正仿宋_GBK" w:hAnsi="方正仿宋_GBK" w:eastAsia="方正仿宋_GBK" w:cs="方正仿宋_GBK"/>
          <w:kern w:val="16959"/>
          <w:sz w:val="32"/>
          <w:szCs w:val="32"/>
          <w:highlight w:val="none"/>
        </w:rPr>
        <w:t>我认为达到预期效果，</w:t>
      </w:r>
      <w:bookmarkEnd w:id="210"/>
      <w:r>
        <w:rPr>
          <w:rFonts w:hint="eastAsia" w:ascii="方正仿宋_GBK" w:hAnsi="方正仿宋_GBK" w:eastAsia="方正仿宋_GBK" w:cs="方正仿宋_GBK"/>
          <w:kern w:val="16959"/>
          <w:sz w:val="32"/>
          <w:szCs w:val="32"/>
          <w:highlight w:val="none"/>
        </w:rPr>
        <w:t>完成对央企移交至我县的退休人员接收的乡镇和社区经费补助，项目的实施完成使国有企业退休人员100%移交，企业不再承担管理费用。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（7）</w:t>
      </w:r>
      <w:r>
        <w:rPr>
          <w:rFonts w:hint="eastAsia" w:ascii="方正仿宋_GBK" w:hAnsi="方正仿宋_GBK" w:eastAsia="方正仿宋_GBK" w:cs="方正仿宋_GBK"/>
          <w:kern w:val="0"/>
          <w:sz w:val="32"/>
          <w:szCs w:val="32"/>
          <w:highlight w:val="none"/>
        </w:rPr>
        <w:t>请您谈谈该项目实施过程中出现的问题或难点，以及下一步的工作规划。</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0"/>
        <w:rPr>
          <w:rFonts w:hint="eastAsia" w:ascii="方正仿宋_GBK" w:hAnsi="方正仿宋_GBK" w:eastAsia="方正仿宋_GBK" w:cs="方正仿宋_GBK"/>
          <w:kern w:val="16959"/>
          <w:sz w:val="32"/>
          <w:szCs w:val="32"/>
          <w:highlight w:val="none"/>
        </w:rPr>
      </w:pPr>
      <w:bookmarkStart w:id="211" w:name="_Toc22673"/>
      <w:r>
        <w:rPr>
          <w:rFonts w:hint="eastAsia" w:ascii="方正仿宋_GBK" w:hAnsi="方正仿宋_GBK" w:eastAsia="方正仿宋_GBK" w:cs="方正仿宋_GBK"/>
          <w:b/>
          <w:bCs/>
          <w:kern w:val="0"/>
          <w:sz w:val="32"/>
          <w:szCs w:val="32"/>
          <w:highlight w:val="none"/>
        </w:rPr>
        <w:t>答：</w:t>
      </w:r>
      <w:bookmarkEnd w:id="211"/>
      <w:r>
        <w:rPr>
          <w:rFonts w:hint="eastAsia" w:ascii="方正仿宋_GBK" w:hAnsi="方正仿宋_GBK" w:eastAsia="方正仿宋_GBK" w:cs="方正仿宋_GBK"/>
          <w:kern w:val="16959"/>
          <w:sz w:val="32"/>
          <w:szCs w:val="32"/>
          <w:highlight w:val="none"/>
        </w:rPr>
        <w:t>由于</w:t>
      </w:r>
      <w:r>
        <w:rPr>
          <w:rFonts w:hint="eastAsia" w:ascii="方正仿宋_GBK" w:hAnsi="方正仿宋_GBK" w:eastAsia="方正仿宋_GBK" w:cs="方正仿宋_GBK"/>
          <w:kern w:val="16959"/>
          <w:sz w:val="32"/>
          <w:szCs w:val="32"/>
          <w:highlight w:val="none"/>
          <w:lang w:eastAsia="zh-CN"/>
        </w:rPr>
        <w:t>投入经费有限、档案管理人员不够专业、人员流动性较大等问题，导致</w:t>
      </w:r>
      <w:r>
        <w:rPr>
          <w:rFonts w:hint="eastAsia" w:ascii="方正仿宋_GBK" w:hAnsi="方正仿宋_GBK" w:eastAsia="方正仿宋_GBK" w:cs="方正仿宋_GBK"/>
          <w:kern w:val="16959"/>
          <w:sz w:val="32"/>
          <w:szCs w:val="32"/>
          <w:highlight w:val="none"/>
        </w:rPr>
        <w:t>档案材料归档工作不及时，档案内容有所缺失。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_GBK" w:hAnsi="方正仿宋_GBK" w:eastAsia="方正仿宋_GBK" w:cs="方正仿宋_GBK"/>
          <w:kern w:val="16959"/>
          <w:sz w:val="32"/>
          <w:szCs w:val="32"/>
          <w:highlight w:val="none"/>
        </w:rPr>
      </w:pPr>
      <w:r>
        <w:rPr>
          <w:rFonts w:hint="eastAsia" w:ascii="方正仿宋_GBK" w:hAnsi="方正仿宋_GBK" w:eastAsia="方正仿宋_GBK" w:cs="方正仿宋_GBK"/>
          <w:kern w:val="16959"/>
          <w:sz w:val="32"/>
          <w:szCs w:val="32"/>
          <w:highlight w:val="none"/>
          <w:lang w:eastAsia="zh-CN"/>
        </w:rPr>
        <w:t>下一步我们将</w:t>
      </w:r>
      <w:r>
        <w:rPr>
          <w:rFonts w:hint="eastAsia" w:ascii="方正仿宋_GBK" w:hAnsi="方正仿宋_GBK" w:eastAsia="方正仿宋_GBK" w:cs="方正仿宋_GBK"/>
          <w:kern w:val="16959"/>
          <w:sz w:val="32"/>
          <w:szCs w:val="32"/>
          <w:highlight w:val="none"/>
        </w:rPr>
        <w:t>加强</w:t>
      </w:r>
      <w:r>
        <w:rPr>
          <w:rFonts w:hint="eastAsia" w:ascii="方正仿宋_GBK" w:hAnsi="方正仿宋_GBK" w:eastAsia="方正仿宋_GBK" w:cs="方正仿宋_GBK"/>
          <w:kern w:val="16959"/>
          <w:sz w:val="32"/>
          <w:szCs w:val="32"/>
          <w:highlight w:val="none"/>
          <w:lang w:eastAsia="zh-CN"/>
        </w:rPr>
        <w:t>国有企业</w:t>
      </w:r>
      <w:r>
        <w:rPr>
          <w:rFonts w:hint="eastAsia" w:ascii="方正仿宋_GBK" w:hAnsi="方正仿宋_GBK" w:eastAsia="方正仿宋_GBK" w:cs="方正仿宋_GBK"/>
          <w:kern w:val="16959"/>
          <w:sz w:val="32"/>
          <w:szCs w:val="32"/>
          <w:highlight w:val="none"/>
        </w:rPr>
        <w:t>退管工作队伍建设，强化效能管理，健全规章制度，打造过硬的工作队伍，积极参加培训，提升退管服务水平。</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b/>
          <w:bCs/>
          <w:kern w:val="16959"/>
          <w:sz w:val="32"/>
          <w:szCs w:val="32"/>
          <w:highlight w:val="none"/>
          <w:lang w:eastAsia="zh-CN"/>
        </w:rPr>
      </w:pPr>
    </w:p>
    <w:p>
      <w:pPr>
        <w:pStyle w:val="2"/>
        <w:bidi w:val="0"/>
        <w:rPr>
          <w:rFonts w:hint="eastAsia" w:ascii="方正黑体_GBK" w:hAnsi="方正黑体_GBK" w:eastAsia="方正黑体_GBK" w:cs="方正黑体_GBK"/>
          <w:lang w:val="en-US" w:eastAsia="zh-CN"/>
        </w:rPr>
      </w:pPr>
      <w:bookmarkStart w:id="212" w:name="_Toc8986_WPSOffice_Level1"/>
      <w:r>
        <w:rPr>
          <w:rFonts w:hint="eastAsia" w:ascii="方正黑体_GBK" w:hAnsi="方正黑体_GBK" w:eastAsia="方正黑体_GBK" w:cs="方正黑体_GBK"/>
          <w:lang w:eastAsia="zh-CN"/>
        </w:rPr>
        <w:t>附件</w:t>
      </w:r>
      <w:r>
        <w:rPr>
          <w:rFonts w:hint="eastAsia" w:ascii="方正黑体_GBK" w:hAnsi="方正黑体_GBK" w:eastAsia="方正黑体_GBK" w:cs="方正黑体_GBK"/>
          <w:lang w:val="en-US" w:eastAsia="zh-CN"/>
        </w:rPr>
        <w:t>4 满意度调查</w:t>
      </w:r>
      <w:bookmarkEnd w:id="212"/>
    </w:p>
    <w:p>
      <w:pPr>
        <w:keepNext w:val="0"/>
        <w:keepLines w:val="0"/>
        <w:widowControl/>
        <w:suppressLineNumbers w:val="0"/>
        <w:kinsoku w:val="0"/>
        <w:autoSpaceDE w:val="0"/>
        <w:autoSpaceDN w:val="0"/>
        <w:adjustRightInd w:val="0"/>
        <w:snapToGrid w:val="0"/>
        <w:spacing w:before="78" w:beforeAutospacing="0" w:after="0" w:afterAutospacing="0"/>
        <w:ind w:left="104" w:right="0"/>
        <w:jc w:val="center"/>
        <w:textAlignment w:val="baseline"/>
        <w:rPr>
          <w:rFonts w:hint="eastAsia" w:ascii="方正小标宋_GBK" w:hAnsi="方正小标宋_GBK" w:eastAsia="方正小标宋_GBK" w:cs="方正小标宋_GBK"/>
          <w:color w:val="000000"/>
          <w:spacing w:val="22"/>
          <w:kern w:val="0"/>
          <w:sz w:val="40"/>
          <w:szCs w:val="40"/>
        </w:rPr>
      </w:pPr>
      <w:bookmarkStart w:id="213" w:name="_Toc9765_WPSOffice_Level2"/>
      <w:r>
        <w:rPr>
          <w:rFonts w:hint="eastAsia" w:ascii="方正小标宋_GBK" w:hAnsi="方正小标宋_GBK" w:eastAsia="方正小标宋_GBK" w:cs="方正小标宋_GBK"/>
          <w:snapToGrid/>
          <w:color w:val="000000"/>
          <w:spacing w:val="22"/>
          <w:kern w:val="0"/>
          <w:sz w:val="40"/>
          <w:szCs w:val="40"/>
          <w:lang w:val="en-US" w:eastAsia="zh-CN" w:bidi="ar"/>
        </w:rPr>
        <w:t>伽师县2022年国有企业退休人员移交社会化管理问卷调查</w:t>
      </w:r>
      <w:bookmarkEnd w:id="213"/>
    </w:p>
    <w:p>
      <w:pPr>
        <w:keepNext w:val="0"/>
        <w:keepLines w:val="0"/>
        <w:widowControl/>
        <w:suppressLineNumbers w:val="0"/>
        <w:kinsoku w:val="0"/>
        <w:autoSpaceDE w:val="0"/>
        <w:autoSpaceDN w:val="0"/>
        <w:adjustRightInd w:val="0"/>
        <w:snapToGrid w:val="0"/>
        <w:spacing w:before="78" w:beforeAutospacing="0" w:after="0" w:afterAutospacing="0"/>
        <w:ind w:left="104" w:right="0"/>
        <w:jc w:val="left"/>
        <w:textAlignment w:val="baseline"/>
        <w:rPr>
          <w:rFonts w:hint="eastAsia" w:ascii="宋体" w:hAnsi="宋体" w:eastAsia="宋体" w:cs="宋体"/>
          <w:color w:val="000000"/>
          <w:spacing w:val="22"/>
          <w:kern w:val="0"/>
          <w:sz w:val="24"/>
          <w:szCs w:val="24"/>
        </w:rPr>
      </w:pPr>
      <w:r>
        <w:rPr>
          <w:rFonts w:hint="eastAsia" w:ascii="宋体" w:hAnsi="宋体" w:eastAsia="宋体" w:cs="宋体"/>
          <w:snapToGrid/>
          <w:color w:val="000000"/>
          <w:spacing w:val="22"/>
          <w:kern w:val="0"/>
          <w:sz w:val="24"/>
          <w:szCs w:val="24"/>
          <w:lang w:val="en-US" w:eastAsia="zh-CN" w:bidi="ar"/>
        </w:rPr>
        <w:t xml:space="preserve"> </w:t>
      </w:r>
    </w:p>
    <w:p>
      <w:pPr>
        <w:keepNext w:val="0"/>
        <w:keepLines w:val="0"/>
        <w:widowControl/>
        <w:suppressLineNumbers w:val="0"/>
        <w:kinsoku w:val="0"/>
        <w:autoSpaceDE w:val="0"/>
        <w:autoSpaceDN w:val="0"/>
        <w:adjustRightInd w:val="0"/>
        <w:snapToGrid w:val="0"/>
        <w:spacing w:before="78" w:beforeAutospacing="0" w:after="0" w:afterAutospacing="0"/>
        <w:ind w:left="104"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2"/>
          <w:kern w:val="0"/>
          <w:sz w:val="24"/>
          <w:szCs w:val="24"/>
          <w:lang w:val="en-US" w:eastAsia="zh-CN" w:bidi="ar"/>
        </w:rPr>
        <w:t>第1题单位性质</w:t>
      </w:r>
      <w:r>
        <w:rPr>
          <w:rFonts w:hint="eastAsia" w:ascii="宋体" w:hAnsi="宋体" w:eastAsia="宋体" w:cs="宋体"/>
          <w:snapToGrid/>
          <w:color w:val="000000"/>
          <w:spacing w:val="47"/>
          <w:kern w:val="0"/>
          <w:sz w:val="24"/>
          <w:szCs w:val="24"/>
          <w:lang w:val="en-US" w:eastAsia="zh-CN" w:bidi="ar"/>
        </w:rPr>
        <w:t xml:space="preserve">  </w:t>
      </w:r>
      <w:r>
        <w:rPr>
          <w:rFonts w:hint="eastAsia" w:ascii="宋体" w:hAnsi="宋体" w:eastAsia="宋体" w:cs="宋体"/>
          <w:snapToGrid/>
          <w:color w:val="000000"/>
          <w:spacing w:val="22"/>
          <w:kern w:val="0"/>
          <w:sz w:val="24"/>
          <w:szCs w:val="24"/>
          <w:lang w:val="en-US" w:eastAsia="zh-CN" w:bidi="ar"/>
        </w:rPr>
        <w:t>[单选题]</w:t>
      </w:r>
    </w:p>
    <w:tbl>
      <w:tblPr>
        <w:tblStyle w:val="14"/>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5"/>
        <w:gridCol w:w="186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CEAF5"/>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选项</w:t>
            </w:r>
          </w:p>
        </w:tc>
        <w:tc>
          <w:tcPr>
            <w:tcW w:w="1860" w:type="dxa"/>
            <w:tcBorders>
              <w:top w:val="single" w:color="000000" w:sz="4" w:space="0"/>
              <w:left w:val="nil"/>
              <w:bottom w:val="single" w:color="000000" w:sz="4" w:space="0"/>
              <w:right w:val="single" w:color="000000" w:sz="4" w:space="0"/>
            </w:tcBorders>
            <w:shd w:val="clear" w:color="auto" w:fill="F0EEF8"/>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小计</w:t>
            </w:r>
          </w:p>
        </w:tc>
        <w:tc>
          <w:tcPr>
            <w:tcW w:w="2670" w:type="dxa"/>
            <w:tcBorders>
              <w:top w:val="single" w:color="000000" w:sz="4" w:space="0"/>
              <w:left w:val="nil"/>
              <w:bottom w:val="single" w:color="000000" w:sz="4" w:space="0"/>
              <w:right w:val="single" w:color="000000" w:sz="4" w:space="0"/>
            </w:tcBorders>
            <w:shd w:val="clear" w:color="auto" w:fill="E4E2ED"/>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央企</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33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24.26%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省(自治区)属国企</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Arial" w:hAnsi="Arial" w:eastAsia="宋体" w:cs="Arial"/>
                <w:i w:val="0"/>
                <w:color w:val="000000"/>
                <w:kern w:val="0"/>
                <w:sz w:val="21"/>
                <w:szCs w:val="21"/>
              </w:rPr>
            </w:pPr>
            <w:r>
              <w:rPr>
                <w:rFonts w:hint="default" w:ascii="Arial" w:hAnsi="Arial" w:eastAsia="宋体" w:cs="Arial"/>
                <w:i w:val="0"/>
                <w:snapToGrid/>
                <w:color w:val="000000"/>
                <w:kern w:val="0"/>
                <w:sz w:val="21"/>
                <w:szCs w:val="21"/>
                <w:lang w:val="en-US" w:eastAsia="zh-CN" w:bidi="ar"/>
              </w:rPr>
              <w:t>市属国企</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县属国企</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88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64.71%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本题有效填写人次</w:t>
            </w:r>
          </w:p>
        </w:tc>
        <w:tc>
          <w:tcPr>
            <w:tcW w:w="186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136</w:t>
            </w:r>
          </w:p>
        </w:tc>
        <w:tc>
          <w:tcPr>
            <w:tcW w:w="267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i w:val="0"/>
                <w:color w:val="000000"/>
                <w:kern w:val="0"/>
                <w:sz w:val="25"/>
                <w:szCs w:val="25"/>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r>
        <w:rPr>
          <w:rFonts w:hint="default" w:ascii="Arial" w:hAnsi="Arial" w:eastAsia="宋体" w:cs="Arial"/>
          <w:snapToGrid/>
          <w:color w:val="000000"/>
          <w:kern w:val="0"/>
          <w:sz w:val="21"/>
          <w:szCs w:val="21"/>
          <w:lang w:val="en-US" w:eastAsia="zh-CN" w:bidi="ar"/>
        </w:rPr>
        <w:t xml:space="preserve"> </w:t>
      </w:r>
    </w:p>
    <w:p>
      <w:pPr>
        <w:keepNext w:val="0"/>
        <w:keepLines w:val="0"/>
        <w:widowControl/>
        <w:suppressLineNumbers w:val="0"/>
        <w:kinsoku w:val="0"/>
        <w:autoSpaceDE w:val="0"/>
        <w:autoSpaceDN w:val="0"/>
        <w:adjustRightInd w:val="0"/>
        <w:snapToGrid w:val="0"/>
        <w:spacing w:before="78" w:beforeAutospacing="0" w:after="0" w:afterAutospacing="0"/>
        <w:ind w:left="104"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22"/>
          <w:kern w:val="0"/>
          <w:sz w:val="24"/>
          <w:szCs w:val="24"/>
          <w:lang w:val="en-US" w:eastAsia="zh-CN" w:bidi="ar"/>
        </w:rPr>
        <w:t>第2题您对国有企业退休人员实行社会化管理的态度是?[单选题]</w:t>
      </w:r>
    </w:p>
    <w:tbl>
      <w:tblPr>
        <w:tblStyle w:val="14"/>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5"/>
        <w:gridCol w:w="186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CEAF5"/>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选项</w:t>
            </w:r>
          </w:p>
        </w:tc>
        <w:tc>
          <w:tcPr>
            <w:tcW w:w="1860" w:type="dxa"/>
            <w:tcBorders>
              <w:top w:val="single" w:color="000000" w:sz="4" w:space="0"/>
              <w:left w:val="nil"/>
              <w:bottom w:val="single" w:color="000000" w:sz="4" w:space="0"/>
              <w:right w:val="single" w:color="000000" w:sz="4" w:space="0"/>
            </w:tcBorders>
            <w:shd w:val="clear" w:color="auto" w:fill="F0EEF8"/>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小计</w:t>
            </w:r>
          </w:p>
        </w:tc>
        <w:tc>
          <w:tcPr>
            <w:tcW w:w="2670" w:type="dxa"/>
            <w:tcBorders>
              <w:top w:val="single" w:color="000000" w:sz="4" w:space="0"/>
              <w:left w:val="nil"/>
              <w:bottom w:val="single" w:color="000000" w:sz="4" w:space="0"/>
              <w:right w:val="single" w:color="000000" w:sz="4" w:space="0"/>
            </w:tcBorders>
            <w:shd w:val="clear" w:color="auto" w:fill="E4E2ED"/>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支持</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133</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97.79%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无所谓</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Arial" w:hAnsi="Arial" w:eastAsia="宋体" w:cs="Arial"/>
                <w:i w:val="0"/>
                <w:color w:val="000000"/>
                <w:kern w:val="0"/>
                <w:sz w:val="21"/>
                <w:szCs w:val="21"/>
              </w:rPr>
            </w:pPr>
            <w:r>
              <w:rPr>
                <w:rFonts w:hint="eastAsia" w:ascii="Arial" w:hAnsi="Arial" w:eastAsia="宋体" w:cs="Arial"/>
                <w:i w:val="0"/>
                <w:snapToGrid/>
                <w:color w:val="000000"/>
                <w:kern w:val="0"/>
                <w:sz w:val="21"/>
                <w:szCs w:val="21"/>
                <w:lang w:val="en-US" w:eastAsia="zh-CN" w:bidi="ar"/>
              </w:rPr>
              <w:t>反对</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没考虑过</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本题有效填写人次</w:t>
            </w:r>
          </w:p>
        </w:tc>
        <w:tc>
          <w:tcPr>
            <w:tcW w:w="186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136</w:t>
            </w:r>
          </w:p>
        </w:tc>
        <w:tc>
          <w:tcPr>
            <w:tcW w:w="267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i w:val="0"/>
                <w:color w:val="000000"/>
                <w:kern w:val="0"/>
                <w:sz w:val="25"/>
                <w:szCs w:val="25"/>
              </w:rPr>
            </w:pPr>
          </w:p>
        </w:tc>
      </w:tr>
    </w:tbl>
    <w:p>
      <w:pPr>
        <w:keepNext w:val="0"/>
        <w:keepLines w:val="0"/>
        <w:widowControl/>
        <w:suppressLineNumbers w:val="0"/>
        <w:kinsoku w:val="0"/>
        <w:autoSpaceDE w:val="0"/>
        <w:autoSpaceDN w:val="0"/>
        <w:adjustRightInd w:val="0"/>
        <w:snapToGrid w:val="0"/>
        <w:spacing w:before="79" w:beforeAutospacing="0" w:after="0" w:afterAutospacing="0"/>
        <w:ind w:left="104" w:right="0"/>
        <w:jc w:val="left"/>
        <w:textAlignment w:val="baseline"/>
        <w:rPr>
          <w:rFonts w:hint="eastAsia" w:ascii="宋体" w:hAnsi="宋体" w:eastAsia="宋体" w:cs="宋体"/>
          <w:color w:val="000000"/>
          <w:spacing w:val="9"/>
          <w:kern w:val="0"/>
          <w:sz w:val="24"/>
          <w:szCs w:val="24"/>
        </w:rPr>
      </w:pPr>
      <w:r>
        <w:rPr>
          <w:rFonts w:hint="eastAsia" w:ascii="宋体" w:hAnsi="宋体" w:eastAsia="宋体" w:cs="宋体"/>
          <w:snapToGrid/>
          <w:color w:val="000000"/>
          <w:spacing w:val="9"/>
          <w:kern w:val="0"/>
          <w:sz w:val="24"/>
          <w:szCs w:val="24"/>
          <w:lang w:val="en-US" w:eastAsia="zh-CN" w:bidi="ar"/>
        </w:rPr>
        <w:t xml:space="preserve"> </w:t>
      </w:r>
    </w:p>
    <w:p>
      <w:pPr>
        <w:keepNext w:val="0"/>
        <w:keepLines w:val="0"/>
        <w:widowControl/>
        <w:suppressLineNumbers w:val="0"/>
        <w:kinsoku w:val="0"/>
        <w:autoSpaceDE w:val="0"/>
        <w:autoSpaceDN w:val="0"/>
        <w:adjustRightInd w:val="0"/>
        <w:snapToGrid w:val="0"/>
        <w:spacing w:before="79" w:beforeAutospacing="0" w:after="0" w:afterAutospacing="0"/>
        <w:ind w:left="104" w:right="0"/>
        <w:jc w:val="left"/>
        <w:textAlignment w:val="baseline"/>
        <w:rPr>
          <w:rFonts w:hint="eastAsia" w:ascii="宋体" w:hAnsi="宋体" w:eastAsia="宋体" w:cs="宋体"/>
          <w:color w:val="000000"/>
          <w:kern w:val="0"/>
          <w:sz w:val="24"/>
          <w:szCs w:val="24"/>
        </w:rPr>
      </w:pPr>
      <w:r>
        <w:rPr>
          <w:rFonts w:hint="eastAsia" w:ascii="宋体" w:hAnsi="宋体" w:eastAsia="宋体" w:cs="宋体"/>
          <w:snapToGrid/>
          <w:color w:val="000000"/>
          <w:spacing w:val="9"/>
          <w:kern w:val="0"/>
          <w:sz w:val="24"/>
          <w:szCs w:val="24"/>
          <w:lang w:val="en-US" w:eastAsia="zh-CN" w:bidi="ar"/>
        </w:rPr>
        <w:t>第3题您是否了解国有企业退休人员管理体制改革?</w:t>
      </w:r>
      <w:r>
        <w:rPr>
          <w:rFonts w:hint="eastAsia" w:ascii="宋体" w:hAnsi="宋体" w:eastAsia="宋体" w:cs="宋体"/>
          <w:snapToGrid/>
          <w:color w:val="000000"/>
          <w:spacing w:val="32"/>
          <w:kern w:val="0"/>
          <w:sz w:val="24"/>
          <w:szCs w:val="24"/>
          <w:lang w:val="en-US" w:eastAsia="zh-CN" w:bidi="ar"/>
        </w:rPr>
        <w:t xml:space="preserve">   </w:t>
      </w:r>
      <w:r>
        <w:rPr>
          <w:rFonts w:hint="eastAsia" w:ascii="宋体" w:hAnsi="宋体" w:eastAsia="宋体" w:cs="宋体"/>
          <w:snapToGrid/>
          <w:color w:val="000000"/>
          <w:spacing w:val="9"/>
          <w:kern w:val="0"/>
          <w:sz w:val="24"/>
          <w:szCs w:val="24"/>
          <w:lang w:val="en-US" w:eastAsia="zh-CN" w:bidi="ar"/>
        </w:rPr>
        <w:t>[单选题]</w:t>
      </w:r>
    </w:p>
    <w:tbl>
      <w:tblPr>
        <w:tblStyle w:val="14"/>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5"/>
        <w:gridCol w:w="186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CEAF5"/>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选项</w:t>
            </w:r>
          </w:p>
        </w:tc>
        <w:tc>
          <w:tcPr>
            <w:tcW w:w="1860" w:type="dxa"/>
            <w:tcBorders>
              <w:top w:val="single" w:color="000000" w:sz="4" w:space="0"/>
              <w:left w:val="nil"/>
              <w:bottom w:val="single" w:color="000000" w:sz="4" w:space="0"/>
              <w:right w:val="single" w:color="000000" w:sz="4" w:space="0"/>
            </w:tcBorders>
            <w:shd w:val="clear" w:color="auto" w:fill="F0EEF8"/>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小计</w:t>
            </w:r>
          </w:p>
        </w:tc>
        <w:tc>
          <w:tcPr>
            <w:tcW w:w="2670" w:type="dxa"/>
            <w:tcBorders>
              <w:top w:val="single" w:color="000000" w:sz="4" w:space="0"/>
              <w:left w:val="nil"/>
              <w:bottom w:val="single" w:color="000000" w:sz="4" w:space="0"/>
              <w:right w:val="single" w:color="000000" w:sz="4" w:space="0"/>
            </w:tcBorders>
            <w:shd w:val="clear" w:color="auto" w:fill="E4E2ED"/>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了解</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118</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86.76%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不太了解</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Arial" w:hAnsi="Arial" w:eastAsia="宋体" w:cs="Arial"/>
                <w:i w:val="0"/>
                <w:color w:val="000000"/>
                <w:kern w:val="0"/>
                <w:sz w:val="21"/>
                <w:szCs w:val="21"/>
              </w:rPr>
            </w:pPr>
            <w:r>
              <w:rPr>
                <w:rFonts w:hint="eastAsia" w:ascii="宋体" w:hAnsi="宋体" w:eastAsia="宋体" w:cs="宋体"/>
                <w:i w:val="0"/>
                <w:snapToGrid/>
                <w:color w:val="000000"/>
                <w:kern w:val="0"/>
                <w:sz w:val="25"/>
                <w:szCs w:val="25"/>
                <w:lang w:val="en-US" w:eastAsia="zh-CN" w:bidi="ar"/>
              </w:rPr>
              <w:t>不了解</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其他</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本题有效填写人次</w:t>
            </w:r>
          </w:p>
        </w:tc>
        <w:tc>
          <w:tcPr>
            <w:tcW w:w="186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136</w:t>
            </w:r>
          </w:p>
        </w:tc>
        <w:tc>
          <w:tcPr>
            <w:tcW w:w="267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i w:val="0"/>
                <w:color w:val="000000"/>
                <w:kern w:val="0"/>
                <w:sz w:val="25"/>
                <w:szCs w:val="25"/>
              </w:rPr>
            </w:pPr>
          </w:p>
        </w:tc>
      </w:tr>
    </w:tbl>
    <w:p>
      <w:pPr>
        <w:keepNext w:val="0"/>
        <w:keepLines w:val="0"/>
        <w:widowControl/>
        <w:suppressLineNumbers w:val="0"/>
        <w:kinsoku w:val="0"/>
        <w:autoSpaceDE w:val="0"/>
        <w:autoSpaceDN w:val="0"/>
        <w:adjustRightInd w:val="0"/>
        <w:snapToGrid w:val="0"/>
        <w:spacing w:before="79" w:beforeAutospacing="0" w:after="0" w:afterAutospacing="0"/>
        <w:ind w:left="104" w:right="0"/>
        <w:jc w:val="left"/>
        <w:textAlignment w:val="baseline"/>
        <w:rPr>
          <w:rFonts w:hint="eastAsia" w:ascii="宋体" w:hAnsi="宋体" w:eastAsia="宋体" w:cs="宋体"/>
          <w:color w:val="000000"/>
          <w:spacing w:val="9"/>
          <w:kern w:val="0"/>
          <w:sz w:val="24"/>
          <w:szCs w:val="24"/>
        </w:rPr>
      </w:pPr>
      <w:r>
        <w:rPr>
          <w:rFonts w:hint="default" w:ascii="Arial" w:hAnsi="Arial" w:eastAsia="宋体" w:cs="Arial"/>
          <w:snapToGrid/>
          <w:color w:val="000000"/>
          <w:kern w:val="0"/>
          <w:sz w:val="21"/>
          <w:szCs w:val="21"/>
          <w:lang w:val="en-US" w:eastAsia="zh-CN" w:bidi="ar"/>
        </w:rPr>
        <w:drawing>
          <wp:inline distT="0" distB="0" distL="114300" distR="114300">
            <wp:extent cx="228600" cy="2095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228600" cy="209550"/>
                    </a:xfrm>
                    <a:prstGeom prst="rect">
                      <a:avLst/>
                    </a:prstGeom>
                    <a:noFill/>
                    <a:ln w="9525">
                      <a:noFill/>
                    </a:ln>
                  </pic:spPr>
                </pic:pic>
              </a:graphicData>
            </a:graphic>
          </wp:inline>
        </w:drawing>
      </w:r>
      <w:r>
        <w:rPr>
          <w:rFonts w:hint="eastAsia" w:ascii="宋体" w:hAnsi="宋体" w:eastAsia="宋体" w:cs="宋体"/>
          <w:snapToGrid/>
          <w:color w:val="000000"/>
          <w:spacing w:val="9"/>
          <w:kern w:val="0"/>
          <w:sz w:val="24"/>
          <w:szCs w:val="24"/>
          <w:lang w:val="en-US" w:eastAsia="zh-CN" w:bidi="ar"/>
        </w:rPr>
        <w:t>第4题您是从哪个渠道了解国有企业退休人员实行社会化管理的信息?</w:t>
      </w:r>
    </w:p>
    <w:p>
      <w:pPr>
        <w:keepNext w:val="0"/>
        <w:keepLines w:val="0"/>
        <w:widowControl/>
        <w:suppressLineNumbers w:val="0"/>
        <w:kinsoku w:val="0"/>
        <w:autoSpaceDE w:val="0"/>
        <w:autoSpaceDN w:val="0"/>
        <w:adjustRightInd w:val="0"/>
        <w:snapToGrid w:val="0"/>
        <w:spacing w:before="79" w:beforeAutospacing="0" w:after="0" w:afterAutospacing="0"/>
        <w:ind w:left="104" w:right="0"/>
        <w:jc w:val="left"/>
        <w:textAlignment w:val="baseline"/>
        <w:rPr>
          <w:rFonts w:hint="eastAsia" w:ascii="宋体" w:hAnsi="宋体" w:eastAsia="宋体" w:cs="宋体"/>
          <w:color w:val="000000"/>
          <w:spacing w:val="9"/>
          <w:kern w:val="0"/>
          <w:sz w:val="24"/>
          <w:szCs w:val="24"/>
        </w:rPr>
      </w:pPr>
      <w:bookmarkStart w:id="214" w:name="_Toc26806_WPSOffice_Level2"/>
      <w:r>
        <w:rPr>
          <w:rFonts w:hint="eastAsia" w:ascii="宋体" w:hAnsi="宋体" w:eastAsia="宋体" w:cs="宋体"/>
          <w:snapToGrid/>
          <w:color w:val="000000"/>
          <w:spacing w:val="9"/>
          <w:kern w:val="0"/>
          <w:sz w:val="24"/>
          <w:szCs w:val="24"/>
          <w:lang w:val="en-US" w:eastAsia="zh-CN" w:bidi="ar"/>
        </w:rPr>
        <w:t>选题]</w:t>
      </w:r>
      <w:bookmarkEnd w:id="214"/>
    </w:p>
    <w:tbl>
      <w:tblPr>
        <w:tblStyle w:val="14"/>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5"/>
        <w:gridCol w:w="186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CEAF5"/>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选项</w:t>
            </w:r>
          </w:p>
        </w:tc>
        <w:tc>
          <w:tcPr>
            <w:tcW w:w="1860" w:type="dxa"/>
            <w:tcBorders>
              <w:top w:val="single" w:color="000000" w:sz="4" w:space="0"/>
              <w:left w:val="nil"/>
              <w:bottom w:val="single" w:color="000000" w:sz="4" w:space="0"/>
              <w:right w:val="single" w:color="000000" w:sz="4" w:space="0"/>
            </w:tcBorders>
            <w:shd w:val="clear" w:color="auto" w:fill="F0EEF8"/>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小计</w:t>
            </w:r>
          </w:p>
        </w:tc>
        <w:tc>
          <w:tcPr>
            <w:tcW w:w="2670" w:type="dxa"/>
            <w:tcBorders>
              <w:top w:val="single" w:color="000000" w:sz="4" w:space="0"/>
              <w:left w:val="nil"/>
              <w:bottom w:val="single" w:color="000000" w:sz="4" w:space="0"/>
              <w:right w:val="single" w:color="000000" w:sz="4" w:space="0"/>
            </w:tcBorders>
            <w:shd w:val="clear" w:color="auto" w:fill="E4E2ED"/>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会议传达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101</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74.26%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改革方案</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47</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34.56%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Arial" w:hAnsi="Arial" w:eastAsia="宋体" w:cs="Arial"/>
                <w:i w:val="0"/>
                <w:color w:val="000000"/>
                <w:kern w:val="0"/>
                <w:sz w:val="21"/>
                <w:szCs w:val="21"/>
              </w:rPr>
            </w:pPr>
            <w:r>
              <w:rPr>
                <w:rFonts w:hint="eastAsia" w:ascii="宋体" w:hAnsi="宋体" w:eastAsia="宋体" w:cs="宋体"/>
                <w:i w:val="0"/>
                <w:snapToGrid/>
                <w:color w:val="000000"/>
                <w:kern w:val="0"/>
                <w:sz w:val="25"/>
                <w:szCs w:val="25"/>
                <w:lang w:val="en-US" w:eastAsia="zh-CN" w:bidi="ar"/>
              </w:rPr>
              <w:t>听人传说</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22</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媒体宣传</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66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48.53%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其他</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45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33.09%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本题有效填写人次</w:t>
            </w:r>
          </w:p>
        </w:tc>
        <w:tc>
          <w:tcPr>
            <w:tcW w:w="186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136</w:t>
            </w:r>
          </w:p>
        </w:tc>
        <w:tc>
          <w:tcPr>
            <w:tcW w:w="267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i w:val="0"/>
                <w:color w:val="000000"/>
                <w:kern w:val="0"/>
                <w:sz w:val="25"/>
                <w:szCs w:val="25"/>
              </w:rPr>
            </w:pPr>
          </w:p>
        </w:tc>
      </w:tr>
    </w:tbl>
    <w:p>
      <w:pPr>
        <w:keepNext w:val="0"/>
        <w:keepLines w:val="0"/>
        <w:widowControl/>
        <w:suppressLineNumbers w:val="0"/>
        <w:kinsoku w:val="0"/>
        <w:autoSpaceDE w:val="0"/>
        <w:autoSpaceDN w:val="0"/>
        <w:adjustRightInd w:val="0"/>
        <w:snapToGrid w:val="0"/>
        <w:spacing w:before="79" w:beforeAutospacing="0" w:after="0" w:afterAutospacing="0"/>
        <w:ind w:left="104" w:right="0"/>
        <w:jc w:val="left"/>
        <w:textAlignment w:val="baseline"/>
        <w:rPr>
          <w:rFonts w:hint="eastAsia" w:ascii="宋体" w:hAnsi="宋体" w:eastAsia="宋体" w:cs="宋体"/>
          <w:color w:val="000000"/>
          <w:spacing w:val="9"/>
          <w:kern w:val="0"/>
          <w:sz w:val="24"/>
          <w:szCs w:val="24"/>
        </w:rPr>
      </w:pPr>
      <w:r>
        <w:rPr>
          <w:rFonts w:hint="eastAsia" w:ascii="宋体" w:hAnsi="宋体" w:eastAsia="宋体" w:cs="宋体"/>
          <w:snapToGrid/>
          <w:color w:val="000000"/>
          <w:spacing w:val="9"/>
          <w:kern w:val="0"/>
          <w:sz w:val="24"/>
          <w:szCs w:val="24"/>
          <w:lang w:val="en-US" w:eastAsia="zh-CN" w:bidi="ar"/>
        </w:rPr>
        <w:t>第5题在国有企业退休人员实行社会化管理过程中，您关心的是?   [多选题]</w:t>
      </w:r>
    </w:p>
    <w:tbl>
      <w:tblPr>
        <w:tblStyle w:val="14"/>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5"/>
        <w:gridCol w:w="186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CEAF5"/>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选项</w:t>
            </w:r>
          </w:p>
        </w:tc>
        <w:tc>
          <w:tcPr>
            <w:tcW w:w="1860" w:type="dxa"/>
            <w:tcBorders>
              <w:top w:val="single" w:color="000000" w:sz="4" w:space="0"/>
              <w:left w:val="nil"/>
              <w:bottom w:val="single" w:color="000000" w:sz="4" w:space="0"/>
              <w:right w:val="single" w:color="000000" w:sz="4" w:space="0"/>
            </w:tcBorders>
            <w:shd w:val="clear" w:color="auto" w:fill="F0EEF8"/>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小计</w:t>
            </w:r>
          </w:p>
        </w:tc>
        <w:tc>
          <w:tcPr>
            <w:tcW w:w="2670" w:type="dxa"/>
            <w:tcBorders>
              <w:top w:val="single" w:color="000000" w:sz="4" w:space="0"/>
              <w:left w:val="nil"/>
              <w:bottom w:val="single" w:color="000000" w:sz="4" w:space="0"/>
              <w:right w:val="single" w:color="000000" w:sz="4" w:space="0"/>
            </w:tcBorders>
            <w:shd w:val="clear" w:color="auto" w:fill="E4E2ED"/>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5"/>
                <w:szCs w:val="25"/>
                <w:lang w:val="en-US" w:eastAsia="zh-CN" w:bidi="ar"/>
              </w:rPr>
              <w:t>人事档案移交</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100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73.53%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snapToGrid/>
                <w:color w:val="000000"/>
                <w:spacing w:val="1"/>
                <w:kern w:val="0"/>
                <w:sz w:val="23"/>
                <w:szCs w:val="23"/>
                <w:lang w:val="en-US" w:eastAsia="zh-CN" w:bidi="ar"/>
              </w:rPr>
              <w:t>组织关系移交</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69</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50.74%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default" w:ascii="Arial" w:hAnsi="Arial" w:eastAsia="宋体" w:cs="Arial"/>
                <w:i w:val="0"/>
                <w:color w:val="000000"/>
                <w:kern w:val="0"/>
                <w:sz w:val="21"/>
                <w:szCs w:val="21"/>
              </w:rPr>
            </w:pPr>
            <w:r>
              <w:rPr>
                <w:rFonts w:hint="eastAsia" w:ascii="宋体" w:hAnsi="宋体" w:eastAsia="宋体" w:cs="宋体"/>
                <w:snapToGrid/>
                <w:color w:val="000000"/>
                <w:spacing w:val="1"/>
                <w:kern w:val="0"/>
                <w:sz w:val="23"/>
                <w:szCs w:val="23"/>
                <w:lang w:val="en-US" w:eastAsia="zh-CN" w:bidi="ar"/>
              </w:rPr>
              <w:t>遗留问题解决</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65</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其他</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66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48.53%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本题有效填写人次</w:t>
            </w:r>
          </w:p>
        </w:tc>
        <w:tc>
          <w:tcPr>
            <w:tcW w:w="186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136</w:t>
            </w:r>
          </w:p>
        </w:tc>
        <w:tc>
          <w:tcPr>
            <w:tcW w:w="267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i w:val="0"/>
                <w:color w:val="000000"/>
                <w:kern w:val="0"/>
                <w:sz w:val="25"/>
                <w:szCs w:val="25"/>
              </w:rPr>
            </w:pPr>
          </w:p>
        </w:tc>
      </w:tr>
    </w:tbl>
    <w:p>
      <w:pPr>
        <w:keepNext w:val="0"/>
        <w:keepLines w:val="0"/>
        <w:widowControl/>
        <w:suppressLineNumbers w:val="0"/>
        <w:kinsoku w:val="0"/>
        <w:autoSpaceDE w:val="0"/>
        <w:autoSpaceDN w:val="0"/>
        <w:adjustRightInd w:val="0"/>
        <w:snapToGrid w:val="0"/>
        <w:spacing w:before="79" w:beforeAutospacing="0" w:after="0" w:afterAutospacing="0"/>
        <w:ind w:left="104" w:right="0"/>
        <w:jc w:val="left"/>
        <w:textAlignment w:val="baseline"/>
        <w:rPr>
          <w:rFonts w:hint="eastAsia" w:ascii="宋体" w:hAnsi="宋体" w:eastAsia="宋体" w:cs="宋体"/>
          <w:color w:val="000000"/>
          <w:spacing w:val="9"/>
          <w:kern w:val="0"/>
          <w:sz w:val="24"/>
          <w:szCs w:val="24"/>
        </w:rPr>
      </w:pPr>
      <w:r>
        <w:rPr>
          <w:rFonts w:hint="eastAsia" w:ascii="宋体" w:hAnsi="宋体" w:eastAsia="宋体" w:cs="宋体"/>
          <w:snapToGrid/>
          <w:color w:val="000000"/>
          <w:spacing w:val="9"/>
          <w:kern w:val="0"/>
          <w:sz w:val="24"/>
          <w:szCs w:val="24"/>
          <w:lang w:val="en-US" w:eastAsia="zh-CN" w:bidi="ar"/>
        </w:rPr>
        <w:t>第6题您对国有企业实行退休人员社会化管理补助项目是否满意?   [单选题]</w:t>
      </w:r>
    </w:p>
    <w:tbl>
      <w:tblPr>
        <w:tblStyle w:val="14"/>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975"/>
        <w:gridCol w:w="1860"/>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CEAF5"/>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选项</w:t>
            </w:r>
          </w:p>
        </w:tc>
        <w:tc>
          <w:tcPr>
            <w:tcW w:w="1860" w:type="dxa"/>
            <w:tcBorders>
              <w:top w:val="single" w:color="000000" w:sz="4" w:space="0"/>
              <w:left w:val="nil"/>
              <w:bottom w:val="single" w:color="000000" w:sz="4" w:space="0"/>
              <w:right w:val="single" w:color="000000" w:sz="4" w:space="0"/>
            </w:tcBorders>
            <w:shd w:val="clear" w:color="auto" w:fill="F0EEF8"/>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小计</w:t>
            </w:r>
          </w:p>
        </w:tc>
        <w:tc>
          <w:tcPr>
            <w:tcW w:w="2670" w:type="dxa"/>
            <w:tcBorders>
              <w:top w:val="single" w:color="000000" w:sz="4" w:space="0"/>
              <w:left w:val="nil"/>
              <w:bottom w:val="single" w:color="000000" w:sz="4" w:space="0"/>
              <w:right w:val="single" w:color="000000" w:sz="4" w:space="0"/>
            </w:tcBorders>
            <w:shd w:val="clear" w:color="auto" w:fill="E4E2ED"/>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b/>
                <w:i w:val="0"/>
                <w:color w:val="000000"/>
                <w:kern w:val="0"/>
                <w:sz w:val="25"/>
                <w:szCs w:val="25"/>
              </w:rPr>
            </w:pPr>
            <w:r>
              <w:rPr>
                <w:rFonts w:hint="eastAsia" w:ascii="宋体" w:hAnsi="宋体" w:eastAsia="宋体" w:cs="宋体"/>
                <w:b/>
                <w:i w:val="0"/>
                <w:snapToGrid/>
                <w:color w:val="000000"/>
                <w:kern w:val="0"/>
                <w:sz w:val="25"/>
                <w:szCs w:val="25"/>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5"/>
                <w:szCs w:val="25"/>
                <w:lang w:val="en-US" w:eastAsia="zh-CN" w:bidi="ar"/>
              </w:rPr>
              <w:t>非常满意</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126</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92.65%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snapToGrid/>
                <w:color w:val="000000"/>
                <w:spacing w:val="1"/>
                <w:kern w:val="0"/>
                <w:sz w:val="23"/>
                <w:szCs w:val="23"/>
                <w:lang w:val="en-US" w:eastAsia="zh-CN" w:bidi="ar"/>
              </w:rPr>
              <w:t>比较满意</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10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Arial" w:hAnsi="Arial" w:eastAsia="宋体" w:cs="Arial"/>
                <w:i w:val="0"/>
                <w:color w:val="000000"/>
                <w:kern w:val="0"/>
                <w:sz w:val="21"/>
                <w:szCs w:val="21"/>
              </w:rPr>
            </w:pPr>
            <w:r>
              <w:rPr>
                <w:rFonts w:hint="eastAsia" w:ascii="Arial" w:hAnsi="Arial" w:eastAsia="宋体" w:cs="Arial"/>
                <w:i w:val="0"/>
                <w:snapToGrid/>
                <w:color w:val="000000"/>
                <w:kern w:val="0"/>
                <w:sz w:val="21"/>
                <w:szCs w:val="21"/>
                <w:lang w:val="en-US" w:eastAsia="zh-CN" w:bidi="ar"/>
              </w:rPr>
              <w:t>一般</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Arial" w:hAnsi="Arial" w:eastAsia="宋体" w:cs="Arial"/>
                <w:i w:val="0"/>
                <w:color w:val="000000"/>
                <w:kern w:val="0"/>
                <w:sz w:val="21"/>
                <w:szCs w:val="21"/>
              </w:rPr>
            </w:pPr>
            <w:r>
              <w:rPr>
                <w:rFonts w:hint="eastAsia" w:ascii="Arial" w:hAnsi="Arial" w:eastAsia="宋体" w:cs="Arial"/>
                <w:i w:val="0"/>
                <w:snapToGrid/>
                <w:color w:val="000000"/>
                <w:kern w:val="0"/>
                <w:sz w:val="21"/>
                <w:szCs w:val="21"/>
                <w:lang w:val="en-US" w:eastAsia="zh-CN" w:bidi="ar"/>
              </w:rPr>
              <w:t>较不满意</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Arial" w:hAnsi="Arial" w:eastAsia="宋体" w:cs="Arial"/>
                <w:i w:val="0"/>
                <w:color w:val="000000"/>
                <w:kern w:val="0"/>
                <w:sz w:val="21"/>
                <w:szCs w:val="21"/>
              </w:rPr>
            </w:pPr>
            <w:r>
              <w:rPr>
                <w:rFonts w:hint="eastAsia" w:ascii="Arial" w:hAnsi="Arial" w:eastAsia="宋体" w:cs="Arial"/>
                <w:i w:val="0"/>
                <w:snapToGrid/>
                <w:color w:val="000000"/>
                <w:kern w:val="0"/>
                <w:sz w:val="21"/>
                <w:szCs w:val="21"/>
                <w:lang w:val="en-US" w:eastAsia="zh-CN" w:bidi="ar"/>
              </w:rPr>
              <w:t>不满意</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2"/>
                <w:szCs w:val="22"/>
              </w:rPr>
            </w:pPr>
            <w:r>
              <w:rPr>
                <w:rFonts w:hint="eastAsia" w:ascii="宋体" w:hAnsi="宋体" w:eastAsia="宋体" w:cs="宋体"/>
                <w:i w:val="0"/>
                <w:snapToGrid/>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3975" w:type="dxa"/>
            <w:tcBorders>
              <w:top w:val="single" w:color="000000" w:sz="4" w:space="0"/>
              <w:left w:val="single" w:color="000000" w:sz="4" w:space="0"/>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本题有效填写人次</w:t>
            </w:r>
          </w:p>
        </w:tc>
        <w:tc>
          <w:tcPr>
            <w:tcW w:w="186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center"/>
              <w:rPr>
                <w:rFonts w:hint="eastAsia" w:ascii="宋体" w:hAnsi="宋体" w:eastAsia="宋体" w:cs="宋体"/>
                <w:i w:val="0"/>
                <w:color w:val="000000"/>
                <w:kern w:val="0"/>
                <w:sz w:val="25"/>
                <w:szCs w:val="25"/>
              </w:rPr>
            </w:pPr>
            <w:r>
              <w:rPr>
                <w:rFonts w:hint="eastAsia" w:ascii="宋体" w:hAnsi="宋体" w:eastAsia="宋体" w:cs="宋体"/>
                <w:i w:val="0"/>
                <w:snapToGrid/>
                <w:color w:val="000000"/>
                <w:kern w:val="0"/>
                <w:sz w:val="25"/>
                <w:szCs w:val="25"/>
                <w:lang w:val="en-US" w:eastAsia="zh-CN" w:bidi="ar"/>
              </w:rPr>
              <w:t>136</w:t>
            </w:r>
          </w:p>
        </w:tc>
        <w:tc>
          <w:tcPr>
            <w:tcW w:w="2670" w:type="dxa"/>
            <w:tcBorders>
              <w:top w:val="single" w:color="000000" w:sz="4" w:space="0"/>
              <w:left w:val="nil"/>
              <w:bottom w:val="single" w:color="000000" w:sz="4" w:space="0"/>
              <w:right w:val="single" w:color="000000" w:sz="4" w:space="0"/>
            </w:tcBorders>
            <w:shd w:val="clear" w:color="auto" w:fill="E8E6F1"/>
            <w:tcMar>
              <w:top w:w="15" w:type="dxa"/>
              <w:left w:w="15" w:type="dxa"/>
              <w:right w:w="15" w:type="dxa"/>
            </w:tcMar>
            <w:vAlign w:val="center"/>
          </w:tcPr>
          <w:p>
            <w:pPr>
              <w:keepNext w:val="0"/>
              <w:keepLines w:val="0"/>
              <w:widowControl/>
              <w:suppressLineNumbers w:val="0"/>
              <w:kinsoku w:val="0"/>
              <w:autoSpaceDE w:val="0"/>
              <w:autoSpaceDN w:val="0"/>
              <w:adjustRightInd w:val="0"/>
              <w:snapToGrid w:val="0"/>
              <w:spacing w:before="0" w:beforeAutospacing="0" w:after="0" w:afterAutospacing="0"/>
              <w:ind w:left="0" w:right="0"/>
              <w:jc w:val="center"/>
              <w:textAlignment w:val="baseline"/>
              <w:rPr>
                <w:rFonts w:hint="eastAsia" w:ascii="宋体" w:hAnsi="宋体" w:eastAsia="宋体" w:cs="宋体"/>
                <w:i w:val="0"/>
                <w:color w:val="000000"/>
                <w:kern w:val="0"/>
                <w:sz w:val="25"/>
                <w:szCs w:val="25"/>
              </w:rPr>
            </w:pPr>
          </w:p>
        </w:tc>
      </w:tr>
    </w:tbl>
    <w:p>
      <w:pPr>
        <w:keepNext w:val="0"/>
        <w:keepLines w:val="0"/>
        <w:widowControl/>
        <w:suppressLineNumbers w:val="0"/>
        <w:kinsoku w:val="0"/>
        <w:autoSpaceDE w:val="0"/>
        <w:autoSpaceDN w:val="0"/>
        <w:adjustRightInd w:val="0"/>
        <w:snapToGrid w:val="0"/>
        <w:spacing w:before="0" w:beforeAutospacing="0" w:after="0" w:afterAutospacing="0"/>
        <w:ind w:left="0" w:right="0"/>
        <w:jc w:val="left"/>
        <w:textAlignment w:val="baseline"/>
        <w:rPr>
          <w:rFonts w:hint="default" w:ascii="Arial" w:hAnsi="Arial" w:cs="Arial"/>
          <w:color w:val="000000"/>
          <w:kern w:val="0"/>
          <w:sz w:val="21"/>
          <w:szCs w:val="21"/>
        </w:rPr>
      </w:pPr>
    </w:p>
    <w:p>
      <w:pPr>
        <w:pStyle w:val="2"/>
        <w:bidi w:val="0"/>
        <w:rPr>
          <w:rFonts w:hint="eastAsia"/>
          <w:lang w:val="en-US" w:eastAsia="zh-CN"/>
        </w:rPr>
      </w:pPr>
      <w:bookmarkStart w:id="215" w:name="_Toc31965_WPSOffice_Level1"/>
      <w:r>
        <w:rPr>
          <w:rFonts w:hint="eastAsia"/>
          <w:lang w:val="en-US" w:eastAsia="zh-CN"/>
        </w:rPr>
        <w:t>附件5 现场照片</w:t>
      </w:r>
      <w:bookmarkEnd w:id="215"/>
    </w:p>
    <w:p>
      <w:pPr>
        <w:rPr>
          <w:rFonts w:hint="default"/>
          <w:lang w:val="en-US" w:eastAsia="zh-CN"/>
        </w:rPr>
      </w:pPr>
      <w:r>
        <w:rPr>
          <w:rFonts w:hint="default"/>
          <w:lang w:val="en-US" w:eastAsia="zh-CN"/>
        </w:rPr>
        <w:drawing>
          <wp:inline distT="0" distB="0" distL="114300" distR="114300">
            <wp:extent cx="4559935" cy="3420110"/>
            <wp:effectExtent l="0" t="0" r="12065" b="8890"/>
            <wp:docPr id="2" name="图片 2" descr="微信图片_2023072716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7160409"/>
                    <pic:cNvPicPr>
                      <a:picLocks noChangeAspect="1"/>
                    </pic:cNvPicPr>
                  </pic:nvPicPr>
                  <pic:blipFill>
                    <a:blip r:embed="rId7"/>
                    <a:stretch>
                      <a:fillRect/>
                    </a:stretch>
                  </pic:blipFill>
                  <pic:spPr>
                    <a:xfrm>
                      <a:off x="0" y="0"/>
                      <a:ext cx="4559935" cy="3420110"/>
                    </a:xfrm>
                    <a:prstGeom prst="rect">
                      <a:avLst/>
                    </a:prstGeom>
                  </pic:spPr>
                </pic:pic>
              </a:graphicData>
            </a:graphic>
          </wp:inline>
        </w:drawing>
      </w:r>
      <w:r>
        <w:rPr>
          <w:rFonts w:hint="default"/>
          <w:lang w:val="en-US" w:eastAsia="zh-CN"/>
        </w:rPr>
        <w:drawing>
          <wp:inline distT="0" distB="0" distL="114300" distR="114300">
            <wp:extent cx="4563110" cy="3422650"/>
            <wp:effectExtent l="0" t="0" r="8890" b="6350"/>
            <wp:docPr id="3" name="图片 3" descr="微信图片_20230727160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7160426"/>
                    <pic:cNvPicPr>
                      <a:picLocks noChangeAspect="1"/>
                    </pic:cNvPicPr>
                  </pic:nvPicPr>
                  <pic:blipFill>
                    <a:blip r:embed="rId8"/>
                    <a:stretch>
                      <a:fillRect/>
                    </a:stretch>
                  </pic:blipFill>
                  <pic:spPr>
                    <a:xfrm>
                      <a:off x="0" y="0"/>
                      <a:ext cx="4563110" cy="34226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方正仿宋_GBK" w:hAnsi="方正仿宋_GBK" w:eastAsia="方正仿宋_GBK" w:cs="方正仿宋_GBK"/>
          <w:kern w:val="16959"/>
          <w:sz w:val="32"/>
          <w:szCs w:val="32"/>
          <w:highlight w:val="none"/>
          <w:lang w:val="en-US" w:eastAsia="zh-CN"/>
        </w:rPr>
      </w:pPr>
    </w:p>
    <w:sectPr>
      <w:pgSz w:w="11906" w:h="16838"/>
      <w:pgMar w:top="1984"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9AC0A"/>
    <w:multiLevelType w:val="singleLevel"/>
    <w:tmpl w:val="B089AC0A"/>
    <w:lvl w:ilvl="0" w:tentative="0">
      <w:start w:val="5"/>
      <w:numFmt w:val="decimal"/>
      <w:suff w:val="nothing"/>
      <w:lvlText w:val="（%1）"/>
      <w:lvlJc w:val="left"/>
    </w:lvl>
  </w:abstractNum>
  <w:abstractNum w:abstractNumId="1">
    <w:nsid w:val="B53E0ABF"/>
    <w:multiLevelType w:val="singleLevel"/>
    <w:tmpl w:val="B53E0ABF"/>
    <w:lvl w:ilvl="0" w:tentative="0">
      <w:start w:val="3"/>
      <w:numFmt w:val="chineseCounting"/>
      <w:suff w:val="nothing"/>
      <w:lvlText w:val="%1、"/>
      <w:lvlJc w:val="left"/>
      <w:rPr>
        <w:rFonts w:hint="eastAsia"/>
      </w:rPr>
    </w:lvl>
  </w:abstractNum>
  <w:abstractNum w:abstractNumId="2">
    <w:nsid w:val="D631050B"/>
    <w:multiLevelType w:val="singleLevel"/>
    <w:tmpl w:val="D631050B"/>
    <w:lvl w:ilvl="0" w:tentative="0">
      <w:start w:val="5"/>
      <w:numFmt w:val="chineseCounting"/>
      <w:suff w:val="nothing"/>
      <w:lvlText w:val="%1、"/>
      <w:lvlJc w:val="left"/>
      <w:rPr>
        <w:rFonts w:hint="eastAsia"/>
      </w:rPr>
    </w:lvl>
  </w:abstractNum>
  <w:abstractNum w:abstractNumId="3">
    <w:nsid w:val="D8178033"/>
    <w:multiLevelType w:val="singleLevel"/>
    <w:tmpl w:val="D8178033"/>
    <w:lvl w:ilvl="0" w:tentative="0">
      <w:start w:val="2"/>
      <w:numFmt w:val="decimal"/>
      <w:suff w:val="nothing"/>
      <w:lvlText w:val="（%1）"/>
      <w:lvlJc w:val="left"/>
    </w:lvl>
  </w:abstractNum>
  <w:abstractNum w:abstractNumId="4">
    <w:nsid w:val="0000000E"/>
    <w:multiLevelType w:val="singleLevel"/>
    <w:tmpl w:val="0000000E"/>
    <w:lvl w:ilvl="0" w:tentative="0">
      <w:start w:val="2"/>
      <w:numFmt w:val="chineseCounting"/>
      <w:suff w:val="nothing"/>
      <w:lvlText w:val="%1、"/>
      <w:lvlJc w:val="left"/>
      <w:rPr>
        <w:rFonts w:hint="eastAsia"/>
      </w:rPr>
    </w:lvl>
  </w:abstractNum>
  <w:abstractNum w:abstractNumId="5">
    <w:nsid w:val="625AC23A"/>
    <w:multiLevelType w:val="singleLevel"/>
    <w:tmpl w:val="625AC23A"/>
    <w:lvl w:ilvl="0" w:tentative="0">
      <w:start w:val="1"/>
      <w:numFmt w:val="chineseCounting"/>
      <w:suff w:val="nothing"/>
      <w:lvlText w:val="%1、"/>
      <w:lvlJc w:val="left"/>
      <w:rPr>
        <w:rFonts w:hint="eastAsia"/>
      </w:rPr>
    </w:lvl>
  </w:abstractNum>
  <w:abstractNum w:abstractNumId="6">
    <w:nsid w:val="7F63E697"/>
    <w:multiLevelType w:val="singleLevel"/>
    <w:tmpl w:val="7F63E697"/>
    <w:lvl w:ilvl="0" w:tentative="0">
      <w:start w:val="2"/>
      <w:numFmt w:val="decimal"/>
      <w:suff w:val="nothing"/>
      <w:lvlText w:val="（%1）"/>
      <w:lvlJc w:val="left"/>
    </w:lvl>
  </w:abstractNum>
  <w:num w:numId="1">
    <w:abstractNumId w:val="1"/>
  </w:num>
  <w:num w:numId="2">
    <w:abstractNumId w:val="5"/>
  </w:num>
  <w:num w:numId="3">
    <w:abstractNumId w:val="6"/>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WE1ZWEwMGYzYjg5MzkxZDdjM2JkZjk3ODEyNjgifQ=="/>
  </w:docVars>
  <w:rsids>
    <w:rsidRoot w:val="00172A27"/>
    <w:rsid w:val="0009528B"/>
    <w:rsid w:val="00484FB8"/>
    <w:rsid w:val="011A722F"/>
    <w:rsid w:val="01B05C39"/>
    <w:rsid w:val="02105DD0"/>
    <w:rsid w:val="03080E21"/>
    <w:rsid w:val="033075C3"/>
    <w:rsid w:val="034C027D"/>
    <w:rsid w:val="03FE4988"/>
    <w:rsid w:val="06930D7E"/>
    <w:rsid w:val="07115897"/>
    <w:rsid w:val="07294C54"/>
    <w:rsid w:val="0752557C"/>
    <w:rsid w:val="07F7033B"/>
    <w:rsid w:val="07F72071"/>
    <w:rsid w:val="081163FE"/>
    <w:rsid w:val="08A656C3"/>
    <w:rsid w:val="08FF6B9F"/>
    <w:rsid w:val="09084FC2"/>
    <w:rsid w:val="090A0E7A"/>
    <w:rsid w:val="095062B8"/>
    <w:rsid w:val="096D482A"/>
    <w:rsid w:val="098C1C87"/>
    <w:rsid w:val="09D75580"/>
    <w:rsid w:val="0B2A6CAD"/>
    <w:rsid w:val="0BEC5E22"/>
    <w:rsid w:val="0CA041F5"/>
    <w:rsid w:val="0D664963"/>
    <w:rsid w:val="0DA622D0"/>
    <w:rsid w:val="0E237C7E"/>
    <w:rsid w:val="0ECD63AC"/>
    <w:rsid w:val="101B392F"/>
    <w:rsid w:val="103709CC"/>
    <w:rsid w:val="12AB4977"/>
    <w:rsid w:val="1360359A"/>
    <w:rsid w:val="13C5449C"/>
    <w:rsid w:val="14357107"/>
    <w:rsid w:val="14EB01B5"/>
    <w:rsid w:val="15E77EBE"/>
    <w:rsid w:val="175903CD"/>
    <w:rsid w:val="18215CF1"/>
    <w:rsid w:val="1830156D"/>
    <w:rsid w:val="183462C2"/>
    <w:rsid w:val="19A82207"/>
    <w:rsid w:val="1A33377D"/>
    <w:rsid w:val="1A703458"/>
    <w:rsid w:val="1A9133CF"/>
    <w:rsid w:val="1AAD40F3"/>
    <w:rsid w:val="1B2D47A1"/>
    <w:rsid w:val="1B7900EB"/>
    <w:rsid w:val="1CD820E9"/>
    <w:rsid w:val="1DA02141"/>
    <w:rsid w:val="1DA62EFB"/>
    <w:rsid w:val="1DE73AA4"/>
    <w:rsid w:val="1F701025"/>
    <w:rsid w:val="1FFC12C1"/>
    <w:rsid w:val="204B2925"/>
    <w:rsid w:val="207B5E77"/>
    <w:rsid w:val="20FC5613"/>
    <w:rsid w:val="2150587C"/>
    <w:rsid w:val="22124C68"/>
    <w:rsid w:val="23101F65"/>
    <w:rsid w:val="238B0FBD"/>
    <w:rsid w:val="239A7550"/>
    <w:rsid w:val="23D9697F"/>
    <w:rsid w:val="23EA111F"/>
    <w:rsid w:val="248B1EF8"/>
    <w:rsid w:val="2747736E"/>
    <w:rsid w:val="27541C89"/>
    <w:rsid w:val="27A50FDC"/>
    <w:rsid w:val="28291B9F"/>
    <w:rsid w:val="286E4D4F"/>
    <w:rsid w:val="29B512F8"/>
    <w:rsid w:val="2A9F16CA"/>
    <w:rsid w:val="2ADF0510"/>
    <w:rsid w:val="2CA60F5C"/>
    <w:rsid w:val="2E260DAD"/>
    <w:rsid w:val="2EC87977"/>
    <w:rsid w:val="304E4FB8"/>
    <w:rsid w:val="30B3070E"/>
    <w:rsid w:val="31280191"/>
    <w:rsid w:val="31373962"/>
    <w:rsid w:val="314E3171"/>
    <w:rsid w:val="316A07AA"/>
    <w:rsid w:val="34DD524A"/>
    <w:rsid w:val="34F32DBD"/>
    <w:rsid w:val="35581E6A"/>
    <w:rsid w:val="35B34FFA"/>
    <w:rsid w:val="36620DA4"/>
    <w:rsid w:val="389C3213"/>
    <w:rsid w:val="38FB0C92"/>
    <w:rsid w:val="39303765"/>
    <w:rsid w:val="393247DF"/>
    <w:rsid w:val="39736669"/>
    <w:rsid w:val="3A785CD7"/>
    <w:rsid w:val="3AAD6ADC"/>
    <w:rsid w:val="3BC35686"/>
    <w:rsid w:val="3C544530"/>
    <w:rsid w:val="3D695D73"/>
    <w:rsid w:val="3DBB1110"/>
    <w:rsid w:val="3F9E0B06"/>
    <w:rsid w:val="400A1827"/>
    <w:rsid w:val="415B68D6"/>
    <w:rsid w:val="42666D6B"/>
    <w:rsid w:val="431C40E9"/>
    <w:rsid w:val="431E4B47"/>
    <w:rsid w:val="43FA13EB"/>
    <w:rsid w:val="45DF066E"/>
    <w:rsid w:val="46792CB1"/>
    <w:rsid w:val="472D42A0"/>
    <w:rsid w:val="479C5D59"/>
    <w:rsid w:val="47B867D7"/>
    <w:rsid w:val="48CA3DEB"/>
    <w:rsid w:val="490A6BD4"/>
    <w:rsid w:val="4A08544C"/>
    <w:rsid w:val="4A944660"/>
    <w:rsid w:val="4C39104D"/>
    <w:rsid w:val="4C8E5B7B"/>
    <w:rsid w:val="4DF731F5"/>
    <w:rsid w:val="4F242C3C"/>
    <w:rsid w:val="4F720F75"/>
    <w:rsid w:val="516816BA"/>
    <w:rsid w:val="51B61E40"/>
    <w:rsid w:val="51C8773E"/>
    <w:rsid w:val="51DB53E6"/>
    <w:rsid w:val="51E06EA3"/>
    <w:rsid w:val="531E2D4A"/>
    <w:rsid w:val="556F09A2"/>
    <w:rsid w:val="55CE7999"/>
    <w:rsid w:val="55E31818"/>
    <w:rsid w:val="57C24FF8"/>
    <w:rsid w:val="583B296E"/>
    <w:rsid w:val="58593888"/>
    <w:rsid w:val="58E131D9"/>
    <w:rsid w:val="597C28D6"/>
    <w:rsid w:val="5A326A54"/>
    <w:rsid w:val="5A740E30"/>
    <w:rsid w:val="5B637E94"/>
    <w:rsid w:val="5B9D5C24"/>
    <w:rsid w:val="5C0B0894"/>
    <w:rsid w:val="5C857CA0"/>
    <w:rsid w:val="5CA22128"/>
    <w:rsid w:val="5D875E5B"/>
    <w:rsid w:val="5DDC5CDC"/>
    <w:rsid w:val="5E451AD3"/>
    <w:rsid w:val="5F997AEF"/>
    <w:rsid w:val="5FA36AB1"/>
    <w:rsid w:val="60143820"/>
    <w:rsid w:val="602D0101"/>
    <w:rsid w:val="60635627"/>
    <w:rsid w:val="609F0766"/>
    <w:rsid w:val="60FD6DB5"/>
    <w:rsid w:val="61D36F64"/>
    <w:rsid w:val="632E6FDA"/>
    <w:rsid w:val="632F0FCE"/>
    <w:rsid w:val="638135AD"/>
    <w:rsid w:val="64CC6AAA"/>
    <w:rsid w:val="661A08EE"/>
    <w:rsid w:val="66B8024E"/>
    <w:rsid w:val="67C06EF6"/>
    <w:rsid w:val="68D04185"/>
    <w:rsid w:val="69C22D75"/>
    <w:rsid w:val="6AFF53AE"/>
    <w:rsid w:val="6B39453A"/>
    <w:rsid w:val="6B3C7DBA"/>
    <w:rsid w:val="6CDC5023"/>
    <w:rsid w:val="6D610668"/>
    <w:rsid w:val="6D6B6D40"/>
    <w:rsid w:val="6DAA1953"/>
    <w:rsid w:val="6E15761E"/>
    <w:rsid w:val="6E33236B"/>
    <w:rsid w:val="6ECC1872"/>
    <w:rsid w:val="6EF74861"/>
    <w:rsid w:val="6F0A1F5C"/>
    <w:rsid w:val="71CD3E4B"/>
    <w:rsid w:val="71D306A5"/>
    <w:rsid w:val="727D0187"/>
    <w:rsid w:val="737723C3"/>
    <w:rsid w:val="73EA229D"/>
    <w:rsid w:val="74C563AE"/>
    <w:rsid w:val="74D57E88"/>
    <w:rsid w:val="74EA2DFC"/>
    <w:rsid w:val="751F6DAB"/>
    <w:rsid w:val="753F64B1"/>
    <w:rsid w:val="75AC5846"/>
    <w:rsid w:val="75F27DCE"/>
    <w:rsid w:val="763F36B3"/>
    <w:rsid w:val="771F2678"/>
    <w:rsid w:val="785E65EB"/>
    <w:rsid w:val="7A4C7EB8"/>
    <w:rsid w:val="7BBE7D5C"/>
    <w:rsid w:val="7C127041"/>
    <w:rsid w:val="7CB6795D"/>
    <w:rsid w:val="7CD35C18"/>
    <w:rsid w:val="7E8E5CA9"/>
    <w:rsid w:val="7EDC77F0"/>
    <w:rsid w:val="7FEC7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Calibri" w:hAnsi="Calibri" w:eastAsia="宋体" w:cs="Times New Roman"/>
      <w:kern w:val="0"/>
      <w:sz w:val="24"/>
      <w:szCs w:val="24"/>
      <w:lang w:val="en-US" w:eastAsia="zh-CN" w:bidi="ar"/>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3">
    <w:name w:val="heading 2"/>
    <w:basedOn w:val="1"/>
    <w:next w:val="1"/>
    <w:qFormat/>
    <w:uiPriority w:val="0"/>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unhideWhenUsed/>
    <w:qFormat/>
    <w:uiPriority w:val="99"/>
    <w:rPr>
      <w:rFonts w:ascii="Calibri" w:hAnsi="Calibri" w:cs="Times New Roman"/>
      <w:kern w:val="0"/>
      <w:sz w:val="20"/>
      <w:szCs w:val="20"/>
    </w:rPr>
  </w:style>
  <w:style w:type="paragraph" w:styleId="6">
    <w:name w:val="index 6"/>
    <w:basedOn w:val="1"/>
    <w:next w:val="1"/>
    <w:qFormat/>
    <w:uiPriority w:val="0"/>
    <w:pPr>
      <w:ind w:left="1000" w:leftChars="1000"/>
    </w:pPr>
    <w:rPr>
      <w:rFonts w:hint="eastAsia"/>
    </w:rPr>
  </w:style>
  <w:style w:type="paragraph" w:styleId="7">
    <w:name w:val="toc 3"/>
    <w:basedOn w:val="1"/>
    <w:next w:val="1"/>
    <w:qFormat/>
    <w:uiPriority w:val="0"/>
    <w:pPr>
      <w:ind w:left="840" w:leftChars="400"/>
    </w:pPr>
  </w:style>
  <w:style w:type="paragraph" w:styleId="8">
    <w:name w:val="Body Text Indent 2"/>
    <w:basedOn w:val="1"/>
    <w:qFormat/>
    <w:uiPriority w:val="0"/>
    <w:pPr>
      <w:ind w:firstLine="280"/>
    </w:pPr>
    <w:rPr>
      <w:rFonts w:ascii="仿宋_GB2312" w:hAnsi="仿宋_GB2312" w:eastAsia="仿宋_GB2312"/>
      <w:kern w:val="1"/>
      <w:sz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Title"/>
    <w:basedOn w:val="1"/>
    <w:next w:val="1"/>
    <w:qFormat/>
    <w:uiPriority w:val="10"/>
    <w:pPr>
      <w:widowControl/>
      <w:spacing w:before="240" w:after="60"/>
      <w:jc w:val="center"/>
      <w:outlineLvl w:val="0"/>
    </w:pPr>
    <w:rPr>
      <w:rFonts w:ascii="Calibri Light" w:hAnsi="Calibri Light" w:eastAsia="宋体"/>
      <w:b/>
      <w:bCs/>
      <w:kern w:val="28"/>
      <w:sz w:val="32"/>
      <w:szCs w:val="32"/>
    </w:rPr>
  </w:style>
  <w:style w:type="character" w:customStyle="1" w:styleId="16">
    <w:name w:val="NormalCharacter"/>
    <w:semiHidden/>
    <w:qFormat/>
    <w:uiPriority w:val="0"/>
    <w:rPr>
      <w:rFonts w:ascii="Calibri" w:hAnsi="Calibri" w:eastAsia="宋体" w:cs="Times New Roman"/>
      <w:kern w:val="0"/>
      <w:sz w:val="24"/>
      <w:szCs w:val="24"/>
      <w:lang w:val="en-US" w:eastAsia="zh-CN" w:bidi="ar"/>
    </w:rPr>
  </w:style>
  <w:style w:type="paragraph" w:customStyle="1" w:styleId="17">
    <w:name w:val="Body text|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paragraph" w:customStyle="1" w:styleId="18">
    <w:name w:val="GB正文"/>
    <w:basedOn w:val="1"/>
    <w:qFormat/>
    <w:uiPriority w:val="0"/>
    <w:pPr>
      <w:spacing w:line="590" w:lineRule="exact"/>
      <w:ind w:firstLine="707" w:firstLineChars="221"/>
    </w:pPr>
    <w:rPr>
      <w:rFonts w:ascii="仿宋_GB2312" w:hAnsi="Times New Roman" w:eastAsia="仿宋_GB2312"/>
      <w:color w:val="000000"/>
      <w:spacing w:val="6"/>
      <w:sz w:val="32"/>
      <w:szCs w:val="32"/>
    </w:rPr>
  </w:style>
  <w:style w:type="paragraph" w:customStyle="1" w:styleId="19">
    <w:name w:val="黑体1"/>
    <w:basedOn w:val="1"/>
    <w:qFormat/>
    <w:uiPriority w:val="0"/>
    <w:pPr>
      <w:widowControl/>
      <w:overflowPunct w:val="0"/>
      <w:autoSpaceDE w:val="0"/>
      <w:autoSpaceDN w:val="0"/>
      <w:adjustRightInd w:val="0"/>
      <w:spacing w:line="560" w:lineRule="exact"/>
      <w:ind w:firstLine="803" w:firstLineChars="250"/>
      <w:textAlignment w:val="baseline"/>
    </w:pPr>
    <w:rPr>
      <w:rFonts w:ascii="黑体" w:hAnsi="黑体" w:eastAsia="黑体"/>
      <w:b/>
      <w:kern w:val="0"/>
      <w:sz w:val="32"/>
      <w:szCs w:val="28"/>
    </w:rPr>
  </w:style>
  <w:style w:type="paragraph" w:customStyle="1" w:styleId="20">
    <w:name w:val="闻政正文"/>
    <w:basedOn w:val="1"/>
    <w:qFormat/>
    <w:uiPriority w:val="0"/>
    <w:pPr>
      <w:spacing w:line="500" w:lineRule="exact"/>
      <w:ind w:firstLine="883" w:firstLineChars="200"/>
    </w:pPr>
    <w:rPr>
      <w:rFonts w:ascii="Times New Roman" w:hAnsi="Times New Roman" w:eastAsia="仿宋_GB2312"/>
      <w:kern w:val="0"/>
      <w:sz w:val="28"/>
      <w:szCs w:val="28"/>
    </w:rPr>
  </w:style>
  <w:style w:type="paragraph" w:customStyle="1" w:styleId="21">
    <w:name w:val="列出段落1"/>
    <w:basedOn w:val="1"/>
    <w:qFormat/>
    <w:uiPriority w:val="0"/>
    <w:pPr>
      <w:ind w:firstLine="420" w:firstLineChars="200"/>
    </w:pPr>
  </w:style>
  <w:style w:type="character" w:customStyle="1" w:styleId="22">
    <w:name w:val="font41"/>
    <w:basedOn w:val="15"/>
    <w:qFormat/>
    <w:uiPriority w:val="0"/>
    <w:rPr>
      <w:rFonts w:hint="default" w:ascii="Times New Roman" w:hAnsi="Times New Roman" w:cs="Times New Roman"/>
      <w:color w:val="000000"/>
      <w:sz w:val="22"/>
      <w:szCs w:val="22"/>
      <w:u w:val="none"/>
    </w:rPr>
  </w:style>
  <w:style w:type="character" w:customStyle="1" w:styleId="23">
    <w:name w:val="font31"/>
    <w:basedOn w:val="15"/>
    <w:qFormat/>
    <w:uiPriority w:val="0"/>
    <w:rPr>
      <w:rFonts w:hint="eastAsia" w:ascii="仿宋" w:hAnsi="仿宋" w:eastAsia="仿宋" w:cs="仿宋"/>
      <w:color w:val="000000"/>
      <w:sz w:val="22"/>
      <w:szCs w:val="22"/>
      <w:u w:val="none"/>
    </w:rPr>
  </w:style>
  <w:style w:type="paragraph" w:customStyle="1" w:styleId="24">
    <w:name w:val="列表段落1"/>
    <w:basedOn w:val="1"/>
    <w:qFormat/>
    <w:uiPriority w:val="34"/>
    <w:pPr>
      <w:ind w:firstLine="420" w:firstLineChars="200"/>
    </w:pPr>
  </w:style>
  <w:style w:type="paragraph" w:customStyle="1" w:styleId="25">
    <w:name w:val="闻政-正文段落文字"/>
    <w:basedOn w:val="1"/>
    <w:qFormat/>
    <w:uiPriority w:val="3"/>
    <w:pPr>
      <w:spacing w:line="500" w:lineRule="exact"/>
      <w:ind w:firstLine="200"/>
    </w:pPr>
    <w:rPr>
      <w:rFonts w:cs="Times New Roman"/>
      <w:kern w:val="0"/>
      <w:szCs w:val="28"/>
    </w:rPr>
  </w:style>
  <w:style w:type="paragraph" w:customStyle="1" w:styleId="26">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27">
    <w:name w:val="WPSOffice手动目录 1"/>
    <w:qFormat/>
    <w:uiPriority w:val="0"/>
    <w:pPr>
      <w:ind w:leftChars="0"/>
    </w:pPr>
    <w:rPr>
      <w:rFonts w:ascii="Times New Roman" w:hAnsi="Times New Roman" w:eastAsia="宋体" w:cs="Times New Roman"/>
      <w:sz w:val="20"/>
      <w:szCs w:val="20"/>
    </w:rPr>
  </w:style>
  <w:style w:type="paragraph" w:customStyle="1" w:styleId="28">
    <w:name w:val="WPSOffice手动目录 2"/>
    <w:qFormat/>
    <w:uiPriority w:val="0"/>
    <w:pPr>
      <w:ind w:leftChars="200"/>
    </w:pPr>
    <w:rPr>
      <w:rFonts w:ascii="Times New Roman" w:hAnsi="Times New Roman" w:eastAsia="宋体" w:cs="Times New Roman"/>
      <w:sz w:val="20"/>
      <w:szCs w:val="20"/>
    </w:rPr>
  </w:style>
  <w:style w:type="paragraph" w:customStyle="1" w:styleId="29">
    <w:name w:val="闻政-正文二级标题"/>
    <w:basedOn w:val="3"/>
    <w:next w:val="25"/>
    <w:qFormat/>
    <w:uiPriority w:val="3"/>
    <w:pPr>
      <w:spacing w:before="120" w:after="60" w:line="500" w:lineRule="exact"/>
      <w:ind w:left="200" w:leftChars="200" w:firstLine="0" w:firstLineChars="0"/>
    </w:pPr>
    <w:rPr>
      <w:rFonts w:ascii="Times New Roman" w:hAnsi="Times New Roman"/>
      <w:sz w:val="28"/>
    </w:rPr>
  </w:style>
  <w:style w:type="paragraph" w:styleId="30">
    <w:name w:val="List Paragraph"/>
    <w:basedOn w:val="1"/>
    <w:qFormat/>
    <w:uiPriority w:val="34"/>
    <w:pPr>
      <w:ind w:firstLine="420"/>
    </w:p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e67477-e984-4aae-8cfc-d5279f226ebb}"/>
        <w:style w:val=""/>
        <w:category>
          <w:name w:val="常规"/>
          <w:gallery w:val="placeholder"/>
        </w:category>
        <w:types>
          <w:type w:val="bbPlcHdr"/>
        </w:types>
        <w:behaviors>
          <w:behavior w:val="content"/>
        </w:behaviors>
        <w:description w:val=""/>
        <w:guid w:val="{eae67477-e984-4aae-8cfc-d5279f226ebb}"/>
      </w:docPartPr>
      <w:docPartBody>
        <w:p>
          <w:r>
            <w:rPr>
              <w:color w:val="808080"/>
            </w:rPr>
            <w:t>单击此处输入文字。</w:t>
          </w:r>
        </w:p>
      </w:docPartBody>
    </w:docPart>
    <w:docPart>
      <w:docPartPr>
        <w:name w:val="{95a93f5a-eb79-46a4-b784-ab5f6db06c66}"/>
        <w:style w:val=""/>
        <w:category>
          <w:name w:val="常规"/>
          <w:gallery w:val="placeholder"/>
        </w:category>
        <w:types>
          <w:type w:val="bbPlcHdr"/>
        </w:types>
        <w:behaviors>
          <w:behavior w:val="content"/>
        </w:behaviors>
        <w:description w:val=""/>
        <w:guid w:val="{95a93f5a-eb79-46a4-b784-ab5f6db06c66}"/>
      </w:docPartPr>
      <w:docPartBody>
        <w:p>
          <w:r>
            <w:rPr>
              <w:color w:val="808080"/>
            </w:rPr>
            <w:t>单击此处输入文字。</w:t>
          </w:r>
        </w:p>
      </w:docPartBody>
    </w:docPart>
    <w:docPart>
      <w:docPartPr>
        <w:name w:val="{f088ae92-0b93-4c9b-90d4-7f988475c15b}"/>
        <w:style w:val=""/>
        <w:category>
          <w:name w:val="常规"/>
          <w:gallery w:val="placeholder"/>
        </w:category>
        <w:types>
          <w:type w:val="bbPlcHdr"/>
        </w:types>
        <w:behaviors>
          <w:behavior w:val="content"/>
        </w:behaviors>
        <w:description w:val=""/>
        <w:guid w:val="{f088ae92-0b93-4c9b-90d4-7f988475c15b}"/>
      </w:docPartPr>
      <w:docPartBody>
        <w:p>
          <w:r>
            <w:rPr>
              <w:color w:val="808080"/>
            </w:rPr>
            <w:t>单击此处输入文字。</w:t>
          </w:r>
        </w:p>
      </w:docPartBody>
    </w:docPart>
    <w:docPart>
      <w:docPartPr>
        <w:name w:val="{eb97e737-793a-442a-9f7f-26943b08fb5e}"/>
        <w:style w:val=""/>
        <w:category>
          <w:name w:val="常规"/>
          <w:gallery w:val="placeholder"/>
        </w:category>
        <w:types>
          <w:type w:val="bbPlcHdr"/>
        </w:types>
        <w:behaviors>
          <w:behavior w:val="content"/>
        </w:behaviors>
        <w:description w:val=""/>
        <w:guid w:val="{eb97e737-793a-442a-9f7f-26943b08fb5e}"/>
      </w:docPartPr>
      <w:docPartBody>
        <w:p>
          <w:r>
            <w:rPr>
              <w:color w:val="808080"/>
            </w:rPr>
            <w:t>单击此处输入文字。</w:t>
          </w:r>
        </w:p>
      </w:docPartBody>
    </w:docPart>
    <w:docPart>
      <w:docPartPr>
        <w:name w:val="{7a708c39-d0e9-4408-ad46-707a2eaf804c}"/>
        <w:style w:val=""/>
        <w:category>
          <w:name w:val="常规"/>
          <w:gallery w:val="placeholder"/>
        </w:category>
        <w:types>
          <w:type w:val="bbPlcHdr"/>
        </w:types>
        <w:behaviors>
          <w:behavior w:val="content"/>
        </w:behaviors>
        <w:description w:val=""/>
        <w:guid w:val="{7a708c39-d0e9-4408-ad46-707a2eaf804c}"/>
      </w:docPartPr>
      <w:docPartBody>
        <w:p>
          <w:r>
            <w:rPr>
              <w:color w:val="808080"/>
            </w:rPr>
            <w:t>单击此处输入文字。</w:t>
          </w:r>
        </w:p>
      </w:docPartBody>
    </w:docPart>
    <w:docPart>
      <w:docPartPr>
        <w:name w:val="{25d622b2-d8c6-4e45-be2f-2832c11e56ec}"/>
        <w:style w:val=""/>
        <w:category>
          <w:name w:val="常规"/>
          <w:gallery w:val="placeholder"/>
        </w:category>
        <w:types>
          <w:type w:val="bbPlcHdr"/>
        </w:types>
        <w:behaviors>
          <w:behavior w:val="content"/>
        </w:behaviors>
        <w:description w:val=""/>
        <w:guid w:val="{25d622b2-d8c6-4e45-be2f-2832c11e56ec}"/>
      </w:docPartPr>
      <w:docPartBody>
        <w:p>
          <w:r>
            <w:rPr>
              <w:color w:val="808080"/>
            </w:rPr>
            <w:t>单击此处输入文字。</w:t>
          </w:r>
        </w:p>
      </w:docPartBody>
    </w:docPart>
    <w:docPart>
      <w:docPartPr>
        <w:name w:val="{0b0dfa86-6503-457b-85fb-bec7693b7af4}"/>
        <w:style w:val=""/>
        <w:category>
          <w:name w:val="常规"/>
          <w:gallery w:val="placeholder"/>
        </w:category>
        <w:types>
          <w:type w:val="bbPlcHdr"/>
        </w:types>
        <w:behaviors>
          <w:behavior w:val="content"/>
        </w:behaviors>
        <w:description w:val=""/>
        <w:guid w:val="{0b0dfa86-6503-457b-85fb-bec7693b7af4}"/>
      </w:docPartPr>
      <w:docPartBody>
        <w:p>
          <w:r>
            <w:rPr>
              <w:color w:val="808080"/>
            </w:rPr>
            <w:t>单击此处输入文字。</w:t>
          </w:r>
        </w:p>
      </w:docPartBody>
    </w:docPart>
    <w:docPart>
      <w:docPartPr>
        <w:name w:val="{dccf819d-4d71-478f-9ec6-a328e56466ee}"/>
        <w:style w:val=""/>
        <w:category>
          <w:name w:val="常规"/>
          <w:gallery w:val="placeholder"/>
        </w:category>
        <w:types>
          <w:type w:val="bbPlcHdr"/>
        </w:types>
        <w:behaviors>
          <w:behavior w:val="content"/>
        </w:behaviors>
        <w:description w:val=""/>
        <w:guid w:val="{dccf819d-4d71-478f-9ec6-a328e56466ee}"/>
      </w:docPartPr>
      <w:docPartBody>
        <w:p>
          <w:r>
            <w:rPr>
              <w:color w:val="808080"/>
            </w:rPr>
            <w:t>单击此处输入文字。</w:t>
          </w:r>
        </w:p>
      </w:docPartBody>
    </w:docPart>
    <w:docPart>
      <w:docPartPr>
        <w:name w:val="{2524a66f-c3c9-4dea-bf83-5b1cd262dad1}"/>
        <w:style w:val=""/>
        <w:category>
          <w:name w:val="常规"/>
          <w:gallery w:val="placeholder"/>
        </w:category>
        <w:types>
          <w:type w:val="bbPlcHdr"/>
        </w:types>
        <w:behaviors>
          <w:behavior w:val="content"/>
        </w:behaviors>
        <w:description w:val=""/>
        <w:guid w:val="{2524a66f-c3c9-4dea-bf83-5b1cd262dad1}"/>
      </w:docPartPr>
      <w:docPartBody>
        <w:p>
          <w:r>
            <w:rPr>
              <w:color w:val="808080"/>
            </w:rPr>
            <w:t>单击此处输入文字。</w:t>
          </w:r>
        </w:p>
      </w:docPartBody>
    </w:docPart>
    <w:docPart>
      <w:docPartPr>
        <w:name w:val="{49611c27-93ba-4f15-924c-74906c35b384}"/>
        <w:style w:val=""/>
        <w:category>
          <w:name w:val="常规"/>
          <w:gallery w:val="placeholder"/>
        </w:category>
        <w:types>
          <w:type w:val="bbPlcHdr"/>
        </w:types>
        <w:behaviors>
          <w:behavior w:val="content"/>
        </w:behaviors>
        <w:description w:val=""/>
        <w:guid w:val="{49611c27-93ba-4f15-924c-74906c35b384}"/>
      </w:docPartPr>
      <w:docPartBody>
        <w:p>
          <w:r>
            <w:rPr>
              <w:color w:val="808080"/>
            </w:rPr>
            <w:t>单击此处输入文字。</w:t>
          </w:r>
        </w:p>
      </w:docPartBody>
    </w:docPart>
    <w:docPart>
      <w:docPartPr>
        <w:name w:val="{f8a7dc80-89cd-4e07-982e-67df40d12693}"/>
        <w:style w:val=""/>
        <w:category>
          <w:name w:val="常规"/>
          <w:gallery w:val="placeholder"/>
        </w:category>
        <w:types>
          <w:type w:val="bbPlcHdr"/>
        </w:types>
        <w:behaviors>
          <w:behavior w:val="content"/>
        </w:behaviors>
        <w:description w:val=""/>
        <w:guid w:val="{f8a7dc80-89cd-4e07-982e-67df40d12693}"/>
      </w:docPartPr>
      <w:docPartBody>
        <w:p>
          <w:r>
            <w:rPr>
              <w:color w:val="808080"/>
            </w:rPr>
            <w:t>单击此处输入文字。</w:t>
          </w:r>
        </w:p>
      </w:docPartBody>
    </w:docPart>
    <w:docPart>
      <w:docPartPr>
        <w:name w:val="{def5fc1f-9237-49b6-9a7d-4286f2c03b5d}"/>
        <w:style w:val=""/>
        <w:category>
          <w:name w:val="常规"/>
          <w:gallery w:val="placeholder"/>
        </w:category>
        <w:types>
          <w:type w:val="bbPlcHdr"/>
        </w:types>
        <w:behaviors>
          <w:behavior w:val="content"/>
        </w:behaviors>
        <w:description w:val=""/>
        <w:guid w:val="{def5fc1f-9237-49b6-9a7d-4286f2c03b5d}"/>
      </w:docPartPr>
      <w:docPartBody>
        <w:p>
          <w:r>
            <w:rPr>
              <w:color w:val="808080"/>
            </w:rPr>
            <w:t>单击此处输入文字。</w:t>
          </w:r>
        </w:p>
      </w:docPartBody>
    </w:docPart>
    <w:docPart>
      <w:docPartPr>
        <w:name w:val="{eba05936-d550-4f3f-82f7-03e7d251f74c}"/>
        <w:style w:val=""/>
        <w:category>
          <w:name w:val="常规"/>
          <w:gallery w:val="placeholder"/>
        </w:category>
        <w:types>
          <w:type w:val="bbPlcHdr"/>
        </w:types>
        <w:behaviors>
          <w:behavior w:val="content"/>
        </w:behaviors>
        <w:description w:val=""/>
        <w:guid w:val="{eba05936-d550-4f3f-82f7-03e7d251f74c}"/>
      </w:docPartPr>
      <w:docPartBody>
        <w:p>
          <w:r>
            <w:rPr>
              <w:color w:val="808080"/>
            </w:rPr>
            <w:t>单击此处输入文字。</w:t>
          </w:r>
        </w:p>
      </w:docPartBody>
    </w:docPart>
    <w:docPart>
      <w:docPartPr>
        <w:name w:val="{0d5d5c88-6ffb-4232-96b0-618666a338d3}"/>
        <w:style w:val=""/>
        <w:category>
          <w:name w:val="常规"/>
          <w:gallery w:val="placeholder"/>
        </w:category>
        <w:types>
          <w:type w:val="bbPlcHdr"/>
        </w:types>
        <w:behaviors>
          <w:behavior w:val="content"/>
        </w:behaviors>
        <w:description w:val=""/>
        <w:guid w:val="{0d5d5c88-6ffb-4232-96b0-618666a338d3}"/>
      </w:docPartPr>
      <w:docPartBody>
        <w:p>
          <w:r>
            <w:rPr>
              <w:color w:val="808080"/>
            </w:rPr>
            <w:t>单击此处输入文字。</w:t>
          </w:r>
        </w:p>
      </w:docPartBody>
    </w:docPart>
    <w:docPart>
      <w:docPartPr>
        <w:name w:val="{244c48d7-26b6-4bf3-90bf-d4f27198f763}"/>
        <w:style w:val=""/>
        <w:category>
          <w:name w:val="常规"/>
          <w:gallery w:val="placeholder"/>
        </w:category>
        <w:types>
          <w:type w:val="bbPlcHdr"/>
        </w:types>
        <w:behaviors>
          <w:behavior w:val="content"/>
        </w:behaviors>
        <w:description w:val=""/>
        <w:guid w:val="{244c48d7-26b6-4bf3-90bf-d4f27198f763}"/>
      </w:docPartPr>
      <w:docPartBody>
        <w:p>
          <w:r>
            <w:rPr>
              <w:color w:val="808080"/>
            </w:rPr>
            <w:t>单击此处输入文字。</w:t>
          </w:r>
        </w:p>
      </w:docPartBody>
    </w:docPart>
    <w:docPart>
      <w:docPartPr>
        <w:name w:val="{6e9d4a84-8aa0-44fe-b991-6f8cad1aa8f5}"/>
        <w:style w:val=""/>
        <w:category>
          <w:name w:val="常规"/>
          <w:gallery w:val="placeholder"/>
        </w:category>
        <w:types>
          <w:type w:val="bbPlcHdr"/>
        </w:types>
        <w:behaviors>
          <w:behavior w:val="content"/>
        </w:behaviors>
        <w:description w:val=""/>
        <w:guid w:val="{6e9d4a84-8aa0-44fe-b991-6f8cad1aa8f5}"/>
      </w:docPartPr>
      <w:docPartBody>
        <w:p>
          <w:r>
            <w:rPr>
              <w:color w:val="808080"/>
            </w:rPr>
            <w:t>单击此处输入文字。</w:t>
          </w:r>
        </w:p>
      </w:docPartBody>
    </w:docPart>
    <w:docPart>
      <w:docPartPr>
        <w:name w:val="{f33e55d2-7981-485f-b4a8-8aea66f359d5}"/>
        <w:style w:val=""/>
        <w:category>
          <w:name w:val="常规"/>
          <w:gallery w:val="placeholder"/>
        </w:category>
        <w:types>
          <w:type w:val="bbPlcHdr"/>
        </w:types>
        <w:behaviors>
          <w:behavior w:val="content"/>
        </w:behaviors>
        <w:description w:val=""/>
        <w:guid w:val="{f33e55d2-7981-485f-b4a8-8aea66f359d5}"/>
      </w:docPartPr>
      <w:docPartBody>
        <w:p>
          <w:r>
            <w:rPr>
              <w:color w:val="808080"/>
            </w:rPr>
            <w:t>单击此处输入文字。</w:t>
          </w:r>
        </w:p>
      </w:docPartBody>
    </w:docPart>
    <w:docPart>
      <w:docPartPr>
        <w:name w:val="{86f99c4b-d48f-4992-820f-a70a633d4889}"/>
        <w:style w:val=""/>
        <w:category>
          <w:name w:val="常规"/>
          <w:gallery w:val="placeholder"/>
        </w:category>
        <w:types>
          <w:type w:val="bbPlcHdr"/>
        </w:types>
        <w:behaviors>
          <w:behavior w:val="content"/>
        </w:behaviors>
        <w:description w:val=""/>
        <w:guid w:val="{86f99c4b-d48f-4992-820f-a70a633d4889}"/>
      </w:docPartPr>
      <w:docPartBody>
        <w:p>
          <w:r>
            <w:rPr>
              <w:color w:val="808080"/>
            </w:rPr>
            <w:t>单击此处输入文字。</w:t>
          </w:r>
        </w:p>
      </w:docPartBody>
    </w:docPart>
    <w:docPart>
      <w:docPartPr>
        <w:name w:val="{b4970ab8-9504-49f3-868e-2cf566d2cc20}"/>
        <w:style w:val=""/>
        <w:category>
          <w:name w:val="常规"/>
          <w:gallery w:val="placeholder"/>
        </w:category>
        <w:types>
          <w:type w:val="bbPlcHdr"/>
        </w:types>
        <w:behaviors>
          <w:behavior w:val="content"/>
        </w:behaviors>
        <w:description w:val=""/>
        <w:guid w:val="{b4970ab8-9504-49f3-868e-2cf566d2cc20}"/>
      </w:docPartPr>
      <w:docPartBody>
        <w:p>
          <w:r>
            <w:rPr>
              <w:color w:val="808080"/>
            </w:rPr>
            <w:t>单击此处输入文字。</w:t>
          </w:r>
        </w:p>
      </w:docPartBody>
    </w:docPart>
    <w:docPart>
      <w:docPartPr>
        <w:name w:val="{645686a6-a1c3-413c-9468-9f17be91e372}"/>
        <w:style w:val=""/>
        <w:category>
          <w:name w:val="常规"/>
          <w:gallery w:val="placeholder"/>
        </w:category>
        <w:types>
          <w:type w:val="bbPlcHdr"/>
        </w:types>
        <w:behaviors>
          <w:behavior w:val="content"/>
        </w:behaviors>
        <w:description w:val=""/>
        <w:guid w:val="{645686a6-a1c3-413c-9468-9f17be91e372}"/>
      </w:docPartPr>
      <w:docPartBody>
        <w:p>
          <w:r>
            <w:rPr>
              <w:color w:val="808080"/>
            </w:rPr>
            <w:t>单击此处输入文字。</w:t>
          </w:r>
        </w:p>
      </w:docPartBody>
    </w:docPart>
    <w:docPart>
      <w:docPartPr>
        <w:name w:val="{b9186e7c-0663-4ec8-8f54-b31706a53ac6}"/>
        <w:style w:val=""/>
        <w:category>
          <w:name w:val="常规"/>
          <w:gallery w:val="placeholder"/>
        </w:category>
        <w:types>
          <w:type w:val="bbPlcHdr"/>
        </w:types>
        <w:behaviors>
          <w:behavior w:val="content"/>
        </w:behaviors>
        <w:description w:val=""/>
        <w:guid w:val="{b9186e7c-0663-4ec8-8f54-b31706a53ac6}"/>
      </w:docPartPr>
      <w:docPartBody>
        <w:p>
          <w:r>
            <w:rPr>
              <w:color w:val="808080"/>
            </w:rPr>
            <w:t>单击此处输入文字。</w:t>
          </w:r>
        </w:p>
      </w:docPartBody>
    </w:docPart>
    <w:docPart>
      <w:docPartPr>
        <w:name w:val="{4c1aa5f0-30b2-42e4-b227-9a15b6aa87a4}"/>
        <w:style w:val=""/>
        <w:category>
          <w:name w:val="常规"/>
          <w:gallery w:val="placeholder"/>
        </w:category>
        <w:types>
          <w:type w:val="bbPlcHdr"/>
        </w:types>
        <w:behaviors>
          <w:behavior w:val="content"/>
        </w:behaviors>
        <w:description w:val=""/>
        <w:guid w:val="{4c1aa5f0-30b2-42e4-b227-9a15b6aa87a4}"/>
      </w:docPartPr>
      <w:docPartBody>
        <w:p>
          <w:r>
            <w:rPr>
              <w:color w:val="808080"/>
            </w:rPr>
            <w:t>单击此处输入文字。</w:t>
          </w:r>
        </w:p>
      </w:docPartBody>
    </w:docPart>
    <w:docPart>
      <w:docPartPr>
        <w:name w:val="{f428c0d6-eb1f-409d-8641-f580737d1a60}"/>
        <w:style w:val=""/>
        <w:category>
          <w:name w:val="常规"/>
          <w:gallery w:val="placeholder"/>
        </w:category>
        <w:types>
          <w:type w:val="bbPlcHdr"/>
        </w:types>
        <w:behaviors>
          <w:behavior w:val="content"/>
        </w:behaviors>
        <w:description w:val=""/>
        <w:guid w:val="{f428c0d6-eb1f-409d-8641-f580737d1a60}"/>
      </w:docPartPr>
      <w:docPartBody>
        <w:p>
          <w:r>
            <w:rPr>
              <w:color w:val="808080"/>
            </w:rPr>
            <w:t>单击此处输入文字。</w:t>
          </w:r>
        </w:p>
      </w:docPartBody>
    </w:docPart>
    <w:docPart>
      <w:docPartPr>
        <w:name w:val="{c147d072-f2f0-4bb4-8e13-0c7f45ed143f}"/>
        <w:style w:val=""/>
        <w:category>
          <w:name w:val="常规"/>
          <w:gallery w:val="placeholder"/>
        </w:category>
        <w:types>
          <w:type w:val="bbPlcHdr"/>
        </w:types>
        <w:behaviors>
          <w:behavior w:val="content"/>
        </w:behaviors>
        <w:description w:val=""/>
        <w:guid w:val="{c147d072-f2f0-4bb4-8e13-0c7f45ed143f}"/>
      </w:docPartPr>
      <w:docPartBody>
        <w:p>
          <w:r>
            <w:rPr>
              <w:color w:val="808080"/>
            </w:rPr>
            <w:t>单击此处输入文字。</w:t>
          </w:r>
        </w:p>
      </w:docPartBody>
    </w:docPart>
    <w:docPart>
      <w:docPartPr>
        <w:name w:val="{a9c65845-df2a-49c4-8e3c-0da3b2fead4b}"/>
        <w:style w:val=""/>
        <w:category>
          <w:name w:val="常规"/>
          <w:gallery w:val="placeholder"/>
        </w:category>
        <w:types>
          <w:type w:val="bbPlcHdr"/>
        </w:types>
        <w:behaviors>
          <w:behavior w:val="content"/>
        </w:behaviors>
        <w:description w:val=""/>
        <w:guid w:val="{a9c65845-df2a-49c4-8e3c-0da3b2fead4b}"/>
      </w:docPartPr>
      <w:docPartBody>
        <w:p>
          <w:r>
            <w:rPr>
              <w:color w:val="808080"/>
            </w:rPr>
            <w:t>单击此处输入文字。</w:t>
          </w:r>
        </w:p>
      </w:docPartBody>
    </w:docPart>
    <w:docPart>
      <w:docPartPr>
        <w:name w:val="{7612ffff-6a6d-43bf-be0e-d4ffde62b73a}"/>
        <w:style w:val=""/>
        <w:category>
          <w:name w:val="常规"/>
          <w:gallery w:val="placeholder"/>
        </w:category>
        <w:types>
          <w:type w:val="bbPlcHdr"/>
        </w:types>
        <w:behaviors>
          <w:behavior w:val="content"/>
        </w:behaviors>
        <w:description w:val=""/>
        <w:guid w:val="{7612ffff-6a6d-43bf-be0e-d4ffde62b73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13048</Words>
  <Characters>14312</Characters>
  <Lines>1</Lines>
  <Paragraphs>1</Paragraphs>
  <TotalTime>0</TotalTime>
  <ScaleCrop>false</ScaleCrop>
  <LinksUpToDate>false</LinksUpToDate>
  <CharactersWithSpaces>15769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2023-03-08T03:59:00Z</dcterms:created>
  <dc:creator>Qin.</dc:creator>
  <cp:lastModifiedBy>Administrator</cp:lastModifiedBy>
  <dcterms:modified xsi:type="dcterms:W3CDTF">2023-08-01T10:39:52Z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24FD929E9F8C48E8AF4C0FF8EBAA0696_13</vt:lpwstr>
  </property>
</Properties>
</file>