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bookmarkStart w:id="16" w:name="_GoBack"/>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val="0"/>
          <w:bCs/>
          <w:color w:val="auto"/>
          <w:kern w:val="0"/>
          <w:sz w:val="32"/>
          <w:szCs w:val="32"/>
          <w:lang w:bidi="en-US"/>
        </w:rPr>
      </w:pPr>
    </w:p>
    <w:p>
      <w:pPr>
        <w:pageBreakBefore w:val="0"/>
        <w:tabs>
          <w:tab w:val="left" w:pos="1680"/>
        </w:tabs>
        <w:kinsoku/>
        <w:wordWrap/>
        <w:topLinePunct w:val="0"/>
        <w:autoSpaceDE/>
        <w:bidi w:val="0"/>
        <w:spacing w:line="560" w:lineRule="exact"/>
        <w:ind w:left="0" w:leftChars="0" w:firstLine="800" w:firstLineChars="200"/>
        <w:jc w:val="center"/>
        <w:outlineLvl w:val="0"/>
        <w:rPr>
          <w:rFonts w:hint="eastAsia" w:ascii="方正小标宋_GBK" w:hAnsi="方正小标宋_GBK" w:eastAsia="方正小标宋_GBK" w:cs="方正小标宋_GBK"/>
          <w:b w:val="0"/>
          <w:bCs/>
          <w:color w:val="auto"/>
          <w:sz w:val="40"/>
          <w:szCs w:val="40"/>
        </w:rPr>
      </w:pPr>
      <w:r>
        <w:rPr>
          <w:rFonts w:hint="eastAsia" w:ascii="方正小标宋_GBK" w:hAnsi="方正小标宋_GBK" w:eastAsia="方正小标宋_GBK" w:cs="方正小标宋_GBK"/>
          <w:b w:val="0"/>
          <w:bCs/>
          <w:color w:val="auto"/>
          <w:sz w:val="40"/>
          <w:szCs w:val="40"/>
        </w:rPr>
        <w:t>伽师县中职202</w:t>
      </w:r>
      <w:r>
        <w:rPr>
          <w:rFonts w:hint="eastAsia" w:ascii="方正小标宋_GBK" w:hAnsi="方正小标宋_GBK" w:eastAsia="方正小标宋_GBK" w:cs="方正小标宋_GBK"/>
          <w:b w:val="0"/>
          <w:bCs/>
          <w:color w:val="auto"/>
          <w:sz w:val="40"/>
          <w:szCs w:val="40"/>
          <w:lang w:val="en-US" w:eastAsia="zh-CN"/>
        </w:rPr>
        <w:t>2</w:t>
      </w:r>
      <w:r>
        <w:rPr>
          <w:rFonts w:hint="eastAsia" w:ascii="方正小标宋_GBK" w:hAnsi="方正小标宋_GBK" w:eastAsia="方正小标宋_GBK" w:cs="方正小标宋_GBK"/>
          <w:b w:val="0"/>
          <w:bCs/>
          <w:color w:val="auto"/>
          <w:sz w:val="40"/>
          <w:szCs w:val="40"/>
        </w:rPr>
        <w:t>年</w:t>
      </w:r>
      <w:r>
        <w:rPr>
          <w:rFonts w:hint="eastAsia" w:ascii="方正小标宋_GBK" w:hAnsi="方正小标宋_GBK" w:eastAsia="方正小标宋_GBK" w:cs="方正小标宋_GBK"/>
          <w:b w:val="0"/>
          <w:bCs/>
          <w:color w:val="auto"/>
          <w:sz w:val="40"/>
          <w:szCs w:val="40"/>
          <w:lang w:eastAsia="zh-CN"/>
        </w:rPr>
        <w:t>免住宿费</w:t>
      </w:r>
      <w:r>
        <w:rPr>
          <w:rFonts w:hint="eastAsia" w:ascii="方正小标宋_GBK" w:hAnsi="方正小标宋_GBK" w:eastAsia="方正小标宋_GBK" w:cs="方正小标宋_GBK"/>
          <w:b w:val="0"/>
          <w:bCs/>
          <w:color w:val="auto"/>
          <w:sz w:val="40"/>
          <w:szCs w:val="40"/>
        </w:rPr>
        <w:t>补助项目支出绩</w:t>
      </w:r>
      <w:r>
        <w:rPr>
          <w:rFonts w:hint="eastAsia" w:ascii="方正小标宋_GBK" w:hAnsi="方正小标宋_GBK" w:eastAsia="方正小标宋_GBK" w:cs="方正小标宋_GBK"/>
          <w:b w:val="0"/>
          <w:bCs/>
          <w:color w:val="auto"/>
          <w:sz w:val="40"/>
          <w:szCs w:val="40"/>
        </w:rPr>
        <w:t>效评价报告</w:t>
      </w: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bCs w:val="0"/>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b/>
          <w:color w:val="auto"/>
          <w:kern w:val="0"/>
          <w:sz w:val="32"/>
          <w:szCs w:val="32"/>
          <w:lang w:bidi="en-US"/>
        </w:rPr>
      </w:pPr>
    </w:p>
    <w:p>
      <w:pPr>
        <w:pStyle w:val="4"/>
        <w:pageBreakBefore w:val="0"/>
        <w:kinsoku/>
        <w:wordWrap/>
        <w:topLinePunct w:val="0"/>
        <w:autoSpaceDE/>
        <w:bidi w:val="0"/>
        <w:spacing w:before="0" w:after="0" w:line="560" w:lineRule="exact"/>
        <w:rPr>
          <w:rFonts w:hint="eastAsia" w:ascii="方正仿宋_GBK" w:hAnsi="方正仿宋_GBK" w:eastAsia="方正仿宋_GBK" w:cs="方正仿宋_GBK"/>
          <w:color w:val="auto"/>
          <w:sz w:val="32"/>
          <w:szCs w:val="32"/>
        </w:rPr>
      </w:pPr>
    </w:p>
    <w:p>
      <w:pPr>
        <w:pageBreakBefore w:val="0"/>
        <w:kinsoku/>
        <w:wordWrap/>
        <w:topLinePunct w:val="0"/>
        <w:autoSpaceDE/>
        <w:bidi w:val="0"/>
        <w:spacing w:line="560" w:lineRule="exact"/>
        <w:ind w:firstLine="0" w:firstLineChars="0"/>
        <w:jc w:val="center"/>
        <w:rPr>
          <w:rFonts w:hint="eastAsia" w:ascii="方正仿宋_GBK" w:hAnsi="方正仿宋_GBK" w:eastAsia="方正仿宋_GBK" w:cs="方正仿宋_GBK"/>
          <w:color w:val="auto"/>
          <w:kern w:val="0"/>
          <w:sz w:val="32"/>
          <w:szCs w:val="32"/>
          <w:lang w:bidi="en-US"/>
        </w:rPr>
      </w:pPr>
    </w:p>
    <w:p>
      <w:pPr>
        <w:pageBreakBefore w:val="0"/>
        <w:kinsoku/>
        <w:wordWrap/>
        <w:topLinePunct w:val="0"/>
        <w:autoSpaceDE/>
        <w:bidi w:val="0"/>
        <w:spacing w:line="560" w:lineRule="exact"/>
        <w:ind w:left="1277" w:leftChars="456" w:firstLine="124" w:firstLineChars="39"/>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项目名称：伽师县中职202</w:t>
      </w:r>
      <w:r>
        <w:rPr>
          <w:rFonts w:hint="eastAsia" w:ascii="方正仿宋_GBK" w:hAnsi="方正仿宋_GBK" w:eastAsia="方正仿宋_GBK" w:cs="方正仿宋_GBK"/>
          <w:color w:val="auto"/>
          <w:kern w:val="0"/>
          <w:sz w:val="32"/>
          <w:szCs w:val="32"/>
          <w:lang w:val="en-US" w:eastAsia="zh-CN" w:bidi="en-US"/>
        </w:rPr>
        <w:t>2</w:t>
      </w:r>
      <w:r>
        <w:rPr>
          <w:rFonts w:hint="eastAsia" w:ascii="方正仿宋_GBK" w:hAnsi="方正仿宋_GBK" w:eastAsia="方正仿宋_GBK" w:cs="方正仿宋_GBK"/>
          <w:color w:val="auto"/>
          <w:kern w:val="0"/>
          <w:sz w:val="32"/>
          <w:szCs w:val="32"/>
          <w:lang w:bidi="en-US"/>
        </w:rPr>
        <w:t>年免</w:t>
      </w:r>
      <w:r>
        <w:rPr>
          <w:rFonts w:hint="eastAsia" w:ascii="方正仿宋_GBK" w:hAnsi="方正仿宋_GBK" w:eastAsia="方正仿宋_GBK" w:cs="方正仿宋_GBK"/>
          <w:color w:val="auto"/>
          <w:kern w:val="0"/>
          <w:sz w:val="32"/>
          <w:szCs w:val="32"/>
          <w:lang w:eastAsia="zh-CN" w:bidi="en-US"/>
        </w:rPr>
        <w:t>住宿费</w:t>
      </w:r>
      <w:r>
        <w:rPr>
          <w:rFonts w:hint="eastAsia" w:ascii="方正仿宋_GBK" w:hAnsi="方正仿宋_GBK" w:eastAsia="方正仿宋_GBK" w:cs="方正仿宋_GBK"/>
          <w:color w:val="auto"/>
          <w:kern w:val="0"/>
          <w:sz w:val="32"/>
          <w:szCs w:val="32"/>
          <w:lang w:bidi="en-US"/>
        </w:rPr>
        <w:t>补助项目</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项目单位：伽师县中等职业技术学校</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主管部门：伽师县教育局</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bidi="en-US"/>
        </w:rPr>
      </w:pPr>
      <w:r>
        <w:rPr>
          <w:rFonts w:hint="eastAsia" w:ascii="方正仿宋_GBK" w:hAnsi="方正仿宋_GBK" w:eastAsia="方正仿宋_GBK" w:cs="方正仿宋_GBK"/>
          <w:color w:val="auto"/>
          <w:kern w:val="0"/>
          <w:sz w:val="32"/>
          <w:szCs w:val="32"/>
          <w:lang w:bidi="en-US"/>
        </w:rPr>
        <w:t>项目负责人：吾斯满江·塔依尔</w:t>
      </w:r>
    </w:p>
    <w:p>
      <w:pPr>
        <w:pageBreakBefore w:val="0"/>
        <w:kinsoku/>
        <w:wordWrap/>
        <w:topLinePunct w:val="0"/>
        <w:autoSpaceDE/>
        <w:bidi w:val="0"/>
        <w:spacing w:line="560" w:lineRule="exact"/>
        <w:ind w:firstLine="1411" w:firstLineChars="441"/>
        <w:jc w:val="left"/>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bidi="en-US"/>
        </w:rPr>
        <w:t>填报时间：</w:t>
      </w:r>
      <w:r>
        <w:rPr>
          <w:rFonts w:hint="eastAsia" w:ascii="方正仿宋_GBK" w:hAnsi="方正仿宋_GBK" w:eastAsia="方正仿宋_GBK" w:cs="方正仿宋_GBK"/>
          <w:color w:val="auto"/>
          <w:kern w:val="0"/>
          <w:sz w:val="32"/>
          <w:szCs w:val="32"/>
          <w:lang w:val="en-US" w:eastAsia="zh-CN" w:bidi="en-US"/>
        </w:rPr>
        <w:t>2023年2月10日</w:t>
      </w:r>
    </w:p>
    <w:p>
      <w:pPr>
        <w:rPr>
          <w:rFonts w:hint="eastAsia" w:ascii="方正仿宋_GBK" w:hAnsi="方正仿宋_GBK" w:eastAsia="方正仿宋_GBK" w:cs="方正仿宋_GBK"/>
          <w:color w:val="auto"/>
          <w:kern w:val="0"/>
          <w:sz w:val="32"/>
          <w:szCs w:val="32"/>
          <w:lang w:val="en-US" w:eastAsia="zh-CN" w:bidi="en-US"/>
        </w:rPr>
      </w:pPr>
      <w:r>
        <w:rPr>
          <w:rFonts w:hint="eastAsia" w:ascii="方正仿宋_GBK" w:hAnsi="方正仿宋_GBK" w:eastAsia="方正仿宋_GBK" w:cs="方正仿宋_GBK"/>
          <w:color w:val="auto"/>
          <w:kern w:val="0"/>
          <w:sz w:val="32"/>
          <w:szCs w:val="32"/>
          <w:lang w:val="en-US" w:eastAsia="zh-CN" w:bidi="en-US"/>
        </w:rPr>
        <w:br w:type="page"/>
      </w:r>
    </w:p>
    <w:p>
      <w:pPr>
        <w:pageBreakBefore w:val="0"/>
        <w:widowControl w:val="0"/>
        <w:kinsoku/>
        <w:wordWrap/>
        <w:overflowPunct/>
        <w:topLinePunct w:val="0"/>
        <w:autoSpaceDE/>
        <w:autoSpaceDN/>
        <w:bidi w:val="0"/>
        <w:adjustRightInd/>
        <w:snapToGrid/>
        <w:spacing w:line="560" w:lineRule="exact"/>
        <w:ind w:left="0" w:leftChars="0" w:firstLine="560" w:firstLineChars="175"/>
        <w:textAlignment w:val="auto"/>
        <w:rPr>
          <w:rFonts w:hint="eastAsia" w:ascii="方正仿宋_GBK" w:hAnsi="方正仿宋_GBK" w:eastAsia="方正仿宋_GBK" w:cs="方正仿宋_GBK"/>
          <w:b w:val="0"/>
          <w:bCs w:val="0"/>
          <w:color w:val="auto"/>
          <w:sz w:val="32"/>
          <w:szCs w:val="32"/>
        </w:rPr>
      </w:pPr>
      <w:bookmarkStart w:id="0" w:name="_Toc68364657"/>
      <w:r>
        <w:rPr>
          <w:rFonts w:hint="eastAsia" w:ascii="方正黑体_GBK" w:hAnsi="方正黑体_GBK" w:eastAsia="方正黑体_GBK" w:cs="方正黑体_GBK"/>
          <w:b w:val="0"/>
          <w:bCs w:val="0"/>
          <w:color w:val="auto"/>
          <w:sz w:val="32"/>
          <w:szCs w:val="32"/>
        </w:rPr>
        <w:t>一、基本情况</w:t>
      </w:r>
      <w:bookmarkEnd w:id="0"/>
    </w:p>
    <w:p>
      <w:pPr>
        <w:pStyle w:val="37"/>
        <w:pageBreakBefore w:val="0"/>
        <w:widowControl w:val="0"/>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方正楷体_GBK" w:hAnsi="方正楷体_GBK" w:eastAsia="方正楷体_GBK" w:cs="方正楷体_GBK"/>
          <w:color w:val="auto"/>
          <w:sz w:val="32"/>
          <w:szCs w:val="32"/>
        </w:rPr>
      </w:pPr>
      <w:bookmarkStart w:id="1" w:name="_Toc68364658"/>
      <w:r>
        <w:rPr>
          <w:rFonts w:hint="eastAsia" w:ascii="方正楷体_GBK" w:hAnsi="方正楷体_GBK" w:eastAsia="方正楷体_GBK" w:cs="方正楷体_GBK"/>
          <w:color w:val="auto"/>
          <w:sz w:val="32"/>
          <w:szCs w:val="32"/>
        </w:rPr>
        <w:t>（一）项目概况</w:t>
      </w:r>
      <w:bookmarkEnd w:id="1"/>
    </w:p>
    <w:p>
      <w:pPr>
        <w:pStyle w:val="32"/>
        <w:pageBreakBefore w:val="0"/>
        <w:widowControl w:val="0"/>
        <w:kinsoku/>
        <w:wordWrap/>
        <w:overflowPunct/>
        <w:topLinePunct w:val="0"/>
        <w:autoSpaceDE/>
        <w:autoSpaceDN/>
        <w:bidi w:val="0"/>
        <w:adjustRightInd/>
        <w:snapToGrid/>
        <w:spacing w:line="560" w:lineRule="exact"/>
        <w:ind w:firstLine="643"/>
        <w:textAlignment w:val="auto"/>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1.项目背景</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2"/>
          <w:sz w:val="32"/>
          <w:szCs w:val="32"/>
        </w:rPr>
        <w:t>本项目根据喀地财教〔202</w:t>
      </w:r>
      <w:r>
        <w:rPr>
          <w:rFonts w:hint="eastAsia" w:ascii="方正仿宋_GBK" w:hAnsi="方正仿宋_GBK" w:eastAsia="方正仿宋_GBK" w:cs="方正仿宋_GBK"/>
          <w:color w:val="auto"/>
          <w:kern w:val="2"/>
          <w:sz w:val="32"/>
          <w:szCs w:val="32"/>
          <w:lang w:val="en-US" w:eastAsia="zh-CN"/>
        </w:rPr>
        <w:t>2</w:t>
      </w:r>
      <w:r>
        <w:rPr>
          <w:rFonts w:hint="eastAsia" w:ascii="方正仿宋_GBK" w:hAnsi="方正仿宋_GBK" w:eastAsia="方正仿宋_GBK" w:cs="方正仿宋_GBK"/>
          <w:color w:val="auto"/>
          <w:kern w:val="2"/>
          <w:sz w:val="32"/>
          <w:szCs w:val="32"/>
        </w:rPr>
        <w:t>〕5号</w:t>
      </w:r>
      <w:r>
        <w:rPr>
          <w:rFonts w:hint="eastAsia" w:ascii="方正仿宋_GBK" w:hAnsi="方正仿宋_GBK" w:eastAsia="方正仿宋_GBK" w:cs="方正仿宋_GBK"/>
          <w:color w:val="auto"/>
          <w:kern w:val="2"/>
          <w:sz w:val="32"/>
          <w:szCs w:val="32"/>
          <w:lang w:eastAsia="zh-CN"/>
        </w:rPr>
        <w:t>、</w:t>
      </w:r>
      <w:r>
        <w:rPr>
          <w:rFonts w:hint="eastAsia" w:ascii="方正仿宋_GBK" w:hAnsi="方正仿宋_GBK" w:eastAsia="方正仿宋_GBK" w:cs="方正仿宋_GBK"/>
          <w:color w:val="auto"/>
          <w:sz w:val="32"/>
          <w:szCs w:val="32"/>
        </w:rPr>
        <w:t>新财教〔2021〕229号</w:t>
      </w:r>
      <w:r>
        <w:rPr>
          <w:rFonts w:hint="eastAsia" w:ascii="方正仿宋_GBK" w:hAnsi="方正仿宋_GBK" w:eastAsia="方正仿宋_GBK" w:cs="方正仿宋_GBK"/>
          <w:color w:val="auto"/>
          <w:kern w:val="2"/>
          <w:sz w:val="32"/>
          <w:szCs w:val="32"/>
          <w:lang w:eastAsia="zh-CN"/>
        </w:rPr>
        <w:t>，</w:t>
      </w:r>
      <w:r>
        <w:rPr>
          <w:rFonts w:hint="eastAsia" w:ascii="方正仿宋_GBK" w:hAnsi="方正仿宋_GBK" w:eastAsia="方正仿宋_GBK" w:cs="方正仿宋_GBK"/>
          <w:color w:val="auto"/>
          <w:sz w:val="32"/>
          <w:szCs w:val="32"/>
        </w:rPr>
        <w:t>关于提前下达2022年教育</w:t>
      </w:r>
      <w:r>
        <w:rPr>
          <w:rFonts w:hint="eastAsia" w:ascii="方正仿宋_GBK" w:hAnsi="方正仿宋_GBK" w:eastAsia="方正仿宋_GBK" w:cs="方正仿宋_GBK"/>
          <w:color w:val="auto"/>
          <w:sz w:val="32"/>
          <w:szCs w:val="32"/>
          <w:highlight w:val="none"/>
        </w:rPr>
        <w:t>非直达资金</w:t>
      </w:r>
      <w:r>
        <w:rPr>
          <w:rFonts w:hint="eastAsia" w:ascii="方正仿宋_GBK" w:hAnsi="方正仿宋_GBK" w:eastAsia="方正仿宋_GBK" w:cs="方正仿宋_GBK"/>
          <w:color w:val="auto"/>
          <w:sz w:val="32"/>
          <w:szCs w:val="32"/>
        </w:rPr>
        <w:t>的通知</w:t>
      </w:r>
      <w:r>
        <w:rPr>
          <w:rFonts w:hint="eastAsia" w:ascii="方正仿宋_GBK" w:hAnsi="方正仿宋_GBK" w:eastAsia="方正仿宋_GBK" w:cs="方正仿宋_GBK"/>
          <w:color w:val="auto"/>
          <w:kern w:val="2"/>
          <w:sz w:val="32"/>
          <w:szCs w:val="32"/>
        </w:rPr>
        <w:t>等</w:t>
      </w:r>
      <w:r>
        <w:rPr>
          <w:rFonts w:hint="eastAsia" w:ascii="方正仿宋_GBK" w:hAnsi="方正仿宋_GBK" w:eastAsia="方正仿宋_GBK" w:cs="方正仿宋_GBK"/>
          <w:color w:val="auto"/>
          <w:sz w:val="32"/>
          <w:szCs w:val="32"/>
        </w:rPr>
        <w:t>相关政策文件与规定，发展职业教育是我国经济社会发展的重要基础和教育工作的战略重点</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逐步实施中等职业教育免费政策，是落实科教兴国和人才强国战略，全面提高国民素质，把我国巨大的人口压力转化为人力资源优势的重要途径，是优化教育结构，促进教育公平和社会公正的有效手段，是推进我国走新型工业化道路，建设社会主义新农村，调整产业结构、促进就业的重大举措，是继全部免除城乡义务教育阶段学生学杂费之后，促进教育公平的一件大事，具有重要的现实意义和深远的历史意义。目前，我国中等职业教育绝大部分人来自农村，其中，相当，部分来自低收入和困难家庭、中等职业</w:t>
      </w:r>
      <w:r>
        <w:rPr>
          <w:rFonts w:hint="eastAsia" w:ascii="方正仿宋_GBK" w:hAnsi="方正仿宋_GBK" w:eastAsia="方正仿宋_GBK" w:cs="方正仿宋_GBK"/>
          <w:color w:val="auto"/>
          <w:sz w:val="32"/>
          <w:szCs w:val="32"/>
          <w:lang w:eastAsia="zh-CN"/>
        </w:rPr>
        <w:t>教</w:t>
      </w:r>
      <w:r>
        <w:rPr>
          <w:rFonts w:hint="eastAsia" w:ascii="方正仿宋_GBK" w:hAnsi="方正仿宋_GBK" w:eastAsia="方正仿宋_GBK" w:cs="方正仿宋_GBK"/>
          <w:color w:val="auto"/>
          <w:sz w:val="32"/>
          <w:szCs w:val="32"/>
        </w:rPr>
        <w:t>育</w:t>
      </w:r>
      <w:r>
        <w:rPr>
          <w:rFonts w:hint="eastAsia" w:ascii="方正仿宋_GBK" w:hAnsi="方正仿宋_GBK" w:eastAsia="方正仿宋_GBK" w:cs="方正仿宋_GBK"/>
          <w:color w:val="auto"/>
          <w:sz w:val="32"/>
          <w:szCs w:val="32"/>
          <w:lang w:eastAsia="zh-CN"/>
        </w:rPr>
        <w:t>免住宿费</w:t>
      </w:r>
      <w:r>
        <w:rPr>
          <w:rFonts w:hint="eastAsia" w:ascii="方正仿宋_GBK" w:hAnsi="方正仿宋_GBK" w:eastAsia="方正仿宋_GBK" w:cs="方正仿宋_GBK"/>
          <w:color w:val="auto"/>
          <w:sz w:val="32"/>
          <w:szCs w:val="32"/>
        </w:rPr>
        <w:t>作先从农村家庭经济困难学生和涉农专业学生做起，对于减轻农民负担改善农村劳动力结构，发展现代农业、发展农村经济具有重要意义。</w:t>
      </w:r>
    </w:p>
    <w:p>
      <w:pPr>
        <w:pStyle w:val="32"/>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rPr>
        <w:t>2.主要内容</w:t>
      </w:r>
      <w:r>
        <w:rPr>
          <w:rFonts w:hint="eastAsia" w:ascii="方正仿宋_GBK" w:hAnsi="方正仿宋_GBK" w:eastAsia="方正仿宋_GBK" w:cs="方正仿宋_GBK"/>
          <w:b/>
          <w:bCs/>
          <w:color w:val="auto"/>
          <w:sz w:val="32"/>
          <w:szCs w:val="32"/>
          <w:lang w:eastAsia="zh-CN"/>
        </w:rPr>
        <w:t>及实施情况</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主要内容：</w:t>
      </w:r>
      <w:r>
        <w:rPr>
          <w:rFonts w:hint="eastAsia" w:ascii="方正仿宋_GBK" w:hAnsi="方正仿宋_GBK" w:eastAsia="方正仿宋_GBK" w:cs="方正仿宋_GBK"/>
          <w:color w:val="auto"/>
          <w:sz w:val="32"/>
          <w:szCs w:val="32"/>
        </w:rPr>
        <w:t>本项目建设主要服务于发展职业教育。中等职业教育各项国家资助按照规定得到落实，教育公平显著提升，满足家庭经济困难学生基本学习生活需要，缓解学生家庭经济困难，助力家庭脱贫</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提升职业教育吸引力。</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eastAsia="zh-CN"/>
        </w:rPr>
        <w:t>实施情况：</w:t>
      </w:r>
      <w:r>
        <w:rPr>
          <w:rFonts w:hint="eastAsia" w:ascii="方正仿宋_GBK" w:hAnsi="方正仿宋_GBK" w:eastAsia="方正仿宋_GBK" w:cs="方正仿宋_GBK"/>
          <w:b w:val="0"/>
          <w:bCs w:val="0"/>
          <w:color w:val="auto"/>
          <w:sz w:val="32"/>
          <w:szCs w:val="32"/>
          <w:lang w:eastAsia="zh-CN"/>
        </w:rPr>
        <w:t>该项目根据</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kern w:val="0"/>
          <w:sz w:val="32"/>
          <w:szCs w:val="32"/>
          <w:lang w:bidi="en-US"/>
        </w:rPr>
        <w:t>关于提前下达2022年教育非直达资金的通知-中等职业学校学生住宿费补助资金</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eastAsia="zh-CN"/>
        </w:rPr>
        <w:t>下达自治区专项资金</w:t>
      </w:r>
      <w:r>
        <w:rPr>
          <w:rFonts w:hint="eastAsia" w:ascii="方正仿宋_GBK" w:hAnsi="方正仿宋_GBK" w:eastAsia="方正仿宋_GBK" w:cs="方正仿宋_GBK"/>
          <w:color w:val="auto"/>
          <w:sz w:val="32"/>
          <w:szCs w:val="32"/>
          <w:highlight w:val="none"/>
          <w:lang w:val="en-US" w:eastAsia="zh-CN"/>
        </w:rPr>
        <w:t>297.83万元，根据资金文件我单位制定实施方案，</w:t>
      </w:r>
      <w:r>
        <w:rPr>
          <w:rFonts w:hint="eastAsia" w:ascii="方正仿宋_GBK" w:hAnsi="方正仿宋_GBK" w:eastAsia="方正仿宋_GBK" w:cs="方正仿宋_GBK"/>
          <w:b w:val="0"/>
          <w:bCs w:val="0"/>
          <w:color w:val="auto"/>
          <w:kern w:val="0"/>
          <w:sz w:val="32"/>
          <w:szCs w:val="32"/>
          <w:lang w:bidi="en-US"/>
        </w:rPr>
        <w:t>伽师县中职2022年免住宿费补助项目</w:t>
      </w:r>
      <w:r>
        <w:rPr>
          <w:rFonts w:hint="eastAsia" w:ascii="方正仿宋_GBK" w:hAnsi="方正仿宋_GBK" w:eastAsia="方正仿宋_GBK" w:cs="方正仿宋_GBK"/>
          <w:b w:val="0"/>
          <w:bCs w:val="0"/>
          <w:color w:val="auto"/>
          <w:kern w:val="0"/>
          <w:sz w:val="32"/>
          <w:szCs w:val="32"/>
          <w:lang w:eastAsia="zh-CN" w:bidi="en-US"/>
        </w:rPr>
        <w:t>自</w:t>
      </w:r>
      <w:r>
        <w:rPr>
          <w:rFonts w:hint="eastAsia" w:ascii="方正仿宋_GBK" w:hAnsi="方正仿宋_GBK" w:eastAsia="方正仿宋_GBK" w:cs="方正仿宋_GBK"/>
          <w:b w:val="0"/>
          <w:bCs w:val="0"/>
          <w:color w:val="auto"/>
          <w:kern w:val="2"/>
          <w:sz w:val="32"/>
          <w:szCs w:val="32"/>
          <w:lang w:val="en-US" w:eastAsia="zh-CN" w:bidi="ar-SA"/>
        </w:rPr>
        <w:t>2022年1月1日开始执行，补助符合条件的5177</w:t>
      </w:r>
      <w:r>
        <w:rPr>
          <w:rFonts w:hint="eastAsia" w:ascii="方正仿宋_GBK" w:hAnsi="方正仿宋_GBK" w:eastAsia="方正仿宋_GBK" w:cs="方正仿宋_GBK"/>
          <w:color w:val="auto"/>
          <w:sz w:val="32"/>
          <w:szCs w:val="32"/>
          <w:lang w:val="en-US" w:eastAsia="zh-CN"/>
        </w:rPr>
        <w:t>人，补助标准575.294元/人/年，此项目实施后保障了中等职业学校正常运转，减轻了家庭经济困难学生的生活负担，帮助学生顺利完成学业，提升中职教育吸引力。</w:t>
      </w:r>
    </w:p>
    <w:p>
      <w:pPr>
        <w:pStyle w:val="4"/>
        <w:pageBreakBefore w:val="0"/>
        <w:kinsoku/>
        <w:wordWrap/>
        <w:topLinePunct w:val="0"/>
        <w:autoSpaceDE/>
        <w:bidi w:val="0"/>
        <w:spacing w:before="0" w:after="0" w:line="560" w:lineRule="exact"/>
        <w:ind w:firstLine="643"/>
        <w:rPr>
          <w:rFonts w:hint="eastAsia" w:ascii="方正仿宋_GBK" w:hAnsi="方正仿宋_GBK" w:eastAsia="方正仿宋_GBK" w:cs="方正仿宋_GBK"/>
          <w:b/>
          <w:color w:val="auto"/>
          <w:sz w:val="32"/>
          <w:szCs w:val="32"/>
          <w:lang w:eastAsia="zh-CN"/>
        </w:rPr>
      </w:pPr>
      <w:r>
        <w:rPr>
          <w:rFonts w:hint="eastAsia" w:ascii="方正仿宋_GBK" w:hAnsi="方正仿宋_GBK" w:eastAsia="方正仿宋_GBK" w:cs="方正仿宋_GBK"/>
          <w:b/>
          <w:color w:val="auto"/>
          <w:sz w:val="32"/>
          <w:szCs w:val="32"/>
        </w:rPr>
        <w:t>3.</w:t>
      </w:r>
      <w:r>
        <w:rPr>
          <w:rFonts w:hint="eastAsia" w:ascii="方正仿宋_GBK" w:hAnsi="方正仿宋_GBK" w:eastAsia="方正仿宋_GBK" w:cs="方正仿宋_GBK"/>
          <w:b/>
          <w:color w:val="auto"/>
          <w:sz w:val="32"/>
          <w:szCs w:val="32"/>
          <w:lang w:eastAsia="zh-CN"/>
        </w:rPr>
        <w:t>项目</w:t>
      </w:r>
      <w:r>
        <w:rPr>
          <w:rFonts w:hint="eastAsia" w:ascii="方正仿宋_GBK" w:hAnsi="方正仿宋_GBK" w:eastAsia="方正仿宋_GBK" w:cs="方正仿宋_GBK"/>
          <w:b/>
          <w:color w:val="auto"/>
          <w:sz w:val="32"/>
          <w:szCs w:val="32"/>
        </w:rPr>
        <w:t>实施</w:t>
      </w:r>
      <w:r>
        <w:rPr>
          <w:rFonts w:hint="eastAsia" w:ascii="方正仿宋_GBK" w:hAnsi="方正仿宋_GBK" w:eastAsia="方正仿宋_GBK" w:cs="方正仿宋_GBK"/>
          <w:b/>
          <w:color w:val="auto"/>
          <w:sz w:val="32"/>
          <w:szCs w:val="32"/>
          <w:lang w:eastAsia="zh-CN"/>
        </w:rPr>
        <w:t>主体</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实施主体：</w:t>
      </w:r>
      <w:r>
        <w:rPr>
          <w:rFonts w:hint="eastAsia" w:ascii="方正仿宋_GBK" w:hAnsi="方正仿宋_GBK" w:eastAsia="方正仿宋_GBK" w:cs="方正仿宋_GBK"/>
          <w:color w:val="auto"/>
          <w:sz w:val="32"/>
          <w:szCs w:val="32"/>
          <w:highlight w:val="none"/>
        </w:rPr>
        <w:t>伽师县中等职业技术学校</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yellow"/>
          <w:lang w:val="en-US" w:eastAsia="zh-CN"/>
        </w:rPr>
      </w:pPr>
      <w:r>
        <w:rPr>
          <w:rFonts w:hint="eastAsia" w:ascii="方正仿宋_GBK" w:hAnsi="方正仿宋_GBK" w:eastAsia="方正仿宋_GBK" w:cs="方正仿宋_GBK"/>
          <w:b/>
          <w:bCs/>
          <w:color w:val="auto"/>
          <w:sz w:val="32"/>
          <w:szCs w:val="32"/>
          <w:highlight w:val="none"/>
        </w:rPr>
        <w:t>实施时间：</w:t>
      </w:r>
      <w:r>
        <w:rPr>
          <w:rFonts w:hint="eastAsia" w:ascii="方正仿宋_GBK" w:hAnsi="方正仿宋_GBK" w:eastAsia="方正仿宋_GBK" w:cs="方正仿宋_GBK"/>
          <w:color w:val="auto"/>
          <w:sz w:val="32"/>
          <w:szCs w:val="32"/>
          <w:highlight w:val="none"/>
          <w:lang w:val="en-US" w:eastAsia="zh-CN"/>
        </w:rPr>
        <w:t>2022年1月-12月</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kern w:val="0"/>
          <w:sz w:val="32"/>
          <w:szCs w:val="32"/>
          <w:lang w:val="en-US" w:eastAsia="zh-CN" w:bidi="ar-SA"/>
        </w:rPr>
        <w:t>实施主体情况：</w:t>
      </w:r>
      <w:r>
        <w:rPr>
          <w:rFonts w:hint="eastAsia" w:ascii="方正仿宋_GBK" w:hAnsi="方正仿宋_GBK" w:eastAsia="方正仿宋_GBK" w:cs="方正仿宋_GBK"/>
          <w:color w:val="auto"/>
          <w:sz w:val="32"/>
          <w:szCs w:val="32"/>
        </w:rPr>
        <w:t>伽师县中等职业技术学校为事业单位，编制人数1</w:t>
      </w:r>
      <w:r>
        <w:rPr>
          <w:rFonts w:hint="eastAsia" w:ascii="方正仿宋_GBK" w:hAnsi="方正仿宋_GBK" w:eastAsia="方正仿宋_GBK" w:cs="方正仿宋_GBK"/>
          <w:color w:val="auto"/>
          <w:sz w:val="32"/>
          <w:szCs w:val="32"/>
          <w:lang w:val="en-US" w:eastAsia="zh-CN"/>
        </w:rPr>
        <w:t>88</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其中，</w:t>
      </w:r>
      <w:r>
        <w:rPr>
          <w:rFonts w:hint="eastAsia" w:ascii="方正仿宋_GBK" w:hAnsi="方正仿宋_GBK" w:eastAsia="方正仿宋_GBK" w:cs="方正仿宋_GBK"/>
          <w:color w:val="auto"/>
          <w:sz w:val="32"/>
          <w:szCs w:val="32"/>
        </w:rPr>
        <w:t>事业编制12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，其他人员</w:t>
      </w:r>
      <w:r>
        <w:rPr>
          <w:rFonts w:hint="eastAsia" w:ascii="方正仿宋_GBK" w:hAnsi="方正仿宋_GBK" w:eastAsia="方正仿宋_GBK" w:cs="方正仿宋_GBK"/>
          <w:color w:val="auto"/>
          <w:sz w:val="32"/>
          <w:szCs w:val="32"/>
          <w:lang w:val="en-US" w:eastAsia="zh-CN"/>
        </w:rPr>
        <w:t>64人</w:t>
      </w:r>
      <w:r>
        <w:rPr>
          <w:rFonts w:hint="eastAsia" w:ascii="方正仿宋_GBK" w:hAnsi="方正仿宋_GBK" w:eastAsia="方正仿宋_GBK" w:cs="方正仿宋_GBK"/>
          <w:color w:val="auto"/>
          <w:sz w:val="32"/>
          <w:szCs w:val="32"/>
        </w:rPr>
        <w:t>。实有在职人数1</w:t>
      </w:r>
      <w:r>
        <w:rPr>
          <w:rFonts w:hint="eastAsia" w:ascii="方正仿宋_GBK" w:hAnsi="方正仿宋_GBK" w:eastAsia="方正仿宋_GBK" w:cs="方正仿宋_GBK"/>
          <w:color w:val="auto"/>
          <w:sz w:val="32"/>
          <w:szCs w:val="32"/>
          <w:lang w:val="en-US" w:eastAsia="zh-CN"/>
        </w:rPr>
        <w:t>88</w:t>
      </w:r>
      <w:r>
        <w:rPr>
          <w:rFonts w:hint="eastAsia" w:ascii="方正仿宋_GBK" w:hAnsi="方正仿宋_GBK" w:eastAsia="方正仿宋_GBK" w:cs="方正仿宋_GBK"/>
          <w:color w:val="auto"/>
          <w:sz w:val="32"/>
          <w:szCs w:val="32"/>
        </w:rPr>
        <w:t>人，其中：事业在职12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其他人员</w:t>
      </w:r>
      <w:r>
        <w:rPr>
          <w:rFonts w:hint="eastAsia" w:ascii="方正仿宋_GBK" w:hAnsi="方正仿宋_GBK" w:eastAsia="方正仿宋_GBK" w:cs="方正仿宋_GBK"/>
          <w:color w:val="auto"/>
          <w:sz w:val="32"/>
          <w:szCs w:val="32"/>
          <w:lang w:val="en-US" w:eastAsia="zh-CN"/>
        </w:rPr>
        <w:t>64</w:t>
      </w:r>
      <w:r>
        <w:rPr>
          <w:rFonts w:hint="eastAsia" w:ascii="方正仿宋_GBK" w:hAnsi="方正仿宋_GBK" w:eastAsia="方正仿宋_GBK" w:cs="方正仿宋_GBK"/>
          <w:color w:val="auto"/>
          <w:sz w:val="32"/>
          <w:szCs w:val="32"/>
        </w:rPr>
        <w:t>人。退休人员1</w:t>
      </w:r>
      <w:r>
        <w:rPr>
          <w:rFonts w:hint="eastAsia" w:ascii="方正仿宋_GBK" w:hAnsi="方正仿宋_GBK" w:eastAsia="方正仿宋_GBK" w:cs="方正仿宋_GBK"/>
          <w:color w:val="auto"/>
          <w:sz w:val="32"/>
          <w:szCs w:val="32"/>
          <w:lang w:val="en-US" w:eastAsia="zh-CN"/>
        </w:rPr>
        <w:t>8</w:t>
      </w:r>
      <w:r>
        <w:rPr>
          <w:rFonts w:hint="eastAsia" w:ascii="方正仿宋_GBK" w:hAnsi="方正仿宋_GBK" w:eastAsia="方正仿宋_GBK" w:cs="方正仿宋_GBK"/>
          <w:color w:val="auto"/>
          <w:sz w:val="32"/>
          <w:szCs w:val="32"/>
        </w:rPr>
        <w:t>人</w:t>
      </w:r>
      <w:r>
        <w:rPr>
          <w:rFonts w:hint="eastAsia" w:ascii="方正仿宋_GBK" w:hAnsi="方正仿宋_GBK" w:eastAsia="方正仿宋_GBK" w:cs="方正仿宋_GBK"/>
          <w:color w:val="auto"/>
          <w:sz w:val="32"/>
          <w:szCs w:val="32"/>
          <w:lang w:eastAsia="zh-CN"/>
        </w:rPr>
        <w:t>。</w:t>
      </w:r>
    </w:p>
    <w:p>
      <w:pPr>
        <w:pStyle w:val="32"/>
        <w:pageBreakBefore w:val="0"/>
        <w:numPr>
          <w:ilvl w:val="0"/>
          <w:numId w:val="2"/>
        </w:numPr>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资金投入和使用情况</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val="en-US" w:eastAsia="zh-CN"/>
        </w:rPr>
        <w:t>（1）项目资金安排落实、总投入等情况分析</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本项目预算安排总额为297.83万元，为自治区专项资金，2022年实际到位项目资金297.83万元。</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b/>
          <w:bCs/>
          <w:color w:val="auto"/>
          <w:sz w:val="32"/>
          <w:szCs w:val="32"/>
          <w:highlight w:val="none"/>
          <w:lang w:val="en-US" w:eastAsia="zh-CN"/>
        </w:rPr>
      </w:pPr>
      <w:bookmarkStart w:id="2" w:name="_Toc68364659"/>
      <w:r>
        <w:rPr>
          <w:rFonts w:hint="eastAsia" w:ascii="方正仿宋_GBK" w:hAnsi="方正仿宋_GBK" w:eastAsia="方正仿宋_GBK" w:cs="方正仿宋_GBK"/>
          <w:b/>
          <w:bCs/>
          <w:color w:val="auto"/>
          <w:sz w:val="32"/>
          <w:szCs w:val="32"/>
          <w:highlight w:val="none"/>
          <w:lang w:val="en-US" w:eastAsia="zh-CN"/>
        </w:rPr>
        <w:t>（2）项目资金实际使用情况分析</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截至202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年12月31日，实际支出</w:t>
      </w:r>
      <w:r>
        <w:rPr>
          <w:rFonts w:hint="eastAsia" w:ascii="方正仿宋_GBK" w:hAnsi="方正仿宋_GBK" w:eastAsia="方正仿宋_GBK" w:cs="方正仿宋_GBK"/>
          <w:color w:val="auto"/>
          <w:kern w:val="2"/>
          <w:sz w:val="32"/>
          <w:szCs w:val="32"/>
          <w:lang w:val="en-US" w:eastAsia="zh-CN"/>
        </w:rPr>
        <w:t>297.83</w:t>
      </w:r>
      <w:r>
        <w:rPr>
          <w:rFonts w:hint="eastAsia" w:ascii="方正仿宋_GBK" w:hAnsi="方正仿宋_GBK" w:eastAsia="方正仿宋_GBK" w:cs="方正仿宋_GBK"/>
          <w:color w:val="auto"/>
          <w:sz w:val="32"/>
          <w:szCs w:val="32"/>
          <w:lang w:eastAsia="zh-CN"/>
        </w:rPr>
        <w:t>万元</w:t>
      </w:r>
      <w:r>
        <w:rPr>
          <w:rFonts w:hint="eastAsia" w:ascii="方正仿宋_GBK" w:hAnsi="方正仿宋_GBK" w:eastAsia="方正仿宋_GBK" w:cs="方正仿宋_GBK"/>
          <w:color w:val="auto"/>
          <w:sz w:val="32"/>
          <w:szCs w:val="32"/>
        </w:rPr>
        <w:t>，预算执行率100%。</w:t>
      </w:r>
      <w:r>
        <w:rPr>
          <w:rFonts w:hint="eastAsia" w:ascii="方正仿宋_GBK" w:hAnsi="方正仿宋_GBK" w:eastAsia="方正仿宋_GBK" w:cs="方正仿宋_GBK"/>
          <w:color w:val="auto"/>
          <w:sz w:val="32"/>
          <w:szCs w:val="32"/>
          <w:lang w:eastAsia="zh-CN"/>
        </w:rPr>
        <w:t>本</w:t>
      </w:r>
      <w:r>
        <w:rPr>
          <w:rFonts w:hint="eastAsia" w:ascii="方正仿宋_GBK" w:hAnsi="方正仿宋_GBK" w:eastAsia="方正仿宋_GBK" w:cs="方正仿宋_GBK"/>
          <w:color w:val="auto"/>
          <w:sz w:val="32"/>
          <w:szCs w:val="32"/>
        </w:rPr>
        <w:t>项目</w:t>
      </w:r>
      <w:r>
        <w:rPr>
          <w:rFonts w:hint="eastAsia" w:ascii="方正仿宋_GBK" w:hAnsi="方正仿宋_GBK" w:eastAsia="方正仿宋_GBK" w:cs="方正仿宋_GBK"/>
          <w:color w:val="auto"/>
          <w:sz w:val="32"/>
          <w:szCs w:val="32"/>
          <w:lang w:eastAsia="zh-CN"/>
        </w:rPr>
        <w:t>资金</w:t>
      </w:r>
      <w:r>
        <w:rPr>
          <w:rFonts w:hint="eastAsia" w:ascii="方正仿宋_GBK" w:hAnsi="方正仿宋_GBK" w:eastAsia="方正仿宋_GBK" w:cs="方正仿宋_GBK"/>
          <w:color w:val="auto"/>
          <w:sz w:val="32"/>
          <w:szCs w:val="32"/>
        </w:rPr>
        <w:t>主要用于支付</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学生宿舍水、电、暖等费用及学生宿舍物品采购及维修等支出</w:t>
      </w:r>
      <w:r>
        <w:rPr>
          <w:rFonts w:hint="eastAsia" w:ascii="方正仿宋_GBK" w:hAnsi="方正仿宋_GBK" w:eastAsia="方正仿宋_GBK" w:cs="方正仿宋_GBK"/>
          <w:color w:val="auto"/>
          <w:sz w:val="32"/>
          <w:szCs w:val="32"/>
          <w:lang w:eastAsia="zh-CN"/>
        </w:rPr>
        <w:t>。</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（二）项目绩效目标</w:t>
      </w:r>
      <w:bookmarkEnd w:id="2"/>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项目绩效目标包括项目绩效总目标和阶段性目标。</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1.项目绩效总目标</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根据喀地财教﹝202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﹞5号文件，伽师县</w:t>
      </w:r>
      <w:r>
        <w:rPr>
          <w:rFonts w:hint="eastAsia" w:ascii="方正仿宋_GBK" w:hAnsi="方正仿宋_GBK" w:eastAsia="方正仿宋_GBK" w:cs="方正仿宋_GBK"/>
          <w:color w:val="auto"/>
          <w:sz w:val="32"/>
          <w:szCs w:val="32"/>
          <w:lang w:eastAsia="zh-CN"/>
        </w:rPr>
        <w:t>免住宿费</w:t>
      </w:r>
      <w:r>
        <w:rPr>
          <w:rFonts w:hint="eastAsia" w:ascii="方正仿宋_GBK" w:hAnsi="方正仿宋_GBK" w:eastAsia="方正仿宋_GBK" w:cs="方正仿宋_GBK"/>
          <w:color w:val="auto"/>
          <w:sz w:val="32"/>
          <w:szCs w:val="32"/>
        </w:rPr>
        <w:t>补助项目共计下达资金</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万元，中等职业教育各项国家资助按照规定得到落实，教育公平显著提升，满足家庭经济困难学生基本学习生活需要，缓解学生家庭经济困难，助力家庭脱贫</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提升职业教育吸引力。</w:t>
      </w:r>
    </w:p>
    <w:p>
      <w:pPr>
        <w:pStyle w:val="32"/>
        <w:pageBreakBefore w:val="0"/>
        <w:numPr>
          <w:ilvl w:val="0"/>
          <w:numId w:val="0"/>
        </w:numPr>
        <w:kinsoku/>
        <w:wordWrap/>
        <w:topLinePunct w:val="0"/>
        <w:autoSpaceDE/>
        <w:bidi w:val="0"/>
        <w:spacing w:line="560" w:lineRule="exact"/>
        <w:ind w:firstLine="640" w:firstLineChars="200"/>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rPr>
        <w:t>阶段性目标</w:t>
      </w:r>
      <w:bookmarkStart w:id="3" w:name="_Toc68364660"/>
    </w:p>
    <w:p>
      <w:pPr>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（1）前期准备：</w:t>
      </w:r>
      <w:r>
        <w:rPr>
          <w:rFonts w:hint="eastAsia" w:ascii="方正仿宋_GBK" w:hAnsi="方正仿宋_GBK" w:eastAsia="方正仿宋_GBK" w:cs="方正仿宋_GBK"/>
          <w:color w:val="auto"/>
          <w:sz w:val="32"/>
          <w:szCs w:val="32"/>
        </w:rPr>
        <w:t>通过制定伽师县中职2022年免住宿费补助项目实施方案，经项目负责人审核通过后，有序开展后续工作。</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（2）组织实施：</w:t>
      </w:r>
      <w:r>
        <w:rPr>
          <w:rFonts w:hint="eastAsia" w:ascii="方正仿宋_GBK" w:hAnsi="方正仿宋_GBK" w:eastAsia="方正仿宋_GBK" w:cs="方正仿宋_GBK"/>
          <w:color w:val="auto"/>
          <w:sz w:val="32"/>
          <w:szCs w:val="32"/>
        </w:rPr>
        <w:t>资金一到位，立即根据项目要求实施项目。项目责任人按照项目实施方案要求逐一进行项目部署安排，提高项目质量及效率性。</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3</w:t>
      </w:r>
      <w:r>
        <w:rPr>
          <w:rFonts w:hint="eastAsia" w:ascii="方正仿宋_GBK" w:hAnsi="方正仿宋_GBK" w:eastAsia="方正仿宋_GBK" w:cs="方正仿宋_GBK"/>
          <w:b/>
          <w:bCs/>
          <w:color w:val="auto"/>
          <w:sz w:val="32"/>
          <w:szCs w:val="32"/>
          <w:lang w:eastAsia="zh-CN"/>
        </w:rPr>
        <w:t>）项目投入：</w:t>
      </w:r>
      <w:r>
        <w:rPr>
          <w:rFonts w:hint="eastAsia" w:ascii="方正仿宋_GBK" w:hAnsi="方正仿宋_GBK" w:eastAsia="方正仿宋_GBK" w:cs="方正仿宋_GBK"/>
          <w:color w:val="auto"/>
          <w:sz w:val="32"/>
          <w:szCs w:val="32"/>
          <w:lang w:eastAsia="zh-CN"/>
        </w:rPr>
        <w:t>本项目预算安排总额为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lang w:eastAsia="zh-CN"/>
        </w:rPr>
        <w:t>万元，为</w:t>
      </w:r>
      <w:r>
        <w:rPr>
          <w:rFonts w:hint="eastAsia" w:ascii="方正仿宋_GBK" w:hAnsi="方正仿宋_GBK" w:eastAsia="方正仿宋_GBK" w:cs="方正仿宋_GBK"/>
          <w:color w:val="auto"/>
          <w:sz w:val="32"/>
          <w:szCs w:val="32"/>
          <w:highlight w:val="none"/>
          <w:lang w:val="en-US" w:eastAsia="zh-CN"/>
        </w:rPr>
        <w:t>自治区专项资金</w:t>
      </w:r>
      <w:r>
        <w:rPr>
          <w:rFonts w:hint="eastAsia" w:ascii="方正仿宋_GBK" w:hAnsi="方正仿宋_GBK" w:eastAsia="方正仿宋_GBK" w:cs="方正仿宋_GBK"/>
          <w:color w:val="auto"/>
          <w:sz w:val="32"/>
          <w:szCs w:val="32"/>
          <w:lang w:eastAsia="zh-CN"/>
        </w:rPr>
        <w:t>。</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yellow"/>
          <w:lang w:eastAsia="zh-CN"/>
        </w:rPr>
      </w:pPr>
      <w:r>
        <w:rPr>
          <w:rFonts w:hint="eastAsia" w:ascii="方正仿宋_GBK" w:hAnsi="方正仿宋_GBK" w:eastAsia="方正仿宋_GBK" w:cs="方正仿宋_GBK"/>
          <w:b/>
          <w:bCs/>
          <w:color w:val="auto"/>
          <w:sz w:val="32"/>
          <w:szCs w:val="32"/>
          <w:lang w:val="en-US" w:eastAsia="zh-CN"/>
        </w:rPr>
        <w:t>（4）项目产出：</w:t>
      </w:r>
      <w:r>
        <w:rPr>
          <w:rFonts w:hint="eastAsia" w:ascii="方正仿宋_GBK" w:hAnsi="方正仿宋_GBK" w:eastAsia="方正仿宋_GBK" w:cs="方正仿宋_GBK"/>
          <w:color w:val="auto"/>
          <w:sz w:val="32"/>
          <w:szCs w:val="32"/>
          <w:lang w:val="en-US" w:eastAsia="zh-CN"/>
        </w:rPr>
        <w:t>免住宿费补助项目覆盖2022年在籍学生人数5177人。</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rPr>
        <w:t>）</w:t>
      </w:r>
      <w:r>
        <w:rPr>
          <w:rFonts w:hint="eastAsia" w:ascii="方正仿宋_GBK" w:hAnsi="方正仿宋_GBK" w:eastAsia="方正仿宋_GBK" w:cs="方正仿宋_GBK"/>
          <w:b/>
          <w:bCs/>
          <w:color w:val="auto"/>
          <w:sz w:val="32"/>
          <w:szCs w:val="32"/>
          <w:lang w:eastAsia="zh-CN"/>
        </w:rPr>
        <w:t>项目效果：</w:t>
      </w:r>
      <w:r>
        <w:rPr>
          <w:rFonts w:hint="eastAsia" w:ascii="方正仿宋_GBK" w:hAnsi="方正仿宋_GBK" w:eastAsia="方正仿宋_GBK" w:cs="方正仿宋_GBK"/>
          <w:color w:val="auto"/>
          <w:sz w:val="32"/>
          <w:szCs w:val="32"/>
          <w:lang w:eastAsia="zh-CN"/>
        </w:rPr>
        <w:t>本</w:t>
      </w:r>
      <w:r>
        <w:rPr>
          <w:rFonts w:hint="eastAsia" w:ascii="方正仿宋_GBK" w:hAnsi="方正仿宋_GBK" w:eastAsia="方正仿宋_GBK" w:cs="方正仿宋_GBK"/>
          <w:color w:val="auto"/>
          <w:sz w:val="32"/>
          <w:szCs w:val="32"/>
        </w:rPr>
        <w:t>项目实施后，保障了中等职业学校正常运转，减轻了家庭经济困难学生的生活负担，帮助学生顺利完成学业，提升了中职教育吸引力。教育公平显著提升，满足家庭经济困难学生基本学习生活需要，缓解学生家庭经济困难，助力家庭脱贫；提升职业教育吸引力。</w:t>
      </w:r>
    </w:p>
    <w:p>
      <w:pPr>
        <w:keepNext w:val="0"/>
        <w:keepLines w:val="0"/>
        <w:pageBreakBefore w:val="0"/>
        <w:widowControl w:val="0"/>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0" w:firstLine="640" w:firstLineChars="200"/>
        <w:textAlignment w:val="auto"/>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二、绩效评价工作开展情况</w:t>
      </w:r>
      <w:bookmarkEnd w:id="3"/>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bookmarkStart w:id="4" w:name="_Toc68364661"/>
      <w:r>
        <w:rPr>
          <w:rFonts w:hint="eastAsia" w:ascii="方正楷体_GBK" w:hAnsi="方正楷体_GBK" w:eastAsia="方正楷体_GBK" w:cs="方正楷体_GBK"/>
          <w:color w:val="auto"/>
          <w:sz w:val="32"/>
          <w:szCs w:val="32"/>
        </w:rPr>
        <w:t>（一）绩效评价目的、对象和范围</w:t>
      </w:r>
      <w:bookmarkEnd w:id="4"/>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1.绩效评价目的</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w:t>
      </w:r>
      <w:r>
        <w:rPr>
          <w:rFonts w:hint="eastAsia" w:ascii="Times New Roman" w:hAnsi="Times New Roman" w:eastAsia="方正仿宋_GBK" w:cs="方正仿宋_GBK"/>
          <w:color w:val="auto"/>
          <w:sz w:val="32"/>
          <w:szCs w:val="32"/>
        </w:rPr>
        <w:t>我单位针</w:t>
      </w:r>
      <w:r>
        <w:rPr>
          <w:rFonts w:hint="eastAsia" w:ascii="Times New Roman" w:hAnsi="Times New Roman" w:eastAsia="方正仿宋_GBK" w:cs="方正仿宋_GBK"/>
          <w:color w:val="auto"/>
          <w:sz w:val="32"/>
          <w:szCs w:val="32"/>
          <w:highlight w:val="none"/>
        </w:rPr>
        <w:t>对</w:t>
      </w:r>
      <w:r>
        <w:rPr>
          <w:rFonts w:hint="eastAsia" w:ascii="方正仿宋_GBK" w:hAnsi="方正仿宋_GBK" w:eastAsia="方正仿宋_GBK" w:cs="方正仿宋_GBK"/>
          <w:color w:val="auto"/>
          <w:kern w:val="0"/>
          <w:sz w:val="32"/>
          <w:szCs w:val="32"/>
          <w:highlight w:val="none"/>
          <w:lang w:eastAsia="zh-CN" w:bidi="en-US"/>
        </w:rPr>
        <w:t>伽师县中职2022年免住宿费补助项目</w:t>
      </w:r>
      <w:r>
        <w:rPr>
          <w:rFonts w:hint="eastAsia" w:ascii="Times New Roman" w:hAnsi="Times New Roman" w:eastAsia="方正仿宋_GBK" w:cs="方正仿宋_GBK"/>
          <w:color w:val="auto"/>
          <w:sz w:val="32"/>
          <w:szCs w:val="32"/>
          <w:highlight w:val="none"/>
        </w:rPr>
        <w:t>开</w:t>
      </w:r>
      <w:r>
        <w:rPr>
          <w:rFonts w:hint="eastAsia" w:ascii="Times New Roman" w:hAnsi="Times New Roman" w:eastAsia="方正仿宋_GBK" w:cs="方正仿宋_GBK"/>
          <w:color w:val="auto"/>
          <w:sz w:val="32"/>
          <w:szCs w:val="32"/>
        </w:rPr>
        <w:t>展本次部门项目支出绩效评价工作。</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2.绩效评价对象</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本次评价对象为伽师县中职2022年免住宿费补助项目，以项目支出为对象所对应的预算资金，以项目实施所带来的产出和效果为主要内容，以促进预算单位完成特定工作任务目标所组织开展的绩效评价。</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3.绩效评价范围</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本次评价范围涵盖项目总体绩效目标、各项绩效指标完成情况以及预算执行情况。</w:t>
      </w:r>
      <w:bookmarkStart w:id="5" w:name="_Toc68364662"/>
      <w:r>
        <w:rPr>
          <w:rFonts w:hint="eastAsia" w:ascii="方正仿宋_GBK" w:hAnsi="方正仿宋_GBK" w:eastAsia="方正仿宋_GBK" w:cs="方正仿宋_GBK"/>
          <w:color w:val="auto"/>
          <w:sz w:val="32"/>
          <w:szCs w:val="32"/>
        </w:rPr>
        <w:t>覆盖项目预算资金支出的所有内容进行评价。包括项目决策、项目实施和项目成果验收流程等。</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（二）绩效评价原则、评价指标体系、评价方法评价标准</w:t>
      </w:r>
      <w:bookmarkEnd w:id="5"/>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1.绩效评价原则</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本次绩效评价遵循的原则包括：</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（1）科学公正。</w:t>
      </w:r>
      <w:r>
        <w:rPr>
          <w:rFonts w:hint="eastAsia" w:ascii="方正仿宋_GBK" w:hAnsi="方正仿宋_GBK" w:eastAsia="方正仿宋_GBK" w:cs="方正仿宋_GBK"/>
          <w:color w:val="auto"/>
          <w:sz w:val="32"/>
          <w:szCs w:val="32"/>
        </w:rPr>
        <w:t>绩效评价应当运用科学合理的方法，按照规范的程序，对项目绩效进行客观、公正的反映。</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（2）统筹兼顾。</w:t>
      </w:r>
      <w:r>
        <w:rPr>
          <w:rFonts w:hint="eastAsia" w:ascii="方正仿宋_GBK" w:hAnsi="方正仿宋_GBK" w:eastAsia="方正仿宋_GBK" w:cs="方正仿宋_GBK"/>
          <w:color w:val="auto"/>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（3）激励约束。</w:t>
      </w:r>
      <w:r>
        <w:rPr>
          <w:rFonts w:hint="eastAsia" w:ascii="方正仿宋_GBK" w:hAnsi="方正仿宋_GBK" w:eastAsia="方正仿宋_GBK" w:cs="方正仿宋_GBK"/>
          <w:color w:val="auto"/>
          <w:sz w:val="32"/>
          <w:szCs w:val="32"/>
        </w:rPr>
        <w:t>绩效评价结果应与预算安排、政策调整、改进管理实质性挂钩，体现奖优罚劣和激励相容导向，有效要安排、低效要压减、无效要问责。</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（4）公开透明。</w:t>
      </w:r>
      <w:r>
        <w:rPr>
          <w:rFonts w:hint="eastAsia" w:ascii="方正仿宋_GBK" w:hAnsi="方正仿宋_GBK" w:eastAsia="方正仿宋_GBK" w:cs="方正仿宋_GBK"/>
          <w:color w:val="auto"/>
          <w:sz w:val="32"/>
          <w:szCs w:val="32"/>
        </w:rPr>
        <w:t>绩效评价结果应依法依规公开，并自觉接受社会监督。</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2.绩效评价指标体系</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一级指标为：决策、过程、产出、效益。</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二级指标为：项目立项、绩效目标、资金投入、资金管理、组织实施、产出数量、产出质量、产出时效、产出成本、项目效益。</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Style w:val="32"/>
        <w:pageBreakBefore w:val="0"/>
        <w:kinsoku/>
        <w:wordWrap/>
        <w:topLinePunct w:val="0"/>
        <w:autoSpaceDE/>
        <w:bidi w:val="0"/>
        <w:spacing w:line="560" w:lineRule="exact"/>
        <w:ind w:firstLine="643"/>
        <w:outlineLvl w:val="2"/>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3.绩效评价方法</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color w:val="auto"/>
          <w:sz w:val="32"/>
          <w:szCs w:val="32"/>
          <w:highlight w:val="none"/>
          <w:lang w:bidi="ar"/>
        </w:rPr>
        <w:t>我单位根据本项目资金的性质和特点，选用比较法、因素分析法、公众评判法以及文献法对项目进行评价，旨在通过综合分析影响绩效目标实现、实施效果的内外部因素，从而评价本项目绩效。</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项目决策：</w:t>
      </w:r>
      <w:r>
        <w:rPr>
          <w:rFonts w:hint="eastAsia" w:ascii="方正仿宋_GBK" w:hAnsi="方正仿宋_GBK" w:eastAsia="方正仿宋_GBK" w:cs="方正仿宋_GBK"/>
          <w:color w:val="auto"/>
          <w:sz w:val="32"/>
          <w:szCs w:val="32"/>
          <w:highlight w:val="none"/>
          <w:lang w:bidi="ar"/>
        </w:rPr>
        <w:t>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方正仿宋_GBK" w:hAnsi="方正仿宋_GBK" w:eastAsia="方正仿宋_GBK" w:cs="方正仿宋_GBK"/>
          <w:color w:val="auto"/>
          <w:sz w:val="32"/>
          <w:szCs w:val="32"/>
          <w:highlight w:val="none"/>
          <w:lang w:bidi="ar"/>
        </w:rPr>
        <w:tab/>
      </w:r>
      <w:r>
        <w:rPr>
          <w:rFonts w:hint="eastAsia" w:ascii="方正仿宋_GBK" w:hAnsi="方正仿宋_GBK" w:eastAsia="方正仿宋_GBK" w:cs="方正仿宋_GBK"/>
          <w:color w:val="auto"/>
          <w:sz w:val="32"/>
          <w:szCs w:val="32"/>
          <w:highlight w:val="none"/>
          <w:lang w:bidi="ar"/>
        </w:rPr>
        <w:t>分析在产出一定的情况下，成本取值是否有依据，是否经过询价，是否按照市场最低成本编制。⑥资金分配合理性：因素分析法，综合分析资金的分配依据是否充分，分配金额是否与项目实施单位需求金额一致。</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项目过程：</w:t>
      </w:r>
      <w:r>
        <w:rPr>
          <w:rFonts w:hint="eastAsia" w:ascii="方正仿宋_GBK" w:hAnsi="方正仿宋_GBK" w:eastAsia="方正仿宋_GBK" w:cs="方正仿宋_GBK"/>
          <w:color w:val="auto"/>
          <w:sz w:val="32"/>
          <w:szCs w:val="32"/>
          <w:highlight w:val="none"/>
          <w:lang w:bidi="ar"/>
        </w:rPr>
        <w:t>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项目产出：</w:t>
      </w:r>
      <w:r>
        <w:rPr>
          <w:rFonts w:hint="eastAsia" w:ascii="方正仿宋_GBK" w:hAnsi="方正仿宋_GBK" w:eastAsia="方正仿宋_GBK" w:cs="方正仿宋_GBK"/>
          <w:color w:val="auto"/>
          <w:sz w:val="32"/>
          <w:szCs w:val="32"/>
          <w:highlight w:val="none"/>
          <w:lang w:bidi="ar"/>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color w:val="auto"/>
          <w:sz w:val="32"/>
          <w:szCs w:val="32"/>
          <w:highlight w:val="none"/>
          <w:lang w:bidi="ar"/>
        </w:rPr>
      </w:pPr>
      <w:r>
        <w:rPr>
          <w:rFonts w:hint="eastAsia" w:ascii="方正仿宋_GBK" w:hAnsi="方正仿宋_GBK" w:eastAsia="方正仿宋_GBK" w:cs="方正仿宋_GBK"/>
          <w:b/>
          <w:bCs/>
          <w:color w:val="auto"/>
          <w:sz w:val="32"/>
          <w:szCs w:val="32"/>
          <w:highlight w:val="none"/>
          <w:lang w:bidi="ar"/>
        </w:rPr>
        <w:t>项目效益：</w:t>
      </w:r>
      <w:r>
        <w:rPr>
          <w:rFonts w:hint="eastAsia" w:ascii="方正仿宋_GBK" w:hAnsi="方正仿宋_GBK" w:eastAsia="方正仿宋_GBK" w:cs="方正仿宋_GBK"/>
          <w:color w:val="auto"/>
          <w:sz w:val="32"/>
          <w:szCs w:val="32"/>
          <w:highlight w:val="none"/>
          <w:lang w:bidi="ar"/>
        </w:rPr>
        <w:t>公众评判法、实地勘察法，通过实地勘察、问卷及抽样调查等方式评价本项目实施后社会公众或服务对象对项目实施效果的满意程度。</w:t>
      </w:r>
      <w:bookmarkStart w:id="6" w:name="_Toc68364663"/>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 绩效评价标准</w:t>
      </w:r>
    </w:p>
    <w:p>
      <w:pPr>
        <w:pageBreakBefore w:val="0"/>
        <w:numPr>
          <w:ilvl w:val="0"/>
          <w:numId w:val="0"/>
        </w:numPr>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firstLineChars="200"/>
        <w:contextualSpacing/>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绩效评价标准通常包括计划标准、行业标准、历史标准等，用于对绩效指标完成情况进行比较</w:t>
      </w:r>
      <w:r>
        <w:rPr>
          <w:rFonts w:hint="eastAsia" w:ascii="Times New Roman" w:hAnsi="Times New Roman" w:eastAsia="方正仿宋_GBK" w:cs="方正仿宋_GBK"/>
          <w:color w:val="auto"/>
          <w:sz w:val="32"/>
          <w:szCs w:val="32"/>
          <w:highlight w:val="none"/>
          <w:lang w:eastAsia="zh-CN"/>
        </w:rPr>
        <w:t>、分析、评价</w:t>
      </w:r>
      <w:r>
        <w:rPr>
          <w:rFonts w:hint="eastAsia" w:ascii="Times New Roman" w:hAnsi="Times New Roman" w:eastAsia="方正仿宋_GBK" w:cs="方正仿宋_GBK"/>
          <w:color w:val="auto"/>
          <w:sz w:val="32"/>
          <w:szCs w:val="32"/>
          <w:highlight w:val="none"/>
        </w:rPr>
        <w:t>。本次评价主要采用了</w:t>
      </w:r>
      <w:r>
        <w:rPr>
          <w:rFonts w:hint="eastAsia" w:ascii="Times New Roman" w:hAnsi="Times New Roman" w:eastAsia="方正仿宋_GBK" w:cs="方正仿宋_GBK"/>
          <w:color w:val="auto"/>
          <w:sz w:val="32"/>
          <w:szCs w:val="32"/>
          <w:highlight w:val="none"/>
          <w:lang w:val="en-US" w:eastAsia="zh-CN"/>
        </w:rPr>
        <w:t>计划标准</w:t>
      </w:r>
      <w:r>
        <w:rPr>
          <w:rFonts w:hint="eastAsia" w:eastAsia="方正仿宋_GBK" w:cs="方正仿宋_GBK"/>
          <w:color w:val="auto"/>
          <w:sz w:val="32"/>
          <w:szCs w:val="32"/>
          <w:highlight w:val="none"/>
          <w:lang w:val="en-US" w:eastAsia="zh-CN"/>
        </w:rPr>
        <w:t>，以预先制定的目标、计划、预算、定额等作为评价标准，对比分析项目产出、效益的完成情况</w:t>
      </w:r>
      <w:r>
        <w:rPr>
          <w:rFonts w:hint="eastAsia" w:ascii="Times New Roman" w:hAnsi="Times New Roman" w:eastAsia="方正仿宋_GBK" w:cs="方正仿宋_GBK"/>
          <w:color w:val="auto"/>
          <w:sz w:val="32"/>
          <w:szCs w:val="32"/>
          <w:highlight w:val="none"/>
        </w:rPr>
        <w:t>。</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（三）绩效评价工作过程</w:t>
      </w:r>
      <w:bookmarkEnd w:id="6"/>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本次评价设计了评价方案、评价指标体系，通过资料分析、调研、访谈满意度调查等方式形成评价结论，在与项目单位沟通后确定评价意见，并出具评价报告。</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第一阶段：前期准备（2023年1月3日）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认真学习相关要求与规定，成立绩效评价工作组，作为绩效评价工作具体实施机构。成员构成如下：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吾斯满江·塔依尔任评价组组长，绩效评价工作职责为负责全盘工作。</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卡地尔江·艾力任评价组副组长，绩效评价工作职责为对项目实施情况进行实地调查。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李艳琴</w:t>
      </w:r>
      <w:r>
        <w:rPr>
          <w:rFonts w:hint="eastAsia" w:ascii="方正仿宋_GBK" w:hAnsi="方正仿宋_GBK" w:eastAsia="方正仿宋_GBK" w:cs="方正仿宋_GBK"/>
          <w:color w:val="auto"/>
          <w:sz w:val="32"/>
          <w:szCs w:val="32"/>
        </w:rPr>
        <w:t>任评价组成员，绩效评价工作职责为负责资料审核等工作。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bookmarkStart w:id="7" w:name="_Toc68364664"/>
      <w:r>
        <w:rPr>
          <w:rFonts w:hint="eastAsia" w:ascii="方正仿宋_GBK" w:hAnsi="方正仿宋_GBK" w:eastAsia="方正仿宋_GBK" w:cs="方正仿宋_GBK"/>
          <w:color w:val="auto"/>
          <w:sz w:val="32"/>
          <w:szCs w:val="32"/>
        </w:rPr>
        <w:t>第二阶段：组织实施（2023年1月3日-1月1</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经评价组通过实地调研、查阅资料等方式，采用综合分析法对项目的决策、管理、绩效进行的综合评价分析。</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第三阶段：分析评价（2023年1月15日-2月1日）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首先按照指标体系进行定量、定性分析。其次开展量化打分、综合评价工作，形成初步评价结论。</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第四阶段：撰写与提交评价报告（2023年2月2日-2月10日）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撰写绩效评价报告，按照新疆维吾尔自治区财政绩效管理信息系统绩效评价模块中统一格式和文本框架撰写绩效评价报告并提交审核。</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最后总结项目整体情况，及时落实问题整改，并形成整改报告，最后将项目相关资料存档。</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黑体_GBK" w:hAnsi="方正黑体_GBK" w:eastAsia="方正黑体_GBK" w:cs="方正黑体_GBK"/>
          <w:b w:val="0"/>
          <w:bCs/>
          <w:color w:val="auto"/>
          <w:sz w:val="32"/>
          <w:szCs w:val="32"/>
        </w:rPr>
      </w:pPr>
      <w:r>
        <w:rPr>
          <w:rFonts w:hint="eastAsia" w:ascii="方正黑体_GBK" w:hAnsi="方正黑体_GBK" w:eastAsia="方正黑体_GBK" w:cs="方正黑体_GBK"/>
          <w:b w:val="0"/>
          <w:bCs/>
          <w:color w:val="auto"/>
          <w:sz w:val="32"/>
          <w:szCs w:val="32"/>
        </w:rPr>
        <w:t>三、综合评价情况及评价结论</w:t>
      </w:r>
      <w:bookmarkEnd w:id="7"/>
    </w:p>
    <w:p>
      <w:pPr>
        <w:pStyle w:val="37"/>
        <w:keepNext w:val="0"/>
        <w:keepLines w:val="0"/>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bookmarkStart w:id="8" w:name="_Toc68364665"/>
      <w:r>
        <w:rPr>
          <w:rFonts w:hint="eastAsia" w:ascii="方正楷体_GBK" w:hAnsi="方正楷体_GBK" w:eastAsia="方正楷体_GBK" w:cs="方正楷体_GBK"/>
          <w:color w:val="auto"/>
          <w:sz w:val="32"/>
          <w:szCs w:val="32"/>
        </w:rPr>
        <w:t>（一）综合评价情况</w:t>
      </w:r>
      <w:bookmarkEnd w:id="8"/>
    </w:p>
    <w:p>
      <w:pPr>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rPr>
      </w:pPr>
      <w:bookmarkStart w:id="9" w:name="_Toc68364666"/>
      <w:r>
        <w:rPr>
          <w:rFonts w:hint="eastAsia" w:ascii="Times New Roman" w:hAnsi="Times New Roman" w:eastAsia="方正仿宋_GBK" w:cs="方正仿宋_GBK"/>
          <w:color w:val="auto"/>
          <w:sz w:val="32"/>
          <w:szCs w:val="32"/>
        </w:rPr>
        <w:t>经评价组通过实地调研</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综合分析法</w:t>
      </w:r>
      <w:r>
        <w:rPr>
          <w:rFonts w:hint="eastAsia" w:ascii="Times New Roman" w:hAnsi="Times New Roman" w:eastAsia="方正仿宋_GBK" w:cs="方正仿宋_GBK"/>
          <w:color w:val="auto"/>
          <w:sz w:val="32"/>
          <w:szCs w:val="32"/>
          <w:lang w:eastAsia="zh-CN"/>
        </w:rPr>
        <w:t>、</w:t>
      </w:r>
      <w:r>
        <w:rPr>
          <w:rFonts w:hint="eastAsia" w:ascii="仿宋_GB2312" w:hAnsi="仿宋" w:eastAsia="仿宋_GB2312" w:cs="宋体"/>
          <w:color w:val="auto"/>
          <w:sz w:val="32"/>
          <w:szCs w:val="32"/>
        </w:rPr>
        <w:t>问卷调查法</w:t>
      </w:r>
      <w:r>
        <w:rPr>
          <w:rFonts w:hint="eastAsia" w:ascii="Times New Roman" w:hAnsi="Times New Roman" w:eastAsia="方正仿宋_GBK" w:cs="方正仿宋_GBK"/>
          <w:color w:val="auto"/>
          <w:sz w:val="32"/>
          <w:szCs w:val="32"/>
        </w:rPr>
        <w:t>等方式，</w:t>
      </w:r>
      <w:r>
        <w:rPr>
          <w:rFonts w:hint="eastAsia" w:ascii="Times New Roman" w:hAnsi="Times New Roman" w:eastAsia="方正仿宋_GBK" w:cs="方正仿宋_GBK"/>
          <w:color w:val="auto"/>
          <w:sz w:val="32"/>
          <w:szCs w:val="32"/>
          <w:lang w:val="en-US" w:eastAsia="zh-CN"/>
        </w:rPr>
        <w:t>主要</w:t>
      </w:r>
      <w:r>
        <w:rPr>
          <w:rFonts w:hint="eastAsia" w:ascii="Times New Roman" w:hAnsi="Times New Roman" w:eastAsia="方正仿宋_GBK" w:cs="方正仿宋_GBK"/>
          <w:color w:val="auto"/>
          <w:sz w:val="32"/>
          <w:szCs w:val="32"/>
          <w:highlight w:val="none"/>
        </w:rPr>
        <w:t>采用综合分析法</w:t>
      </w:r>
      <w:r>
        <w:rPr>
          <w:rFonts w:hint="eastAsia" w:ascii="Times New Roman" w:hAnsi="Times New Roman" w:eastAsia="方正仿宋_GBK" w:cs="方正仿宋_GBK"/>
          <w:color w:val="auto"/>
          <w:sz w:val="32"/>
          <w:szCs w:val="32"/>
        </w:rPr>
        <w:t>对项目的决策、实施、产出、效益进行综合评价分析，最终评分</w:t>
      </w:r>
      <w:r>
        <w:rPr>
          <w:rFonts w:hint="eastAsia" w:ascii="Times New Roman" w:hAnsi="Times New Roman" w:eastAsia="方正仿宋_GBK" w:cs="方正仿宋_GBK"/>
          <w:color w:val="auto"/>
          <w:sz w:val="32"/>
          <w:szCs w:val="32"/>
          <w:lang w:val="en-US" w:eastAsia="zh-CN"/>
        </w:rPr>
        <w:t>100</w:t>
      </w:r>
      <w:r>
        <w:rPr>
          <w:rFonts w:hint="eastAsia" w:ascii="Times New Roman" w:hAnsi="Times New Roman" w:eastAsia="方正仿宋_GBK" w:cs="方正仿宋_GBK"/>
          <w:color w:val="auto"/>
          <w:sz w:val="32"/>
          <w:szCs w:val="32"/>
        </w:rPr>
        <w:t>分。</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伽师县中职2022年免住宿费补助项目总体组织规范，完成了伽师县中职2022年免住宿费补助项目的工作目标，有效规范了项目档案资料的整理。</w:t>
      </w:r>
    </w:p>
    <w:p>
      <w:pPr>
        <w:pStyle w:val="8"/>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b/>
          <w:bCs/>
          <w:color w:val="auto"/>
          <w:sz w:val="32"/>
          <w:szCs w:val="32"/>
          <w:lang w:val="en-US" w:eastAsia="zh-CN"/>
        </w:rPr>
        <w:t xml:space="preserve">项目决策方面: </w:t>
      </w:r>
      <w:r>
        <w:rPr>
          <w:rFonts w:hint="eastAsia" w:ascii="方正仿宋_GBK" w:hAnsi="方正仿宋_GBK" w:eastAsia="方正仿宋_GBK" w:cs="方正仿宋_GBK"/>
          <w:color w:val="auto"/>
          <w:sz w:val="32"/>
          <w:szCs w:val="32"/>
          <w:lang w:val="en-US" w:eastAsia="zh-CN"/>
        </w:rPr>
        <w:t xml:space="preserve">本项目的立项符合相关法规政策及部门职责，依据充分；项目按照规定的程序申请设立；审批文件、材料符合相关要求；项目前期已经过必要的可行性研究、专家论证、风险评估、绩效评估、集体决策。 </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 xml:space="preserve">项目管理方面: </w:t>
      </w:r>
      <w:r>
        <w:rPr>
          <w:rFonts w:hint="eastAsia" w:ascii="方正仿宋_GBK" w:hAnsi="方正仿宋_GBK" w:eastAsia="方正仿宋_GBK" w:cs="方正仿宋_GBK"/>
          <w:color w:val="auto"/>
          <w:sz w:val="32"/>
          <w:szCs w:val="32"/>
          <w:lang w:val="en-US" w:eastAsia="zh-CN"/>
        </w:rPr>
        <w:t>2022年本项目预算安排297.83万元，实际支出297.83万元，预算执行率100%。项目资金使用合规，项目财务管理制度健全，财务监控到位，所有资金支付均按照国库集中支付制度严格执行，现有项目管理制度执行情况良好。</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项目产出方面：</w:t>
      </w:r>
      <w:r>
        <w:rPr>
          <w:rFonts w:hint="eastAsia" w:ascii="方正仿宋_GBK" w:hAnsi="方正仿宋_GBK" w:eastAsia="方正仿宋_GBK" w:cs="方正仿宋_GBK"/>
          <w:color w:val="auto"/>
          <w:sz w:val="32"/>
          <w:szCs w:val="32"/>
          <w:lang w:val="en-US" w:eastAsia="zh-CN"/>
        </w:rPr>
        <w:t>免住宿费补助项目覆盖2022年在籍学生人数5177人。</w:t>
      </w:r>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lang w:val="en-US" w:eastAsia="zh-CN"/>
        </w:rPr>
        <w:t>项目效益方面：</w:t>
      </w:r>
      <w:r>
        <w:rPr>
          <w:rFonts w:hint="eastAsia" w:ascii="方正仿宋_GBK" w:hAnsi="方正仿宋_GBK" w:eastAsia="方正仿宋_GBK" w:cs="方正仿宋_GBK"/>
          <w:color w:val="auto"/>
          <w:sz w:val="32"/>
          <w:szCs w:val="32"/>
          <w:lang w:val="en-US" w:eastAsia="zh-CN"/>
        </w:rPr>
        <w:t>教育公平显著提升，满足家庭经济困难学生基本学习生活需要，缓解学生家庭经济困难，助力家庭脱贫，提升职业教育吸引力。</w:t>
      </w:r>
    </w:p>
    <w:p>
      <w:pPr>
        <w:pStyle w:val="32"/>
        <w:pageBreakBefore w:val="0"/>
        <w:numPr>
          <w:ilvl w:val="0"/>
          <w:numId w:val="3"/>
        </w:numPr>
        <w:kinsoku/>
        <w:wordWrap/>
        <w:topLinePunct w:val="0"/>
        <w:autoSpaceDE/>
        <w:bidi w:val="0"/>
        <w:spacing w:line="560" w:lineRule="exact"/>
        <w:ind w:firstLine="64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综合评价结论</w:t>
      </w:r>
      <w:bookmarkEnd w:id="9"/>
      <w:bookmarkStart w:id="10" w:name="_Toc68364667"/>
    </w:p>
    <w:p>
      <w:pPr>
        <w:pStyle w:val="32"/>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32"/>
        <w:pageBreakBefore w:val="0"/>
        <w:kinsoku/>
        <w:wordWrap/>
        <w:topLinePunct w:val="0"/>
        <w:autoSpaceDE/>
        <w:bidi w:val="0"/>
        <w:spacing w:line="560" w:lineRule="exact"/>
        <w:ind w:firstLine="640"/>
        <w:outlineLvl w:val="2"/>
        <w:rPr>
          <w:rFonts w:hint="eastAsia" w:ascii="方正仿宋_GBK" w:hAnsi="方正仿宋_GBK" w:eastAsia="方正仿宋_GBK" w:cs="方正仿宋_GBK"/>
          <w:color w:val="auto"/>
          <w:kern w:val="0"/>
          <w:sz w:val="32"/>
          <w:szCs w:val="32"/>
        </w:rPr>
      </w:pPr>
      <w:r>
        <w:rPr>
          <w:rFonts w:hint="eastAsia" w:ascii="方正仿宋简体" w:hAnsi="方正仿宋简体" w:eastAsia="方正仿宋简体" w:cs="方正仿宋简体"/>
          <w:color w:val="auto"/>
          <w:sz w:val="32"/>
          <w:szCs w:val="32"/>
          <w:lang w:eastAsia="zh-CN"/>
        </w:rPr>
        <w:t>已完成</w:t>
      </w:r>
      <w:r>
        <w:rPr>
          <w:rFonts w:hint="eastAsia" w:ascii="方正仿宋简体" w:hAnsi="方正仿宋简体" w:eastAsia="方正仿宋简体" w:cs="方正仿宋简体"/>
          <w:color w:val="auto"/>
          <w:sz w:val="32"/>
          <w:szCs w:val="32"/>
        </w:rPr>
        <w:t>2022年</w:t>
      </w:r>
      <w:r>
        <w:rPr>
          <w:rFonts w:hint="eastAsia" w:ascii="方正仿宋简体" w:hAnsi="方正仿宋简体" w:eastAsia="方正仿宋简体" w:cs="方正仿宋简体"/>
          <w:color w:val="auto"/>
          <w:sz w:val="32"/>
          <w:szCs w:val="32"/>
          <w:lang w:eastAsia="zh-CN"/>
        </w:rPr>
        <w:t>度</w:t>
      </w:r>
      <w:r>
        <w:rPr>
          <w:rFonts w:hint="eastAsia" w:ascii="方正仿宋_GBK" w:hAnsi="方正仿宋_GBK" w:eastAsia="方正仿宋_GBK" w:cs="方正仿宋_GBK"/>
          <w:color w:val="auto"/>
          <w:sz w:val="32"/>
          <w:szCs w:val="32"/>
          <w:lang w:eastAsia="zh-CN"/>
        </w:rPr>
        <w:t>家庭经济困难学生基本学习生活需要，缓解</w:t>
      </w:r>
      <w:r>
        <w:rPr>
          <w:rFonts w:hint="eastAsia" w:ascii="方正仿宋_GBK" w:hAnsi="方正仿宋_GBK" w:eastAsia="方正仿宋_GBK" w:cs="方正仿宋_GBK"/>
          <w:color w:val="auto"/>
          <w:sz w:val="32"/>
          <w:szCs w:val="32"/>
          <w:lang w:val="en-US" w:eastAsia="zh-CN"/>
        </w:rPr>
        <w:t>5177人</w:t>
      </w:r>
      <w:r>
        <w:rPr>
          <w:rFonts w:hint="eastAsia" w:ascii="方正仿宋_GBK" w:hAnsi="方正仿宋_GBK" w:eastAsia="方正仿宋_GBK" w:cs="方正仿宋_GBK"/>
          <w:color w:val="auto"/>
          <w:sz w:val="32"/>
          <w:szCs w:val="32"/>
          <w:lang w:eastAsia="zh-CN"/>
        </w:rPr>
        <w:t>学生家庭经济困难，助力家庭脱贫；提升职业教育吸引力。</w:t>
      </w:r>
    </w:p>
    <w:p>
      <w:pPr>
        <w:pStyle w:val="3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该项目最终评分100分，绩效评级为“优”，具体得分情况为：项目决策20分、项目过程20分、项目产出40分、项目效益20分。</w:t>
      </w:r>
    </w:p>
    <w:p>
      <w:pPr>
        <w:pStyle w:val="32"/>
        <w:pageBreakBefore w:val="0"/>
        <w:kinsoku/>
        <w:wordWrap/>
        <w:topLinePunct w:val="0"/>
        <w:autoSpaceDE/>
        <w:autoSpaceDN/>
        <w:bidi w:val="0"/>
        <w:spacing w:line="560" w:lineRule="exact"/>
        <w:ind w:left="2238" w:leftChars="228" w:hanging="1600" w:hangingChars="500"/>
        <w:rPr>
          <w:rFonts w:hint="eastAsia" w:ascii="Times New Roman" w:hAnsi="Times New Roman" w:eastAsia="方正仿宋_GBK" w:cs="方正仿宋_GBK"/>
          <w:color w:val="auto"/>
          <w:sz w:val="32"/>
          <w:szCs w:val="32"/>
        </w:rPr>
      </w:pPr>
      <w:r>
        <w:rPr>
          <w:rFonts w:hint="eastAsia" w:ascii="方正仿宋_GBK" w:hAnsi="方正仿宋_GBK" w:eastAsia="方正仿宋_GBK" w:cs="方正仿宋_GBK"/>
          <w:color w:val="auto"/>
          <w:kern w:val="0"/>
          <w:sz w:val="32"/>
          <w:szCs w:val="32"/>
          <w:lang w:eastAsia="zh-CN" w:bidi="en-US"/>
        </w:rPr>
        <w:t>伽师县中职2022年免住宿费补助项目</w:t>
      </w:r>
      <w:r>
        <w:rPr>
          <w:rFonts w:hint="eastAsia" w:ascii="Times New Roman" w:hAnsi="Times New Roman" w:eastAsia="方正仿宋_GBK" w:cs="方正仿宋_GBK"/>
          <w:color w:val="auto"/>
          <w:sz w:val="32"/>
          <w:szCs w:val="32"/>
        </w:rPr>
        <w:t>得分情况表</w:t>
      </w:r>
    </w:p>
    <w:tbl>
      <w:tblPr>
        <w:tblStyle w:val="26"/>
        <w:tblW w:w="8325" w:type="dxa"/>
        <w:jc w:val="center"/>
        <w:tblInd w:w="0" w:type="dxa"/>
        <w:tblLayout w:type="fixed"/>
        <w:tblCellMar>
          <w:top w:w="0" w:type="dxa"/>
          <w:left w:w="0" w:type="dxa"/>
          <w:bottom w:w="0" w:type="dxa"/>
          <w:right w:w="0" w:type="dxa"/>
        </w:tblCellMar>
      </w:tblPr>
      <w:tblGrid>
        <w:gridCol w:w="2317"/>
        <w:gridCol w:w="1840"/>
        <w:gridCol w:w="2083"/>
        <w:gridCol w:w="2085"/>
      </w:tblGrid>
      <w:tr>
        <w:tblPrEx>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权重</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得分率</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实际得分</w:t>
            </w:r>
          </w:p>
        </w:tc>
      </w:tr>
      <w:tr>
        <w:tblPrEx>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项目决策</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项目过程</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项目产出</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r>
      <w:tr>
        <w:tblPrEx>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项目效益</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合计</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r>
    </w:tbl>
    <w:p>
      <w:pPr>
        <w:pStyle w:val="32"/>
        <w:ind w:left="0" w:leftChars="0" w:firstLine="0" w:firstLineChars="0"/>
        <w:rPr>
          <w:rFonts w:hint="eastAsia"/>
          <w:color w:val="auto"/>
        </w:rPr>
      </w:pPr>
    </w:p>
    <w:p>
      <w:pPr>
        <w:pStyle w:val="36"/>
        <w:pageBreakBefore w:val="0"/>
        <w:kinsoku/>
        <w:wordWrap/>
        <w:topLinePunct w:val="0"/>
        <w:autoSpaceDE/>
        <w:bidi w:val="0"/>
        <w:spacing w:before="0" w:after="0" w:line="560" w:lineRule="exact"/>
        <w:ind w:firstLine="640" w:firstLineChars="200"/>
        <w:rPr>
          <w:rFonts w:hint="eastAsia" w:ascii="方正黑体_GBK" w:hAnsi="方正黑体_GBK" w:eastAsia="方正黑体_GBK" w:cs="方正黑体_GBK"/>
          <w:b/>
          <w:bCs w:val="0"/>
          <w:color w:val="auto"/>
          <w:sz w:val="32"/>
          <w:szCs w:val="32"/>
        </w:rPr>
      </w:pPr>
      <w:r>
        <w:rPr>
          <w:rFonts w:hint="eastAsia" w:ascii="方正黑体_GBK" w:hAnsi="方正黑体_GBK" w:eastAsia="方正黑体_GBK" w:cs="方正黑体_GBK"/>
          <w:b/>
          <w:bCs w:val="0"/>
          <w:color w:val="auto"/>
          <w:sz w:val="32"/>
          <w:szCs w:val="32"/>
        </w:rPr>
        <w:t>四、绩效评价指标分析</w:t>
      </w:r>
      <w:bookmarkEnd w:id="10"/>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bookmarkStart w:id="11" w:name="_Toc68364668"/>
      <w:r>
        <w:rPr>
          <w:rFonts w:hint="eastAsia" w:ascii="方正楷体_GBK" w:hAnsi="方正楷体_GBK" w:eastAsia="方正楷体_GBK" w:cs="方正楷体_GBK"/>
          <w:color w:val="auto"/>
          <w:sz w:val="32"/>
          <w:szCs w:val="32"/>
        </w:rPr>
        <w:t>（一）项目决策情况</w:t>
      </w:r>
    </w:p>
    <w:p>
      <w:pPr>
        <w:pageBreakBefore w:val="0"/>
        <w:kinsoku/>
        <w:wordWrap/>
        <w:overflowPunct w:val="0"/>
        <w:topLinePunct w:val="0"/>
        <w:autoSpaceDE/>
        <w:bidi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项目决策类指标包括项目立项、绩效目标和资金投入三方面的内容，由6个三级指标构成，权重分为20分，实际得分20分，得分率为100%。</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立项依据充分性：</w:t>
      </w:r>
      <w:r>
        <w:rPr>
          <w:rFonts w:hint="eastAsia" w:ascii="方正仿宋_GBK" w:hAnsi="方正仿宋_GBK" w:eastAsia="方正仿宋_GBK" w:cs="方正仿宋_GBK"/>
          <w:color w:val="auto"/>
          <w:sz w:val="32"/>
          <w:szCs w:val="32"/>
        </w:rPr>
        <w:t>结合《</w:t>
      </w:r>
      <w:r>
        <w:rPr>
          <w:rFonts w:hint="eastAsia" w:ascii="方正仿宋_GBK" w:hAnsi="方正仿宋_GBK" w:eastAsia="方正仿宋_GBK" w:cs="方正仿宋_GBK"/>
          <w:color w:val="auto"/>
          <w:kern w:val="0"/>
          <w:sz w:val="32"/>
          <w:szCs w:val="32"/>
          <w:lang w:bidi="en-US"/>
        </w:rPr>
        <w:t>关于提前下达2022年教育非直达资金的通知-中等职业学校学生住宿费补助资金</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喀地财教[2022]5号、伽财教[2022]23号</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并组织实施。围绕伽师县年度工作重点和工作计划制定经费预算，</w:t>
      </w:r>
      <w:r>
        <w:rPr>
          <w:rFonts w:hint="eastAsia" w:ascii="方正仿宋_GBK" w:hAnsi="方正仿宋_GBK" w:eastAsia="方正仿宋_GBK" w:cs="方正仿宋_GBK"/>
          <w:bCs w:val="0"/>
          <w:color w:val="auto"/>
          <w:kern w:val="0"/>
          <w:sz w:val="32"/>
          <w:szCs w:val="32"/>
          <w:highlight w:val="none"/>
          <w:lang w:val="en-US" w:eastAsia="zh-CN" w:bidi="ar-SA"/>
        </w:rPr>
        <w:t>项目立项符合伽师县中等职业技术学校职责范围，属于部门履职所需，项目属于公共财政支持范围，符合中央、地方事权支出责任，项目与相关部门同类项目或部门内部相关项目不重复，</w:t>
      </w:r>
      <w:r>
        <w:rPr>
          <w:rFonts w:hint="eastAsia" w:ascii="方正仿宋_GBK" w:hAnsi="方正仿宋_GBK" w:eastAsia="方正仿宋_GBK" w:cs="方正仿宋_GBK"/>
          <w:color w:val="auto"/>
          <w:sz w:val="32"/>
          <w:szCs w:val="32"/>
        </w:rPr>
        <w:t>根据评分标准，该指标不扣分，得3分。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（2）立项程序规范性：</w:t>
      </w:r>
      <w:r>
        <w:rPr>
          <w:rFonts w:hint="eastAsia" w:ascii="方正仿宋_GBK" w:hAnsi="方正仿宋_GBK" w:eastAsia="方正仿宋_GBK" w:cs="方正仿宋_GBK"/>
          <w:color w:val="auto"/>
          <w:sz w:val="32"/>
          <w:szCs w:val="32"/>
        </w:rPr>
        <w:t>根据决策依据编制工作计划和经费预算，经过与</w:t>
      </w:r>
      <w:r>
        <w:rPr>
          <w:rFonts w:hint="eastAsia" w:ascii="方正仿宋_GBK" w:hAnsi="方正仿宋_GBK" w:eastAsia="方正仿宋_GBK" w:cs="方正仿宋_GBK"/>
          <w:color w:val="auto"/>
          <w:sz w:val="32"/>
          <w:szCs w:val="32"/>
          <w:lang w:eastAsia="zh-CN"/>
        </w:rPr>
        <w:t>相关部门</w:t>
      </w:r>
      <w:r>
        <w:rPr>
          <w:rFonts w:hint="eastAsia" w:ascii="方正仿宋_GBK" w:hAnsi="方正仿宋_GBK" w:eastAsia="方正仿宋_GBK" w:cs="方正仿宋_GBK"/>
          <w:color w:val="auto"/>
          <w:sz w:val="32"/>
          <w:szCs w:val="32"/>
        </w:rPr>
        <w:t>进行沟通、筛选确定经费预算计划，上党委会研究确定最终预算方案，</w:t>
      </w:r>
      <w:r>
        <w:rPr>
          <w:rFonts w:hint="eastAsia" w:ascii="方正仿宋_GBK" w:hAnsi="方正仿宋_GBK" w:eastAsia="方正仿宋_GBK" w:cs="方正仿宋_GBK"/>
          <w:color w:val="auto"/>
          <w:kern w:val="0"/>
          <w:sz w:val="32"/>
          <w:szCs w:val="32"/>
          <w:highlight w:val="none"/>
          <w:lang w:val="en-US" w:eastAsia="zh-CN" w:bidi="ar-SA"/>
        </w:rPr>
        <w:t>严格按照规定的程序申请，项目审批文件、材料，事前已经过必要的可行性研究、专家论证、风险评估、绩效评估、集体决策</w:t>
      </w:r>
      <w:r>
        <w:rPr>
          <w:rFonts w:hint="eastAsia" w:ascii="方正仿宋_GBK" w:hAnsi="方正仿宋_GBK" w:eastAsia="方正仿宋_GBK" w:cs="方正仿宋_GBK"/>
          <w:color w:val="auto"/>
          <w:sz w:val="32"/>
          <w:szCs w:val="32"/>
        </w:rPr>
        <w:t>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方正仿宋_GBK" w:hAnsi="方正仿宋_GBK" w:eastAsia="方正仿宋_GBK" w:cs="方正仿宋_GBK"/>
          <w:bCs w:val="0"/>
          <w:color w:val="auto"/>
          <w:kern w:val="0"/>
          <w:sz w:val="32"/>
          <w:szCs w:val="32"/>
          <w:highlight w:val="none"/>
          <w:lang w:val="en-US" w:eastAsia="zh-CN" w:bidi="ar-SA"/>
        </w:rPr>
      </w:pPr>
      <w:r>
        <w:rPr>
          <w:rFonts w:hint="eastAsia" w:ascii="方正仿宋_GBK" w:hAnsi="方正仿宋_GBK" w:eastAsia="方正仿宋_GBK" w:cs="方正仿宋_GBK"/>
          <w:b/>
          <w:bCs/>
          <w:color w:val="auto"/>
          <w:sz w:val="32"/>
          <w:szCs w:val="32"/>
        </w:rPr>
        <w:t>（3）绩效目标合理性</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项目严格</w:t>
      </w:r>
      <w:r>
        <w:rPr>
          <w:rFonts w:hint="eastAsia" w:ascii="方正仿宋_GBK" w:hAnsi="方正仿宋_GBK" w:eastAsia="方正仿宋_GBK" w:cs="方正仿宋_GBK"/>
          <w:bCs w:val="0"/>
          <w:color w:val="auto"/>
          <w:kern w:val="0"/>
          <w:sz w:val="32"/>
          <w:szCs w:val="32"/>
          <w:highlight w:val="none"/>
          <w:lang w:val="en-US" w:eastAsia="zh-CN" w:bidi="ar-SA"/>
        </w:rPr>
        <w:t>《2022年自治区分行业分领域绩效指标体系》，</w:t>
      </w:r>
      <w:r>
        <w:rPr>
          <w:rFonts w:hint="eastAsia" w:ascii="方正仿宋_GBK" w:hAnsi="方正仿宋_GBK" w:eastAsia="方正仿宋_GBK" w:cs="方正仿宋_GBK"/>
          <w:color w:val="auto"/>
          <w:sz w:val="30"/>
          <w:szCs w:val="30"/>
        </w:rPr>
        <w:t>《伽师县中职2022年免住宿费补助项目实施方案》，明确了总体思路及目标、并对任务进行了详细分解，对目标进行了细化，</w:t>
      </w:r>
      <w:r>
        <w:rPr>
          <w:rFonts w:hint="eastAsia" w:ascii="方正仿宋_GBK" w:hAnsi="方正仿宋_GBK" w:eastAsia="方正仿宋_GBK" w:cs="方正仿宋_GBK"/>
          <w:bCs w:val="0"/>
          <w:color w:val="auto"/>
          <w:kern w:val="0"/>
          <w:sz w:val="32"/>
          <w:szCs w:val="32"/>
          <w:highlight w:val="none"/>
          <w:lang w:val="en-US" w:eastAsia="zh-CN" w:bidi="ar-SA"/>
        </w:rPr>
        <w:t>预算确定金额、预算批复的项目投资额都为297.83万元，故绩效目标金额与预算确定的项目投资额或资金量相匹配，得3分。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（4）绩效指标明确性：</w:t>
      </w:r>
      <w:r>
        <w:rPr>
          <w:rFonts w:hint="eastAsia" w:ascii="方正仿宋_GBK" w:hAnsi="方正仿宋_GBK" w:eastAsia="方正仿宋_GBK" w:cs="方正仿宋_GBK"/>
          <w:bCs w:val="0"/>
          <w:color w:val="auto"/>
          <w:kern w:val="0"/>
          <w:sz w:val="32"/>
          <w:szCs w:val="32"/>
          <w:highlight w:val="none"/>
          <w:lang w:val="en-US" w:eastAsia="zh-CN" w:bidi="ar-SA"/>
        </w:rPr>
        <w:t>已</w:t>
      </w:r>
      <w:r>
        <w:rPr>
          <w:rFonts w:hint="eastAsia" w:ascii="方正仿宋_GBK" w:hAnsi="方正仿宋_GBK" w:eastAsia="方正仿宋_GBK" w:cs="方正仿宋_GBK"/>
          <w:color w:val="auto"/>
          <w:sz w:val="32"/>
          <w:szCs w:val="32"/>
        </w:rPr>
        <w:t>将项目绩效目标细化分解为具体的绩效指标，</w:t>
      </w:r>
      <w:r>
        <w:rPr>
          <w:rFonts w:hint="eastAsia" w:ascii="方正仿宋_GBK" w:hAnsi="方正仿宋_GBK" w:eastAsia="方正仿宋_GBK" w:cs="方正仿宋_GBK"/>
          <w:bCs w:val="0"/>
          <w:color w:val="auto"/>
          <w:kern w:val="0"/>
          <w:sz w:val="32"/>
          <w:szCs w:val="32"/>
          <w:highlight w:val="none"/>
          <w:lang w:val="en-US" w:eastAsia="zh-CN" w:bidi="ar-SA"/>
        </w:rPr>
        <w:t>绩效目标通过清晰、可衡量的指标值予以体现，与项目目标任务数或计划数相对应</w:t>
      </w:r>
      <w:r>
        <w:rPr>
          <w:rFonts w:hint="eastAsia" w:ascii="方正仿宋_GBK" w:hAnsi="方正仿宋_GBK" w:eastAsia="方正仿宋_GBK" w:cs="方正仿宋_GBK"/>
          <w:color w:val="auto"/>
          <w:sz w:val="32"/>
          <w:szCs w:val="32"/>
        </w:rPr>
        <w:t>根据评分标准，该指标不扣分，得2分。</w:t>
      </w:r>
    </w:p>
    <w:p>
      <w:pPr>
        <w:pageBreakBefore w:val="0"/>
        <w:numPr>
          <w:ilvl w:val="0"/>
          <w:numId w:val="0"/>
        </w:numPr>
        <w:kinsoku/>
        <w:wordWrap/>
        <w:topLinePunct w:val="0"/>
        <w:autoSpaceDE/>
        <w:autoSpaceDN/>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（5）预算编制科学性：</w:t>
      </w:r>
      <w:r>
        <w:rPr>
          <w:rFonts w:hint="eastAsia" w:ascii="方正仿宋_GBK" w:hAnsi="方正仿宋_GBK" w:eastAsia="方正仿宋_GBK" w:cs="方正仿宋_GBK"/>
          <w:color w:val="auto"/>
          <w:sz w:val="32"/>
          <w:szCs w:val="32"/>
        </w:rPr>
        <w:t>预算编制经过科学论证，内容与项目内容匹配，</w:t>
      </w:r>
      <w:r>
        <w:rPr>
          <w:rFonts w:hint="eastAsia" w:ascii="方正仿宋_GBK" w:hAnsi="方正仿宋_GBK" w:eastAsia="方正仿宋_GBK" w:cs="方正仿宋_GBK"/>
          <w:bCs w:val="0"/>
          <w:color w:val="auto"/>
          <w:kern w:val="0"/>
          <w:sz w:val="32"/>
          <w:szCs w:val="32"/>
          <w:highlight w:val="none"/>
          <w:lang w:val="en-US" w:eastAsia="zh-CN" w:bidi="ar-SA"/>
        </w:rPr>
        <w:t>预算额度测算依据充分，预算确定的</w:t>
      </w:r>
      <w:r>
        <w:rPr>
          <w:rFonts w:hint="eastAsia" w:ascii="方正仿宋_GBK" w:hAnsi="方正仿宋_GBK" w:eastAsia="方正仿宋_GBK" w:cs="方正仿宋_GBK"/>
          <w:color w:val="auto"/>
          <w:sz w:val="32"/>
          <w:szCs w:val="32"/>
        </w:rPr>
        <w:t>项目投资额与工作任务相匹配，根据评分标准，该指标不扣分，得5分。</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（6）资金分配合理性：</w:t>
      </w:r>
      <w:r>
        <w:rPr>
          <w:rFonts w:hint="eastAsia" w:ascii="Times New Roman" w:hAnsi="Times New Roman" w:eastAsia="方正仿宋_GBK" w:cs="方正仿宋_GBK"/>
          <w:b w:val="0"/>
          <w:bCs w:val="0"/>
          <w:color w:val="auto"/>
          <w:sz w:val="32"/>
          <w:szCs w:val="32"/>
          <w:highlight w:val="none"/>
          <w:lang w:eastAsia="zh-CN"/>
        </w:rPr>
        <w:t>本项目以</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kern w:val="0"/>
          <w:sz w:val="32"/>
          <w:szCs w:val="32"/>
          <w:lang w:bidi="en-US"/>
        </w:rPr>
        <w:t>关于提前下达2022年教育非直达资金的通知-中等职业学校学生住宿费补助资金</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rPr>
        <w:t>喀地财教[2022]5号、伽财教[2022]23号</w:t>
      </w: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b w:val="0"/>
          <w:bCs w:val="0"/>
          <w:color w:val="auto"/>
          <w:sz w:val="32"/>
          <w:szCs w:val="32"/>
          <w:highlight w:val="none"/>
          <w:lang w:eastAsia="zh-CN"/>
        </w:rPr>
        <w:t>文件为依据进行资金分配，</w:t>
      </w:r>
      <w:r>
        <w:rPr>
          <w:rFonts w:hint="eastAsia" w:ascii="方正仿宋_GBK" w:hAnsi="方正仿宋_GBK" w:eastAsia="方正仿宋_GBK" w:cs="方正仿宋_GBK"/>
          <w:color w:val="auto"/>
          <w:sz w:val="32"/>
          <w:szCs w:val="32"/>
        </w:rPr>
        <w:t>资金分配与实际相适应，</w:t>
      </w:r>
      <w:r>
        <w:rPr>
          <w:rFonts w:hint="eastAsia" w:ascii="Times New Roman" w:hAnsi="Times New Roman" w:eastAsia="方正仿宋_GBK" w:cs="方正仿宋_GBK"/>
          <w:b w:val="0"/>
          <w:bCs w:val="0"/>
          <w:color w:val="auto"/>
          <w:sz w:val="32"/>
          <w:szCs w:val="32"/>
          <w:highlight w:val="none"/>
          <w:lang w:eastAsia="zh-Hans"/>
        </w:rPr>
        <w:t>资金分配额度合理</w:t>
      </w:r>
      <w:r>
        <w:rPr>
          <w:rFonts w:hint="eastAsia" w:ascii="Times New Roman" w:hAnsi="Times New Roman" w:eastAsia="方正仿宋_GBK" w:cs="方正仿宋_GBK"/>
          <w:b w:val="0"/>
          <w:bCs w:val="0"/>
          <w:color w:val="auto"/>
          <w:sz w:val="32"/>
          <w:szCs w:val="32"/>
          <w:highlight w:val="none"/>
          <w:lang w:eastAsia="zh-CN"/>
        </w:rPr>
        <w:t>，根据评分标准，该指标不扣分，得</w:t>
      </w:r>
      <w:r>
        <w:rPr>
          <w:rFonts w:hint="eastAsia" w:ascii="Times New Roman" w:hAnsi="Times New Roman" w:eastAsia="方正仿宋_GBK" w:cs="方正仿宋_GBK"/>
          <w:b w:val="0"/>
          <w:bCs w:val="0"/>
          <w:color w:val="auto"/>
          <w:sz w:val="32"/>
          <w:szCs w:val="32"/>
          <w:highlight w:val="none"/>
          <w:lang w:val="en-US" w:eastAsia="zh-CN"/>
        </w:rPr>
        <w:t>5</w:t>
      </w:r>
      <w:r>
        <w:rPr>
          <w:rFonts w:hint="eastAsia" w:ascii="Times New Roman" w:hAnsi="Times New Roman" w:eastAsia="方正仿宋_GBK" w:cs="方正仿宋_GBK"/>
          <w:b w:val="0"/>
          <w:bCs w:val="0"/>
          <w:color w:val="auto"/>
          <w:sz w:val="32"/>
          <w:szCs w:val="32"/>
          <w:highlight w:val="none"/>
          <w:lang w:eastAsia="zh-CN"/>
        </w:rPr>
        <w:t>分。</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（二）项目过程情况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项目过程类指标包括资金管理和组织实施两方面的内容，由5个三级指标构成，权重分为20分，实际得分20分，得分率为100%。</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1</w:t>
      </w:r>
      <w:r>
        <w:rPr>
          <w:rFonts w:hint="eastAsia" w:ascii="方正仿宋_GBK" w:hAnsi="方正仿宋_GBK" w:eastAsia="方正仿宋_GBK" w:cs="方正仿宋_GBK"/>
          <w:b/>
          <w:bCs/>
          <w:color w:val="auto"/>
          <w:sz w:val="32"/>
          <w:szCs w:val="32"/>
          <w:lang w:eastAsia="zh-CN"/>
        </w:rPr>
        <w:t>）资</w:t>
      </w:r>
      <w:r>
        <w:rPr>
          <w:rFonts w:hint="eastAsia" w:ascii="方正仿宋_GBK" w:hAnsi="方正仿宋_GBK" w:eastAsia="方正仿宋_GBK" w:cs="方正仿宋_GBK"/>
          <w:b/>
          <w:bCs/>
          <w:color w:val="auto"/>
          <w:sz w:val="32"/>
          <w:szCs w:val="32"/>
        </w:rPr>
        <w:t>金到位率：</w:t>
      </w:r>
      <w:r>
        <w:rPr>
          <w:rFonts w:hint="eastAsia" w:ascii="方正仿宋_GBK" w:hAnsi="方正仿宋_GBK" w:eastAsia="方正仿宋_GBK" w:cs="方正仿宋_GBK"/>
          <w:color w:val="auto"/>
          <w:sz w:val="32"/>
          <w:szCs w:val="32"/>
        </w:rPr>
        <w:t>本项目预算安排总额为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万元，实际到位</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万元，资金到位率100%。</w:t>
      </w:r>
      <w:r>
        <w:rPr>
          <w:rFonts w:hint="eastAsia" w:ascii="方正仿宋_GBK" w:hAnsi="方正仿宋_GBK" w:eastAsia="方正仿宋_GBK" w:cs="方正仿宋_GBK"/>
          <w:bCs w:val="0"/>
          <w:color w:val="auto"/>
          <w:kern w:val="0"/>
          <w:sz w:val="32"/>
          <w:szCs w:val="32"/>
          <w:highlight w:val="none"/>
          <w:lang w:val="en-US" w:eastAsia="zh-CN" w:bidi="ar-SA"/>
        </w:rPr>
        <w:t>资金到位率=（实际到位资金/预算资金）×100%=（297.83万元/297.83万元）×100%=100%，</w:t>
      </w:r>
      <w:r>
        <w:rPr>
          <w:rFonts w:hint="eastAsia" w:ascii="方正仿宋_GBK" w:hAnsi="方正仿宋_GBK" w:eastAsia="方正仿宋_GBK" w:cs="方正仿宋_GBK"/>
          <w:color w:val="auto"/>
          <w:sz w:val="32"/>
          <w:szCs w:val="32"/>
        </w:rPr>
        <w:t xml:space="preserve">财政资金足额拨付到位，能够及时足额按照合同约定将专项资金拨付给联合体单位，根据评分标准，该指标不扣分，得5分。   </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rPr>
        <w:t>（2）预算执行率：</w:t>
      </w:r>
      <w:r>
        <w:rPr>
          <w:rFonts w:hint="eastAsia" w:ascii="方正仿宋_GBK" w:hAnsi="方正仿宋_GBK" w:eastAsia="方正仿宋_GBK" w:cs="方正仿宋_GBK"/>
          <w:color w:val="auto"/>
          <w:sz w:val="32"/>
          <w:szCs w:val="32"/>
        </w:rPr>
        <w:t>本项目预算安排总额为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万元，实际执行</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万元，资金执行率100%。</w:t>
      </w:r>
      <w:r>
        <w:rPr>
          <w:rFonts w:hint="eastAsia" w:ascii="方正仿宋_GBK" w:hAnsi="方正仿宋_GBK" w:eastAsia="方正仿宋_GBK" w:cs="方正仿宋_GBK"/>
          <w:bCs w:val="0"/>
          <w:color w:val="auto"/>
          <w:kern w:val="0"/>
          <w:sz w:val="32"/>
          <w:szCs w:val="32"/>
          <w:highlight w:val="none"/>
          <w:lang w:val="en-US" w:eastAsia="zh-CN" w:bidi="ar-SA"/>
        </w:rPr>
        <w:t>预算执行率=（实际支出资金/实际到位资金）×100%=（297.83万元/297.83万元）×100%=100%，</w:t>
      </w:r>
      <w:r>
        <w:rPr>
          <w:rFonts w:hint="eastAsia" w:ascii="方正仿宋_GBK" w:hAnsi="方正仿宋_GBK" w:eastAsia="方正仿宋_GBK" w:cs="方正仿宋_GBK"/>
          <w:color w:val="auto"/>
          <w:sz w:val="32"/>
          <w:szCs w:val="32"/>
        </w:rPr>
        <w:t>预算编制较为详细，项目资金支出总体能够按照预算执行，根据评分标准，该指标不扣分，得5分。</w:t>
      </w:r>
    </w:p>
    <w:p>
      <w:pPr>
        <w:pStyle w:val="32"/>
        <w:pageBreakBefore w:val="0"/>
        <w:numPr>
          <w:ilvl w:val="0"/>
          <w:numId w:val="0"/>
        </w:numPr>
        <w:kinsoku/>
        <w:wordWrap/>
        <w:topLinePunct w:val="0"/>
        <w:autoSpaceDE/>
        <w:autoSpaceDN/>
        <w:bidi w:val="0"/>
        <w:adjustRightInd/>
        <w:snapToGrid/>
        <w:spacing w:line="570" w:lineRule="exact"/>
        <w:ind w:firstLine="640" w:firstLineChars="200"/>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bCs/>
          <w:color w:val="auto"/>
          <w:sz w:val="32"/>
          <w:szCs w:val="32"/>
        </w:rPr>
        <w:t>（3）资金使用合规性：</w:t>
      </w:r>
      <w:r>
        <w:rPr>
          <w:rFonts w:hint="eastAsia" w:ascii="方正仿宋_GBK" w:hAnsi="方正仿宋_GBK" w:eastAsia="方正仿宋_GBK" w:cs="方正仿宋_GBK"/>
          <w:color w:val="auto"/>
          <w:sz w:val="32"/>
          <w:szCs w:val="32"/>
          <w:highlight w:val="none"/>
        </w:rPr>
        <w:t>经查证项目的支付凭证，项目资金的使用</w:t>
      </w:r>
      <w:r>
        <w:rPr>
          <w:rFonts w:hint="eastAsia" w:ascii="方正仿宋_GBK" w:hAnsi="方正仿宋_GBK" w:eastAsia="方正仿宋_GBK" w:cs="方正仿宋_GBK"/>
          <w:color w:val="auto"/>
          <w:sz w:val="32"/>
          <w:szCs w:val="32"/>
          <w:highlight w:val="none"/>
          <w:lang w:eastAsia="zh-CN"/>
        </w:rPr>
        <w:t>做到《伽师县中等职业技术学校单位管理制度》“专款专用的使用要求”，资金的拨付有较为完整的审批程序和手续，经查证项目合同文件、支付凭证等资料，项目资金使用符合项目预算批复和合同规定的用途，</w:t>
      </w:r>
      <w:r>
        <w:rPr>
          <w:rFonts w:hint="eastAsia" w:ascii="方正仿宋_GBK" w:hAnsi="方正仿宋_GBK" w:eastAsia="方正仿宋_GBK" w:cs="方正仿宋_GBK"/>
          <w:b w:val="0"/>
          <w:bCs w:val="0"/>
          <w:color w:val="auto"/>
          <w:sz w:val="32"/>
          <w:szCs w:val="32"/>
          <w:highlight w:val="none"/>
        </w:rPr>
        <w:t>经查证，项目资金使用不存在截留、挤占、挪用、虚列支出等情况。</w:t>
      </w:r>
    </w:p>
    <w:p>
      <w:pPr>
        <w:pageBreakBefore w:val="0"/>
        <w:kinsoku/>
        <w:wordWrap/>
        <w:topLinePunct w:val="0"/>
        <w:autoSpaceDE/>
        <w:autoSpaceDN/>
        <w:bidi w:val="0"/>
        <w:spacing w:line="560" w:lineRule="exact"/>
        <w:ind w:firstLine="643"/>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资金支出符合财务管理制度规定，根据评分标准，该指标不扣分，得5分。</w:t>
      </w:r>
    </w:p>
    <w:p>
      <w:pPr>
        <w:pStyle w:val="32"/>
        <w:pageBreakBefore w:val="0"/>
        <w:numPr>
          <w:ilvl w:val="0"/>
          <w:numId w:val="0"/>
        </w:numPr>
        <w:kinsoku/>
        <w:wordWrap/>
        <w:topLinePunct w:val="0"/>
        <w:autoSpaceDE/>
        <w:autoSpaceDN/>
        <w:bidi w:val="0"/>
        <w:adjustRightInd/>
        <w:snapToGrid/>
        <w:spacing w:line="57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b/>
          <w:bCs/>
          <w:color w:val="auto"/>
          <w:sz w:val="32"/>
          <w:szCs w:val="32"/>
        </w:rPr>
        <w:t>（4）管理制度健全性：</w:t>
      </w:r>
      <w:r>
        <w:rPr>
          <w:rFonts w:hint="eastAsia" w:ascii="方正仿宋_GBK" w:hAnsi="方正仿宋_GBK" w:eastAsia="方正仿宋_GBK" w:cs="方正仿宋_GBK"/>
          <w:color w:val="auto"/>
          <w:sz w:val="32"/>
          <w:szCs w:val="32"/>
          <w:lang w:eastAsia="zh-CN"/>
        </w:rPr>
        <w:t>我单位制定了</w:t>
      </w:r>
      <w:r>
        <w:rPr>
          <w:rFonts w:hint="eastAsia" w:ascii="方正仿宋_GBK" w:hAnsi="方正仿宋_GBK" w:eastAsia="方正仿宋_GBK" w:cs="方正仿宋_GBK"/>
          <w:color w:val="auto"/>
          <w:sz w:val="32"/>
          <w:szCs w:val="32"/>
          <w:highlight w:val="none"/>
          <w:lang w:eastAsia="zh-CN"/>
        </w:rPr>
        <w:t>《伽师县中等职业技术学校部门单位预算绩效管理工作实施办法》，</w:t>
      </w:r>
      <w:r>
        <w:rPr>
          <w:rFonts w:hint="eastAsia" w:ascii="方正仿宋_GBK" w:hAnsi="方正仿宋_GBK" w:eastAsia="方正仿宋_GBK" w:cs="方正仿宋_GBK"/>
          <w:color w:val="auto"/>
          <w:sz w:val="32"/>
          <w:szCs w:val="32"/>
          <w:lang w:eastAsia="zh-CN"/>
        </w:rPr>
        <w:t>《伽师县中等职业技术学校财务管理制度》等健全完整的项目管理制度，资金管理办法，</w:t>
      </w:r>
      <w:r>
        <w:rPr>
          <w:rFonts w:hint="eastAsia" w:ascii="方正仿宋_GBK" w:hAnsi="方正仿宋_GBK" w:eastAsia="方正仿宋_GBK" w:cs="方正仿宋_GBK"/>
          <w:color w:val="auto"/>
          <w:sz w:val="32"/>
          <w:szCs w:val="32"/>
          <w:highlight w:val="none"/>
          <w:lang w:eastAsia="zh-CN"/>
        </w:rPr>
        <w:t>相关制度的制定依据《中华人民共和国会计法》、《基本建设财务规则》（财政部令第81号）、《中华人民共和国预算法》、《事业单位财务规则》、《会计基础工作规范》等国家法律法规文件，符合行政事业单位内控管理要求，财务和业务管理制度合法、合规、完整。</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highlight w:val="none"/>
          <w:lang w:eastAsia="zh-CN"/>
        </w:rPr>
        <w:t>综上，该指标满分</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eastAsia="zh-CN"/>
        </w:rPr>
        <w:t>分，根据评分标准得</w:t>
      </w: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eastAsia="zh-CN"/>
        </w:rPr>
        <w:t>分。</w:t>
      </w:r>
    </w:p>
    <w:p>
      <w:pPr>
        <w:pStyle w:val="32"/>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b/>
          <w:bCs/>
          <w:color w:val="auto"/>
          <w:sz w:val="32"/>
          <w:szCs w:val="32"/>
        </w:rPr>
        <w:t>（5）制度执行有效性</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由部门提出经费预算支出伽师县中职2022年免住宿费补助项目实施方案，经过与相关部门沟通后，报党支部会议研究执行，财务对资金的使用合法合规性进行监督，年底对资金使用效果进行自评，为加强对伽师县中职2022年免住宿费补助项目的组织领导，确保项目保质保量的按照相关规定及程序完成，成立项目领导小组，具体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吾斯满江·塔依尔任组长，负责全盘工作。</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卡地尔江·艾力任副组长，对项目实施情况进行实地调查。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李艳琴为</w:t>
      </w:r>
      <w:r>
        <w:rPr>
          <w:rFonts w:hint="eastAsia" w:ascii="方正仿宋_GBK" w:hAnsi="方正仿宋_GBK" w:eastAsia="方正仿宋_GBK" w:cs="方正仿宋_GBK"/>
          <w:color w:val="auto"/>
          <w:sz w:val="32"/>
          <w:szCs w:val="32"/>
        </w:rPr>
        <w:t>组员，负责资料审核等工作。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color w:val="auto"/>
        </w:rPr>
      </w:pPr>
      <w:r>
        <w:rPr>
          <w:rFonts w:hint="eastAsia" w:ascii="方正仿宋_GBK" w:hAnsi="方正仿宋_GBK" w:eastAsia="方正仿宋_GBK" w:cs="方正仿宋_GBK"/>
          <w:color w:val="auto"/>
          <w:sz w:val="32"/>
          <w:szCs w:val="32"/>
        </w:rPr>
        <w:t>根据评分标准，该指标不扣分，得3分。</w:t>
      </w:r>
    </w:p>
    <w:p>
      <w:pPr>
        <w:pStyle w:val="37"/>
        <w:pageBreakBefore w:val="0"/>
        <w:kinsoku/>
        <w:wordWrap/>
        <w:topLinePunct w:val="0"/>
        <w:autoSpaceDE/>
        <w:bidi w:val="0"/>
        <w:spacing w:before="0" w:after="0" w:line="560" w:lineRule="exact"/>
        <w:ind w:left="56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（三）项目产出情况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项目产出类指标包括产出数量、产出质量、产出时效、产出成本四方面的内容，由</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个三级指标构成，权重分为</w:t>
      </w:r>
      <w:r>
        <w:rPr>
          <w:rFonts w:hint="eastAsia" w:ascii="方正仿宋_GBK" w:hAnsi="方正仿宋_GBK" w:eastAsia="方正仿宋_GBK" w:cs="方正仿宋_GBK"/>
          <w:color w:val="auto"/>
          <w:sz w:val="32"/>
          <w:szCs w:val="32"/>
          <w:lang w:val="en-US" w:eastAsia="zh-CN"/>
        </w:rPr>
        <w:t>40</w:t>
      </w:r>
      <w:r>
        <w:rPr>
          <w:rFonts w:hint="eastAsia" w:ascii="方正仿宋_GBK" w:hAnsi="方正仿宋_GBK" w:eastAsia="方正仿宋_GBK" w:cs="方正仿宋_GBK"/>
          <w:color w:val="auto"/>
          <w:sz w:val="32"/>
          <w:szCs w:val="32"/>
        </w:rPr>
        <w:t>分，实际得分</w:t>
      </w:r>
      <w:r>
        <w:rPr>
          <w:rFonts w:hint="eastAsia" w:ascii="方正仿宋_GBK" w:hAnsi="方正仿宋_GBK" w:eastAsia="方正仿宋_GBK" w:cs="方正仿宋_GBK"/>
          <w:color w:val="auto"/>
          <w:sz w:val="32"/>
          <w:szCs w:val="32"/>
          <w:lang w:val="en-US" w:eastAsia="zh-CN"/>
        </w:rPr>
        <w:t>40</w:t>
      </w:r>
      <w:r>
        <w:rPr>
          <w:rFonts w:hint="eastAsia" w:ascii="方正仿宋_GBK" w:hAnsi="方正仿宋_GBK" w:eastAsia="方正仿宋_GBK" w:cs="方正仿宋_GBK"/>
          <w:color w:val="auto"/>
          <w:sz w:val="32"/>
          <w:szCs w:val="32"/>
        </w:rPr>
        <w:t>分，得分率为100%。</w:t>
      </w:r>
    </w:p>
    <w:p>
      <w:pPr>
        <w:pageBreakBefore w:val="0"/>
        <w:numPr>
          <w:ilvl w:val="0"/>
          <w:numId w:val="4"/>
        </w:numPr>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对于“产出数量”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lang w:eastAsia="zh-CN"/>
        </w:rPr>
        <w:t>受助学生人数指标，预期指标值等于</w:t>
      </w:r>
      <w:r>
        <w:rPr>
          <w:rFonts w:hint="eastAsia" w:ascii="方正仿宋_GBK" w:hAnsi="方正仿宋_GBK" w:eastAsia="方正仿宋_GBK" w:cs="方正仿宋_GBK"/>
          <w:color w:val="auto"/>
          <w:sz w:val="32"/>
          <w:szCs w:val="32"/>
          <w:lang w:val="en-US" w:eastAsia="zh-CN"/>
        </w:rPr>
        <w:t>5177</w:t>
      </w:r>
      <w:r>
        <w:rPr>
          <w:rFonts w:hint="eastAsia" w:ascii="方正仿宋_GBK" w:hAnsi="方正仿宋_GBK" w:eastAsia="方正仿宋_GBK" w:cs="方正仿宋_GBK"/>
          <w:color w:val="auto"/>
          <w:sz w:val="32"/>
          <w:szCs w:val="32"/>
        </w:rPr>
        <w:t>人，实际完成值为</w:t>
      </w:r>
      <w:r>
        <w:rPr>
          <w:rFonts w:hint="eastAsia" w:ascii="方正仿宋_GBK" w:hAnsi="方正仿宋_GBK" w:eastAsia="方正仿宋_GBK" w:cs="方正仿宋_GBK"/>
          <w:color w:val="auto"/>
          <w:sz w:val="32"/>
          <w:szCs w:val="32"/>
          <w:lang w:val="en-US" w:eastAsia="zh-CN"/>
        </w:rPr>
        <w:t>5177</w:t>
      </w:r>
      <w:r>
        <w:rPr>
          <w:rFonts w:hint="eastAsia" w:ascii="方正仿宋_GBK" w:hAnsi="方正仿宋_GBK" w:eastAsia="方正仿宋_GBK" w:cs="方正仿宋_GBK"/>
          <w:color w:val="auto"/>
          <w:sz w:val="32"/>
          <w:szCs w:val="32"/>
        </w:rPr>
        <w:t>人，与预期目标一致，根据评分标准，该指标不扣分，得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合计得分10分。</w:t>
      </w:r>
    </w:p>
    <w:p>
      <w:pPr>
        <w:pageBreakBefore w:val="0"/>
        <w:numPr>
          <w:ilvl w:val="0"/>
          <w:numId w:val="0"/>
        </w:numPr>
        <w:kinsoku/>
        <w:wordWrap/>
        <w:topLinePunct w:val="0"/>
        <w:autoSpaceDE/>
        <w:bidi w:val="0"/>
        <w:spacing w:line="560"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lang w:val="en-US" w:eastAsia="zh-CN"/>
        </w:rPr>
        <w:t>2</w:t>
      </w:r>
      <w:r>
        <w:rPr>
          <w:rFonts w:hint="eastAsia" w:ascii="方正仿宋_GBK" w:hAnsi="方正仿宋_GBK" w:eastAsia="方正仿宋_GBK" w:cs="方正仿宋_GBK"/>
          <w:b/>
          <w:bCs/>
          <w:color w:val="auto"/>
          <w:sz w:val="32"/>
          <w:szCs w:val="32"/>
          <w:lang w:eastAsia="zh-CN"/>
        </w:rPr>
        <w:t>）</w:t>
      </w:r>
      <w:r>
        <w:rPr>
          <w:rFonts w:hint="eastAsia" w:ascii="方正仿宋_GBK" w:hAnsi="方正仿宋_GBK" w:eastAsia="方正仿宋_GBK" w:cs="方正仿宋_GBK"/>
          <w:b/>
          <w:bCs/>
          <w:color w:val="auto"/>
          <w:sz w:val="32"/>
          <w:szCs w:val="32"/>
        </w:rPr>
        <w:t>对于“产出质量”：</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受助学生覆盖率</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）指标，预期指标值等于</w:t>
      </w:r>
      <w:r>
        <w:rPr>
          <w:rFonts w:hint="eastAsia" w:ascii="方正仿宋_GBK" w:hAnsi="方正仿宋_GBK" w:eastAsia="方正仿宋_GBK" w:cs="方正仿宋_GBK"/>
          <w:color w:val="auto"/>
          <w:sz w:val="32"/>
          <w:szCs w:val="32"/>
        </w:rPr>
        <w:t>100%，实际完成值为100%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rPr>
        <w:t>资助政策覆盖率</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）指标，预期指标值等于</w:t>
      </w:r>
      <w:r>
        <w:rPr>
          <w:rFonts w:hint="eastAsia" w:ascii="方正仿宋_GBK" w:hAnsi="方正仿宋_GBK" w:eastAsia="方正仿宋_GBK" w:cs="方正仿宋_GBK"/>
          <w:color w:val="auto"/>
          <w:sz w:val="32"/>
          <w:szCs w:val="32"/>
          <w:lang w:val="en-US" w:eastAsia="zh-CN"/>
        </w:rPr>
        <w:t>100% ,</w:t>
      </w:r>
      <w:r>
        <w:rPr>
          <w:rFonts w:hint="eastAsia" w:ascii="方正仿宋_GBK" w:hAnsi="方正仿宋_GBK" w:eastAsia="方正仿宋_GBK" w:cs="方正仿宋_GBK"/>
          <w:color w:val="auto"/>
          <w:sz w:val="32"/>
          <w:szCs w:val="32"/>
        </w:rPr>
        <w:t>实际完成值为100%</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highlight w:val="none"/>
        </w:rPr>
        <w:t>与预期目标一致，根据评分标准，该指标不扣分，得</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合计得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Style w:val="9"/>
        <w:pageBreakBefore w:val="0"/>
        <w:numPr>
          <w:ilvl w:val="0"/>
          <w:numId w:val="4"/>
        </w:numPr>
        <w:kinsoku/>
        <w:wordWrap/>
        <w:topLinePunct w:val="0"/>
        <w:autoSpaceDE/>
        <w:bidi w:val="0"/>
        <w:spacing w:before="0" w:after="0" w:line="560" w:lineRule="exact"/>
        <w:ind w:firstLine="643"/>
        <w:jc w:val="both"/>
        <w:rPr>
          <w:rFonts w:hint="eastAsia" w:ascii="方正仿宋_GBK" w:hAnsi="方正仿宋_GBK" w:eastAsia="方正仿宋_GBK" w:cs="方正仿宋_GBK"/>
          <w:bCs/>
          <w:color w:val="auto"/>
          <w:sz w:val="32"/>
          <w:szCs w:val="32"/>
        </w:rPr>
      </w:pPr>
      <w:r>
        <w:rPr>
          <w:rFonts w:hint="eastAsia" w:ascii="方正仿宋_GBK" w:hAnsi="方正仿宋_GBK" w:eastAsia="方正仿宋_GBK" w:cs="方正仿宋_GBK"/>
          <w:bCs/>
          <w:color w:val="auto"/>
          <w:sz w:val="32"/>
          <w:szCs w:val="32"/>
        </w:rPr>
        <w:t>对于“产出时效”：</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项目完成时间202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年12月，实际完成值为202</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年12月，指标完成情况为100%，与预期目标一致，根据评分标准，该指标不扣分，得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资助资金按时发放率（</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）指标</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预期指标值等于</w:t>
      </w:r>
      <w:r>
        <w:rPr>
          <w:rFonts w:hint="eastAsia" w:ascii="方正仿宋_GBK" w:hAnsi="方正仿宋_GBK" w:eastAsia="方正仿宋_GBK" w:cs="方正仿宋_GBK"/>
          <w:color w:val="auto"/>
          <w:sz w:val="32"/>
          <w:szCs w:val="32"/>
          <w:lang w:val="en-US" w:eastAsia="zh-CN"/>
        </w:rPr>
        <w:t xml:space="preserve">100% , </w:t>
      </w:r>
      <w:r>
        <w:rPr>
          <w:rFonts w:hint="eastAsia" w:ascii="方正仿宋_GBK" w:hAnsi="方正仿宋_GBK" w:eastAsia="方正仿宋_GBK" w:cs="方正仿宋_GBK"/>
          <w:color w:val="auto"/>
          <w:sz w:val="32"/>
          <w:szCs w:val="32"/>
        </w:rPr>
        <w:t>实际完成值为100%，与预期目标一致，根据评分标准，该指标不扣分，得</w:t>
      </w:r>
      <w:r>
        <w:rPr>
          <w:rFonts w:hint="eastAsia" w:ascii="方正仿宋_GBK" w:hAnsi="方正仿宋_GBK" w:eastAsia="方正仿宋_GBK" w:cs="方正仿宋_GBK"/>
          <w:color w:val="auto"/>
          <w:sz w:val="32"/>
          <w:szCs w:val="32"/>
          <w:lang w:val="en-US" w:eastAsia="zh-CN"/>
        </w:rPr>
        <w:t>5</w:t>
      </w:r>
      <w:r>
        <w:rPr>
          <w:rFonts w:hint="eastAsia" w:ascii="方正仿宋_GBK" w:hAnsi="方正仿宋_GBK" w:eastAsia="方正仿宋_GBK" w:cs="方正仿宋_GBK"/>
          <w:color w:val="auto"/>
          <w:sz w:val="32"/>
          <w:szCs w:val="32"/>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rPr>
      </w:pPr>
      <w:r>
        <w:rPr>
          <w:rFonts w:hint="eastAsia" w:ascii="方正仿宋_GBK" w:hAnsi="方正仿宋_GBK" w:eastAsia="方正仿宋_GBK" w:cs="方正仿宋_GBK"/>
          <w:b w:val="0"/>
          <w:bCs/>
          <w:color w:val="auto"/>
          <w:sz w:val="32"/>
          <w:szCs w:val="32"/>
        </w:rPr>
        <w:t>合计得</w:t>
      </w:r>
      <w:r>
        <w:rPr>
          <w:rFonts w:hint="eastAsia" w:ascii="方正仿宋_GBK" w:hAnsi="方正仿宋_GBK" w:eastAsia="方正仿宋_GBK" w:cs="方正仿宋_GBK"/>
          <w:b w:val="0"/>
          <w:bCs/>
          <w:color w:val="auto"/>
          <w:sz w:val="32"/>
          <w:szCs w:val="32"/>
          <w:lang w:val="en-US" w:eastAsia="zh-CN"/>
        </w:rPr>
        <w:t>10</w:t>
      </w:r>
      <w:r>
        <w:rPr>
          <w:rFonts w:hint="eastAsia" w:ascii="方正仿宋_GBK" w:hAnsi="方正仿宋_GBK" w:eastAsia="方正仿宋_GBK" w:cs="方正仿宋_GBK"/>
          <w:b w:val="0"/>
          <w:bCs/>
          <w:color w:val="auto"/>
          <w:sz w:val="32"/>
          <w:szCs w:val="32"/>
        </w:rPr>
        <w:t>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（4）对于“产出成本”：</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中等职业教育学生平均标准（元/人/年）</w:t>
      </w:r>
      <w:r>
        <w:rPr>
          <w:rFonts w:hint="eastAsia" w:ascii="方正仿宋_GBK" w:hAnsi="方正仿宋_GBK" w:eastAsia="方正仿宋_GBK" w:cs="方正仿宋_GBK"/>
          <w:color w:val="auto"/>
          <w:sz w:val="32"/>
          <w:szCs w:val="32"/>
          <w:lang w:eastAsia="zh-CN"/>
        </w:rPr>
        <w:t>指标</w:t>
      </w: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eastAsia="zh-CN"/>
        </w:rPr>
        <w:t>预期指标值小于等于</w:t>
      </w:r>
      <w:r>
        <w:rPr>
          <w:rFonts w:hint="eastAsia" w:ascii="方正仿宋_GBK" w:hAnsi="方正仿宋_GBK" w:eastAsia="方正仿宋_GBK" w:cs="方正仿宋_GBK"/>
          <w:color w:val="auto"/>
          <w:sz w:val="32"/>
          <w:szCs w:val="32"/>
          <w:lang w:val="en-US" w:eastAsia="zh-CN"/>
        </w:rPr>
        <w:t>575.294元/人/年，</w:t>
      </w:r>
      <w:r>
        <w:rPr>
          <w:rFonts w:hint="eastAsia" w:ascii="方正仿宋_GBK" w:hAnsi="方正仿宋_GBK" w:eastAsia="方正仿宋_GBK" w:cs="方正仿宋_GBK"/>
          <w:color w:val="auto"/>
          <w:sz w:val="32"/>
          <w:szCs w:val="32"/>
        </w:rPr>
        <w:t>实际完成值为</w:t>
      </w:r>
      <w:r>
        <w:rPr>
          <w:rFonts w:hint="eastAsia" w:ascii="方正仿宋_GBK" w:hAnsi="方正仿宋_GBK" w:eastAsia="方正仿宋_GBK" w:cs="方正仿宋_GBK"/>
          <w:color w:val="auto"/>
          <w:sz w:val="32"/>
          <w:szCs w:val="32"/>
          <w:lang w:val="en-US" w:eastAsia="zh-CN"/>
        </w:rPr>
        <w:t>575.294元/人/年</w:t>
      </w:r>
      <w:r>
        <w:rPr>
          <w:rFonts w:hint="eastAsia" w:ascii="方正仿宋_GBK" w:hAnsi="方正仿宋_GBK" w:eastAsia="方正仿宋_GBK" w:cs="方正仿宋_GBK"/>
          <w:color w:val="auto"/>
          <w:sz w:val="32"/>
          <w:szCs w:val="32"/>
        </w:rPr>
        <w:t>，与预期目标一致，根据评分标准，该指标不扣分，得</w:t>
      </w:r>
      <w:r>
        <w:rPr>
          <w:rFonts w:hint="eastAsia" w:ascii="方正仿宋_GBK" w:hAnsi="方正仿宋_GBK" w:eastAsia="方正仿宋_GBK" w:cs="方正仿宋_GBK"/>
          <w:color w:val="auto"/>
          <w:sz w:val="32"/>
          <w:szCs w:val="32"/>
          <w:lang w:val="en-US" w:eastAsia="zh-CN"/>
        </w:rPr>
        <w:t>10</w:t>
      </w:r>
      <w:r>
        <w:rPr>
          <w:rFonts w:hint="eastAsia" w:ascii="方正仿宋_GBK" w:hAnsi="方正仿宋_GBK" w:eastAsia="方正仿宋_GBK" w:cs="方正仿宋_GBK"/>
          <w:color w:val="auto"/>
          <w:sz w:val="32"/>
          <w:szCs w:val="32"/>
        </w:rPr>
        <w:t>分。</w:t>
      </w:r>
    </w:p>
    <w:p>
      <w:pPr>
        <w:pStyle w:val="9"/>
        <w:pageBreakBefore w:val="0"/>
        <w:kinsoku/>
        <w:wordWrap/>
        <w:topLinePunct w:val="0"/>
        <w:autoSpaceDE/>
        <w:bidi w:val="0"/>
        <w:spacing w:before="0" w:after="0" w:line="560" w:lineRule="exact"/>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val="0"/>
          <w:bCs/>
          <w:color w:val="auto"/>
          <w:sz w:val="32"/>
          <w:szCs w:val="32"/>
        </w:rPr>
        <w:t>合计得</w:t>
      </w:r>
      <w:r>
        <w:rPr>
          <w:rFonts w:hint="eastAsia" w:ascii="方正仿宋_GBK" w:hAnsi="方正仿宋_GBK" w:eastAsia="方正仿宋_GBK" w:cs="方正仿宋_GBK"/>
          <w:b w:val="0"/>
          <w:bCs/>
          <w:color w:val="auto"/>
          <w:sz w:val="32"/>
          <w:szCs w:val="32"/>
          <w:lang w:val="en-US" w:eastAsia="zh-CN"/>
        </w:rPr>
        <w:t>10</w:t>
      </w:r>
      <w:r>
        <w:rPr>
          <w:rFonts w:hint="eastAsia" w:ascii="方正仿宋_GBK" w:hAnsi="方正仿宋_GBK" w:eastAsia="方正仿宋_GBK" w:cs="方正仿宋_GBK"/>
          <w:b w:val="0"/>
          <w:bCs/>
          <w:color w:val="auto"/>
          <w:sz w:val="32"/>
          <w:szCs w:val="32"/>
        </w:rPr>
        <w:t>分。</w:t>
      </w:r>
    </w:p>
    <w:p>
      <w:pPr>
        <w:pageBreakBefore w:val="0"/>
        <w:kinsoku/>
        <w:wordWrap/>
        <w:topLinePunct w:val="0"/>
        <w:autoSpaceDE/>
        <w:bidi w:val="0"/>
        <w:spacing w:line="560" w:lineRule="exact"/>
        <w:ind w:firstLine="640"/>
        <w:rPr>
          <w:rFonts w:hint="eastAsia" w:ascii="方正楷体_GBK" w:hAnsi="方正楷体_GBK" w:eastAsia="方正楷体_GBK" w:cs="方正楷体_GBK"/>
          <w:b/>
          <w:bCs/>
          <w:color w:val="auto"/>
          <w:sz w:val="32"/>
          <w:szCs w:val="32"/>
        </w:rPr>
      </w:pPr>
      <w:r>
        <w:rPr>
          <w:rFonts w:hint="eastAsia" w:ascii="方正楷体_GBK" w:hAnsi="方正楷体_GBK" w:eastAsia="方正楷体_GBK" w:cs="方正楷体_GBK"/>
          <w:b/>
          <w:bCs/>
          <w:color w:val="auto"/>
          <w:sz w:val="32"/>
          <w:szCs w:val="32"/>
        </w:rPr>
        <w:t>（四）项目效益情况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项目效益类指标包括项目效益1个方面的内容，由</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个三级指标构成，权重分为</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0分，实际得分</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0分，得分率为100%。</w:t>
      </w:r>
    </w:p>
    <w:p>
      <w:pPr>
        <w:pageBreakBefore w:val="0"/>
        <w:kinsoku/>
        <w:wordWrap/>
        <w:overflowPunct w:val="0"/>
        <w:topLinePunct w:val="0"/>
        <w:autoSpaceDE/>
        <w:bidi w:val="0"/>
        <w:spacing w:line="560" w:lineRule="exact"/>
        <w:ind w:firstLine="643"/>
        <w:contextualSpacing/>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1.实施效益指标：</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eastAsia="zh-CN"/>
        </w:rPr>
        <w:t>对于“社会效益指标”：</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val="en-US" w:eastAsia="zh-CN"/>
        </w:rPr>
        <w:t>减轻学生家庭经济负担，</w:t>
      </w:r>
      <w:r>
        <w:rPr>
          <w:rFonts w:hint="eastAsia" w:ascii="方正仿宋_GBK" w:hAnsi="方正仿宋_GBK" w:eastAsia="方正仿宋_GBK" w:cs="方正仿宋_GBK"/>
          <w:b w:val="0"/>
          <w:bCs/>
          <w:color w:val="auto"/>
          <w:sz w:val="32"/>
          <w:szCs w:val="32"/>
          <w:lang w:eastAsia="zh-CN"/>
        </w:rPr>
        <w:t>预期指标值有效减轻，实际完成值有效减轻，与预期目标一致，根据评分标准，该指标不扣分，得</w:t>
      </w:r>
      <w:r>
        <w:rPr>
          <w:rFonts w:hint="eastAsia" w:ascii="方正仿宋_GBK" w:hAnsi="方正仿宋_GBK" w:eastAsia="方正仿宋_GBK" w:cs="方正仿宋_GBK"/>
          <w:b w:val="0"/>
          <w:bCs/>
          <w:color w:val="auto"/>
          <w:sz w:val="32"/>
          <w:szCs w:val="32"/>
          <w:lang w:val="en-US" w:eastAsia="zh-CN"/>
        </w:rPr>
        <w:t>3</w:t>
      </w:r>
      <w:r>
        <w:rPr>
          <w:rFonts w:hint="eastAsia" w:ascii="方正仿宋_GBK" w:hAnsi="方正仿宋_GBK" w:eastAsia="方正仿宋_GBK" w:cs="方正仿宋_GBK"/>
          <w:b w:val="0"/>
          <w:bCs/>
          <w:color w:val="auto"/>
          <w:sz w:val="32"/>
          <w:szCs w:val="32"/>
          <w:lang w:eastAsia="zh-CN"/>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eastAsia="zh-CN"/>
        </w:rPr>
        <w:t>帮助家庭经济困难学生接受教育，预期指标值是，实际完成值是，与预期目标一致，根据评分标准，该指标不扣分，得</w:t>
      </w:r>
      <w:r>
        <w:rPr>
          <w:rFonts w:hint="eastAsia" w:ascii="方正仿宋_GBK" w:hAnsi="方正仿宋_GBK" w:eastAsia="方正仿宋_GBK" w:cs="方正仿宋_GBK"/>
          <w:b w:val="0"/>
          <w:bCs/>
          <w:color w:val="auto"/>
          <w:sz w:val="32"/>
          <w:szCs w:val="32"/>
          <w:lang w:val="en-US" w:eastAsia="zh-CN"/>
        </w:rPr>
        <w:t>3</w:t>
      </w:r>
      <w:r>
        <w:rPr>
          <w:rFonts w:hint="eastAsia" w:ascii="方正仿宋_GBK" w:hAnsi="方正仿宋_GBK" w:eastAsia="方正仿宋_GBK" w:cs="方正仿宋_GBK"/>
          <w:b w:val="0"/>
          <w:bCs/>
          <w:color w:val="auto"/>
          <w:sz w:val="32"/>
          <w:szCs w:val="32"/>
          <w:lang w:eastAsia="zh-CN"/>
        </w:rPr>
        <w:t>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eastAsia="zh-CN"/>
        </w:rPr>
      </w:pPr>
      <w:r>
        <w:rPr>
          <w:rFonts w:hint="eastAsia" w:ascii="方正仿宋_GBK" w:hAnsi="方正仿宋_GBK" w:eastAsia="方正仿宋_GBK" w:cs="方正仿宋_GBK"/>
          <w:b w:val="0"/>
          <w:bCs/>
          <w:color w:val="auto"/>
          <w:sz w:val="32"/>
          <w:szCs w:val="32"/>
          <w:lang w:eastAsia="zh-CN"/>
        </w:rPr>
        <w:t>政策知晓率（%），</w:t>
      </w:r>
      <w:r>
        <w:rPr>
          <w:rFonts w:hint="eastAsia" w:ascii="方正仿宋_GBK" w:hAnsi="方正仿宋_GBK" w:eastAsia="方正仿宋_GBK" w:cs="方正仿宋_GBK"/>
          <w:b w:val="0"/>
          <w:bCs/>
          <w:color w:val="auto"/>
          <w:sz w:val="32"/>
          <w:szCs w:val="32"/>
          <w:lang w:val="en-US" w:eastAsia="zh-CN"/>
        </w:rPr>
        <w:t>预期指标值等于100%，实际完成值100%</w:t>
      </w:r>
      <w:r>
        <w:rPr>
          <w:rFonts w:hint="eastAsia" w:ascii="方正仿宋_GBK" w:hAnsi="方正仿宋_GBK" w:eastAsia="方正仿宋_GBK" w:cs="方正仿宋_GBK"/>
          <w:b w:val="0"/>
          <w:bCs/>
          <w:color w:val="auto"/>
          <w:sz w:val="32"/>
          <w:szCs w:val="32"/>
          <w:lang w:eastAsia="zh-CN"/>
        </w:rPr>
        <w:t>，与预期目标一致，根据评分标准，该指标不扣分，得</w:t>
      </w:r>
      <w:r>
        <w:rPr>
          <w:rFonts w:hint="eastAsia" w:ascii="方正仿宋_GBK" w:hAnsi="方正仿宋_GBK" w:eastAsia="方正仿宋_GBK" w:cs="方正仿宋_GBK"/>
          <w:b w:val="0"/>
          <w:bCs/>
          <w:color w:val="auto"/>
          <w:sz w:val="32"/>
          <w:szCs w:val="32"/>
          <w:lang w:val="en-US" w:eastAsia="zh-CN"/>
        </w:rPr>
        <w:t>4</w:t>
      </w:r>
      <w:r>
        <w:rPr>
          <w:rFonts w:hint="eastAsia" w:ascii="方正仿宋_GBK" w:hAnsi="方正仿宋_GBK" w:eastAsia="方正仿宋_GBK" w:cs="方正仿宋_GBK"/>
          <w:b w:val="0"/>
          <w:bCs/>
          <w:color w:val="auto"/>
          <w:sz w:val="32"/>
          <w:szCs w:val="32"/>
          <w:lang w:eastAsia="zh-CN"/>
        </w:rPr>
        <w:t>分。</w:t>
      </w:r>
    </w:p>
    <w:p>
      <w:pPr>
        <w:pStyle w:val="9"/>
        <w:pageBreakBefore w:val="0"/>
        <w:kinsoku/>
        <w:wordWrap/>
        <w:topLinePunct w:val="0"/>
        <w:autoSpaceDE/>
        <w:bidi w:val="0"/>
        <w:spacing w:before="0" w:after="0" w:line="560" w:lineRule="exact"/>
        <w:ind w:firstLine="640"/>
        <w:jc w:val="both"/>
        <w:rPr>
          <w:rFonts w:hint="default"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合计得分</w:t>
      </w:r>
      <w:r>
        <w:rPr>
          <w:rFonts w:hint="eastAsia" w:ascii="方正仿宋_GBK" w:hAnsi="方正仿宋_GBK" w:eastAsia="方正仿宋_GBK" w:cs="方正仿宋_GBK"/>
          <w:b w:val="0"/>
          <w:bCs/>
          <w:color w:val="auto"/>
          <w:sz w:val="32"/>
          <w:szCs w:val="32"/>
          <w:lang w:val="en-US" w:eastAsia="zh-CN"/>
        </w:rPr>
        <w:t>10分。</w:t>
      </w:r>
    </w:p>
    <w:p>
      <w:pPr>
        <w:pageBreakBefore w:val="0"/>
        <w:kinsoku/>
        <w:wordWrap/>
        <w:topLinePunct w:val="0"/>
        <w:autoSpaceDE/>
        <w:bidi w:val="0"/>
        <w:spacing w:line="560" w:lineRule="exact"/>
        <w:ind w:firstLine="643"/>
        <w:rPr>
          <w:rFonts w:hint="eastAsia" w:ascii="方正仿宋_GBK" w:hAnsi="方正仿宋_GBK" w:eastAsia="方正仿宋_GBK" w:cs="方正仿宋_GBK"/>
          <w:b/>
          <w:bCs/>
          <w:color w:val="auto"/>
          <w:sz w:val="32"/>
          <w:szCs w:val="32"/>
        </w:rPr>
      </w:pPr>
      <w:r>
        <w:rPr>
          <w:rFonts w:hint="eastAsia" w:ascii="方正仿宋_GBK" w:hAnsi="方正仿宋_GBK" w:eastAsia="方正仿宋_GBK" w:cs="方正仿宋_GBK"/>
          <w:b/>
          <w:bCs/>
          <w:color w:val="auto"/>
          <w:sz w:val="32"/>
          <w:szCs w:val="32"/>
        </w:rPr>
        <w:t>2.满意度指标:</w:t>
      </w:r>
    </w:p>
    <w:bookmarkEnd w:id="11"/>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家长满意度</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eastAsia="zh-CN"/>
        </w:rPr>
        <w:t>指标：预期目标值大于等于</w:t>
      </w:r>
      <w:r>
        <w:rPr>
          <w:rFonts w:hint="eastAsia" w:ascii="方正仿宋_GBK" w:hAnsi="方正仿宋_GBK" w:eastAsia="方正仿宋_GBK" w:cs="方正仿宋_GBK"/>
          <w:b w:val="0"/>
          <w:bCs/>
          <w:color w:val="auto"/>
          <w:sz w:val="32"/>
          <w:szCs w:val="32"/>
          <w:lang w:val="en-US" w:eastAsia="zh-CN"/>
        </w:rPr>
        <w:t>95%</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实际满意度100%，与预期目标一致，根据评分标准，该指标不扣分，得5分。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eastAsia="zh-CN"/>
        </w:rPr>
        <w:t>学生满意度</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eastAsia="zh-CN"/>
        </w:rPr>
        <w:t>指标，预期目标值大于等于</w:t>
      </w:r>
      <w:r>
        <w:rPr>
          <w:rFonts w:hint="eastAsia" w:ascii="方正仿宋_GBK" w:hAnsi="方正仿宋_GBK" w:eastAsia="方正仿宋_GBK" w:cs="方正仿宋_GBK"/>
          <w:b w:val="0"/>
          <w:bCs/>
          <w:color w:val="auto"/>
          <w:sz w:val="32"/>
          <w:szCs w:val="32"/>
          <w:lang w:val="en-US" w:eastAsia="zh-CN"/>
        </w:rPr>
        <w:t>95%</w:t>
      </w:r>
      <w:r>
        <w:rPr>
          <w:rFonts w:hint="eastAsia" w:ascii="方正仿宋_GBK" w:hAnsi="方正仿宋_GBK" w:eastAsia="方正仿宋_GBK" w:cs="方正仿宋_GBK"/>
          <w:b w:val="0"/>
          <w:bCs/>
          <w:color w:val="auto"/>
          <w:sz w:val="32"/>
          <w:szCs w:val="32"/>
          <w:lang w:eastAsia="zh-CN"/>
        </w:rPr>
        <w:t>，</w:t>
      </w:r>
      <w:r>
        <w:rPr>
          <w:rFonts w:hint="eastAsia" w:ascii="方正仿宋_GBK" w:hAnsi="方正仿宋_GBK" w:eastAsia="方正仿宋_GBK" w:cs="方正仿宋_GBK"/>
          <w:b w:val="0"/>
          <w:bCs/>
          <w:color w:val="auto"/>
          <w:sz w:val="32"/>
          <w:szCs w:val="32"/>
          <w:lang w:val="en-US" w:eastAsia="zh-CN"/>
        </w:rPr>
        <w:t>实际满意度100%，与预期目标一致，根据评分标准，该指标不扣分，得5分。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本次计划采取全覆盖问卷调查的方式，对学生及家长进行网络问卷调查，根据调查结果显示受益群众210人进行网络问卷调查；本次回收有效问卷共计210份。被调查者中100%的学生及家长对伽师县中职2022年免住宿费补助项目非常满意。</w:t>
      </w:r>
    </w:p>
    <w:p>
      <w:pPr>
        <w:pStyle w:val="9"/>
        <w:pageBreakBefore w:val="0"/>
        <w:kinsoku/>
        <w:wordWrap/>
        <w:topLinePunct w:val="0"/>
        <w:autoSpaceDE/>
        <w:bidi w:val="0"/>
        <w:spacing w:before="0" w:after="0" w:line="560" w:lineRule="exact"/>
        <w:ind w:firstLine="640"/>
        <w:jc w:val="both"/>
        <w:rPr>
          <w:rFonts w:hint="default" w:ascii="方正仿宋_GBK" w:hAnsi="方正仿宋_GBK" w:eastAsia="方正仿宋_GBK" w:cs="方正仿宋_GBK"/>
          <w:b w:val="0"/>
          <w:bCs/>
          <w:color w:val="auto"/>
          <w:sz w:val="32"/>
          <w:szCs w:val="32"/>
          <w:lang w:val="en-US" w:eastAsia="zh-CN"/>
        </w:rPr>
      </w:pPr>
      <w:r>
        <w:rPr>
          <w:rFonts w:hint="eastAsia" w:ascii="方正仿宋_GBK" w:hAnsi="方正仿宋_GBK" w:eastAsia="方正仿宋_GBK" w:cs="方正仿宋_GBK"/>
          <w:b w:val="0"/>
          <w:bCs/>
          <w:color w:val="auto"/>
          <w:sz w:val="32"/>
          <w:szCs w:val="32"/>
          <w:lang w:val="en-US" w:eastAsia="zh-CN"/>
        </w:rPr>
        <w:t>合计得分10分。</w:t>
      </w:r>
    </w:p>
    <w:p>
      <w:pPr>
        <w:pStyle w:val="9"/>
        <w:pageBreakBefore w:val="0"/>
        <w:kinsoku/>
        <w:wordWrap/>
        <w:topLinePunct w:val="0"/>
        <w:autoSpaceDE/>
        <w:bidi w:val="0"/>
        <w:spacing w:before="0" w:after="0" w:line="560" w:lineRule="exact"/>
        <w:ind w:firstLine="640"/>
        <w:jc w:val="both"/>
        <w:rPr>
          <w:rFonts w:hint="eastAsia" w:ascii="方正仿宋_GBK" w:hAnsi="方正仿宋_GBK" w:eastAsia="方正仿宋_GBK" w:cs="方正仿宋_GBK"/>
          <w:b w:val="0"/>
          <w:bCs/>
          <w:color w:val="auto"/>
          <w:sz w:val="32"/>
          <w:szCs w:val="32"/>
        </w:rPr>
      </w:pPr>
    </w:p>
    <w:p>
      <w:pPr>
        <w:pStyle w:val="36"/>
        <w:pageBreakBefore w:val="0"/>
        <w:kinsoku/>
        <w:wordWrap/>
        <w:topLinePunct w:val="0"/>
        <w:autoSpaceDE/>
        <w:bidi w:val="0"/>
        <w:spacing w:before="0" w:after="0" w:line="560" w:lineRule="exact"/>
        <w:ind w:firstLine="640" w:firstLineChars="200"/>
        <w:rPr>
          <w:rFonts w:hint="eastAsia" w:ascii="方正黑体_GBK" w:hAnsi="方正黑体_GBK" w:eastAsia="方正黑体_GBK" w:cs="方正黑体_GBK"/>
          <w:b/>
          <w:color w:val="auto"/>
          <w:sz w:val="32"/>
          <w:szCs w:val="32"/>
        </w:rPr>
      </w:pPr>
      <w:r>
        <w:rPr>
          <w:rFonts w:hint="eastAsia" w:ascii="方正黑体_GBK" w:hAnsi="方正黑体_GBK" w:eastAsia="方正黑体_GBK" w:cs="方正黑体_GBK"/>
          <w:b/>
          <w:color w:val="auto"/>
          <w:sz w:val="32"/>
          <w:szCs w:val="32"/>
        </w:rPr>
        <w:t>五、预算执行进度与绩效指标偏差情况</w:t>
      </w:r>
    </w:p>
    <w:p>
      <w:pPr>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伽师县</w:t>
      </w:r>
      <w:r>
        <w:rPr>
          <w:rFonts w:hint="eastAsia" w:ascii="方正仿宋_GBK" w:hAnsi="方正仿宋_GBK" w:eastAsia="方正仿宋_GBK" w:cs="方正仿宋_GBK"/>
          <w:color w:val="auto"/>
          <w:sz w:val="32"/>
          <w:szCs w:val="32"/>
          <w:lang w:eastAsia="zh-CN"/>
        </w:rPr>
        <w:t>免住宿费</w:t>
      </w:r>
      <w:r>
        <w:rPr>
          <w:rFonts w:hint="eastAsia" w:ascii="方正仿宋_GBK" w:hAnsi="方正仿宋_GBK" w:eastAsia="方正仿宋_GBK" w:cs="方正仿宋_GBK"/>
          <w:color w:val="auto"/>
          <w:sz w:val="32"/>
          <w:szCs w:val="32"/>
        </w:rPr>
        <w:t>补助项目预算</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万元，到位</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万元，实际支出</w:t>
      </w:r>
      <w:r>
        <w:rPr>
          <w:rFonts w:hint="eastAsia" w:ascii="方正仿宋_GBK" w:hAnsi="方正仿宋_GBK" w:eastAsia="方正仿宋_GBK" w:cs="方正仿宋_GBK"/>
          <w:color w:val="auto"/>
          <w:sz w:val="32"/>
          <w:szCs w:val="32"/>
          <w:lang w:val="en-US" w:eastAsia="zh-CN"/>
        </w:rPr>
        <w:t>297.83</w:t>
      </w:r>
      <w:r>
        <w:rPr>
          <w:rFonts w:hint="eastAsia" w:ascii="方正仿宋_GBK" w:hAnsi="方正仿宋_GBK" w:eastAsia="方正仿宋_GBK" w:cs="方正仿宋_GBK"/>
          <w:color w:val="auto"/>
          <w:sz w:val="32"/>
          <w:szCs w:val="32"/>
        </w:rPr>
        <w:t>万元，预算执行率为100%，项目完成率为100%。</w:t>
      </w:r>
      <w:r>
        <w:rPr>
          <w:rFonts w:hint="eastAsia" w:ascii="方正仿宋_GBK" w:hAnsi="方正仿宋_GBK" w:eastAsia="方正仿宋_GBK" w:cs="方正仿宋_GBK"/>
          <w:color w:val="auto"/>
          <w:sz w:val="32"/>
          <w:szCs w:val="32"/>
          <w:lang w:eastAsia="zh-CN"/>
        </w:rPr>
        <w:t>无偏差。</w:t>
      </w:r>
      <w:bookmarkStart w:id="12" w:name="_Toc68364673"/>
    </w:p>
    <w:p>
      <w:pPr>
        <w:pageBreakBefore w:val="0"/>
        <w:numPr>
          <w:ilvl w:val="0"/>
          <w:numId w:val="5"/>
        </w:numPr>
        <w:kinsoku/>
        <w:wordWrap/>
        <w:topLinePunct w:val="0"/>
        <w:autoSpaceDE/>
        <w:bidi w:val="0"/>
        <w:spacing w:line="560" w:lineRule="exact"/>
        <w:ind w:firstLine="64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主要经验及做法、存在的问题及原因分析</w:t>
      </w:r>
    </w:p>
    <w:p>
      <w:pPr>
        <w:pageBreakBefore w:val="0"/>
        <w:numPr>
          <w:ilvl w:val="0"/>
          <w:numId w:val="6"/>
        </w:numPr>
        <w:kinsoku/>
        <w:wordWrap/>
        <w:topLinePunct w:val="0"/>
        <w:autoSpaceDE/>
        <w:bidi w:val="0"/>
        <w:spacing w:line="560" w:lineRule="exact"/>
        <w:ind w:firstLine="640" w:firstLineChars="200"/>
        <w:rPr>
          <w:rFonts w:hint="eastAsia" w:ascii="方正仿宋_GBK" w:hAnsi="方正仿宋_GBK" w:eastAsia="方正仿宋_GBK" w:cs="方正仿宋_GBK"/>
          <w:b/>
          <w:bCs/>
          <w:color w:val="auto"/>
          <w:kern w:val="2"/>
          <w:sz w:val="32"/>
          <w:szCs w:val="32"/>
          <w:lang w:val="en-US" w:eastAsia="zh-CN" w:bidi="ar-SA"/>
        </w:rPr>
      </w:pPr>
      <w:r>
        <w:rPr>
          <w:rFonts w:hint="eastAsia" w:ascii="方正仿宋_GBK" w:hAnsi="方正仿宋_GBK" w:eastAsia="方正仿宋_GBK" w:cs="方正仿宋_GBK"/>
          <w:b/>
          <w:bCs/>
          <w:color w:val="auto"/>
          <w:kern w:val="2"/>
          <w:sz w:val="32"/>
          <w:szCs w:val="32"/>
          <w:lang w:val="en-US" w:eastAsia="zh-CN" w:bidi="ar-SA"/>
        </w:rPr>
        <w:t>主要经验及做法</w:t>
      </w:r>
      <w:bookmarkEnd w:id="12"/>
      <w:bookmarkStart w:id="13" w:name="_Toc68364674"/>
    </w:p>
    <w:p>
      <w:pPr>
        <w:pageBreakBefore w:val="0"/>
        <w:numPr>
          <w:ilvl w:val="0"/>
          <w:numId w:val="7"/>
        </w:numPr>
        <w:kinsoku/>
        <w:wordWrap/>
        <w:topLinePunct w:val="0"/>
        <w:autoSpaceDE/>
        <w:bidi w:val="0"/>
        <w:spacing w:line="560" w:lineRule="exact"/>
        <w:ind w:firstLine="640" w:firstLineChars="200"/>
        <w:rPr>
          <w:rFonts w:hint="eastAsia" w:ascii="方正仿宋_GBK" w:hAnsi="方正仿宋_GBK" w:eastAsia="方正仿宋_GBK" w:cs="方正仿宋_GBK"/>
          <w:b w:val="0"/>
          <w:bCs w:val="0"/>
          <w:color w:val="auto"/>
          <w:kern w:val="2"/>
          <w:sz w:val="32"/>
          <w:szCs w:val="32"/>
          <w:lang w:val="en-US" w:eastAsia="zh-CN" w:bidi="ar-SA"/>
        </w:rPr>
      </w:pPr>
      <w:r>
        <w:rPr>
          <w:rFonts w:hint="eastAsia" w:ascii="方正仿宋_GBK" w:hAnsi="方正仿宋_GBK" w:eastAsia="方正仿宋_GBK" w:cs="方正仿宋_GBK"/>
          <w:b w:val="0"/>
          <w:bCs w:val="0"/>
          <w:color w:val="auto"/>
          <w:kern w:val="2"/>
          <w:sz w:val="32"/>
          <w:szCs w:val="32"/>
          <w:lang w:val="en-US" w:eastAsia="zh-CN" w:bidi="ar-SA"/>
        </w:rPr>
        <w:t>严格按照相关文件政策进行项目支出，落实中等职业学校免住宿费资金管理办法中的细节工作。</w:t>
      </w:r>
    </w:p>
    <w:p>
      <w:pPr>
        <w:pageBreakBefore w:val="0"/>
        <w:numPr>
          <w:ilvl w:val="0"/>
          <w:numId w:val="7"/>
        </w:numPr>
        <w:kinsoku/>
        <w:wordWrap/>
        <w:topLinePunct w:val="0"/>
        <w:autoSpaceDE/>
        <w:bidi w:val="0"/>
        <w:spacing w:line="560" w:lineRule="exact"/>
        <w:ind w:left="0" w:leftChars="0" w:firstLine="640" w:firstLineChars="200"/>
        <w:rPr>
          <w:rFonts w:hint="eastAsia" w:ascii="方正仿宋_GBK" w:hAnsi="方正仿宋_GBK" w:eastAsia="方正仿宋_GBK" w:cs="方正仿宋_GBK"/>
          <w:b w:val="0"/>
          <w:bCs w:val="0"/>
          <w:color w:val="auto"/>
          <w:kern w:val="2"/>
          <w:sz w:val="32"/>
          <w:szCs w:val="32"/>
          <w:lang w:val="en-US" w:eastAsia="zh-CN" w:bidi="ar-SA"/>
        </w:rPr>
      </w:pPr>
      <w:r>
        <w:rPr>
          <w:rFonts w:hint="eastAsia" w:ascii="方正仿宋_GBK" w:hAnsi="方正仿宋_GBK" w:eastAsia="方正仿宋_GBK" w:cs="方正仿宋_GBK"/>
          <w:b w:val="0"/>
          <w:bCs w:val="0"/>
          <w:color w:val="auto"/>
          <w:kern w:val="2"/>
          <w:sz w:val="32"/>
          <w:szCs w:val="32"/>
          <w:lang w:val="en-US" w:eastAsia="zh-CN" w:bidi="ar-SA"/>
        </w:rPr>
        <w:t>项目进行中，严把质量关，不让假劣产品流入学校。</w:t>
      </w:r>
    </w:p>
    <w:p>
      <w:pPr>
        <w:pageBreakBefore w:val="0"/>
        <w:numPr>
          <w:ilvl w:val="0"/>
          <w:numId w:val="7"/>
        </w:numPr>
        <w:kinsoku/>
        <w:wordWrap/>
        <w:topLinePunct w:val="0"/>
        <w:autoSpaceDE/>
        <w:bidi w:val="0"/>
        <w:spacing w:line="560" w:lineRule="exact"/>
        <w:ind w:left="0" w:leftChars="0" w:firstLine="640" w:firstLineChars="200"/>
        <w:rPr>
          <w:rFonts w:hint="eastAsia" w:ascii="方正楷体_GBK" w:hAnsi="方正楷体_GBK" w:eastAsia="方正楷体_GBK" w:cs="方正楷体_GBK"/>
          <w:color w:val="auto"/>
          <w:sz w:val="32"/>
          <w:szCs w:val="32"/>
        </w:rPr>
      </w:pPr>
      <w:r>
        <w:rPr>
          <w:rFonts w:hint="eastAsia" w:ascii="方正仿宋_GBK" w:hAnsi="方正仿宋_GBK" w:eastAsia="方正仿宋_GBK" w:cs="方正仿宋_GBK"/>
          <w:b w:val="0"/>
          <w:bCs w:val="0"/>
          <w:color w:val="auto"/>
          <w:kern w:val="2"/>
          <w:sz w:val="32"/>
          <w:szCs w:val="32"/>
          <w:lang w:val="en-US" w:eastAsia="zh-CN" w:bidi="ar-SA"/>
        </w:rPr>
        <w:t>项目资金管理严格审批制度，规范各种预结算，使该项目资金合理利用。</w:t>
      </w:r>
    </w:p>
    <w:p>
      <w:pPr>
        <w:pageBreakBefore w:val="0"/>
        <w:numPr>
          <w:ilvl w:val="0"/>
          <w:numId w:val="6"/>
        </w:numPr>
        <w:kinsoku/>
        <w:wordWrap/>
        <w:topLinePunct w:val="0"/>
        <w:autoSpaceDE/>
        <w:bidi w:val="0"/>
        <w:spacing w:line="560" w:lineRule="exact"/>
        <w:ind w:left="0" w:leftChars="0" w:firstLine="640" w:firstLineChars="200"/>
        <w:rPr>
          <w:rFonts w:hint="eastAsia" w:ascii="方正楷体_GBK" w:hAnsi="方正楷体_GBK" w:eastAsia="方正楷体_GBK" w:cs="方正楷体_GBK"/>
          <w:color w:val="auto"/>
          <w:sz w:val="32"/>
          <w:szCs w:val="32"/>
        </w:rPr>
      </w:pPr>
      <w:r>
        <w:rPr>
          <w:rFonts w:hint="eastAsia" w:ascii="方正楷体_GBK" w:hAnsi="方正楷体_GBK" w:eastAsia="方正楷体_GBK" w:cs="方正楷体_GBK"/>
          <w:color w:val="auto"/>
          <w:sz w:val="32"/>
          <w:szCs w:val="32"/>
        </w:rPr>
        <w:t>存在问题及原因分析</w:t>
      </w:r>
      <w:bookmarkEnd w:id="13"/>
      <w:bookmarkStart w:id="14" w:name="_Toc68364675"/>
    </w:p>
    <w:p>
      <w:pPr>
        <w:pageBreakBefore w:val="0"/>
        <w:numPr>
          <w:ilvl w:val="0"/>
          <w:numId w:val="0"/>
        </w:numPr>
        <w:kinsoku/>
        <w:wordWrap/>
        <w:topLinePunct w:val="0"/>
        <w:autoSpaceDE/>
        <w:bidi w:val="0"/>
        <w:spacing w:line="560" w:lineRule="exact"/>
        <w:ind w:leftChars="200" w:firstLine="320" w:firstLineChars="100"/>
        <w:rPr>
          <w:rFonts w:hint="eastAsia" w:ascii="方正仿宋_GBK" w:hAnsi="方正仿宋_GBK" w:eastAsia="方正仿宋_GBK" w:cs="方正仿宋_GBK"/>
          <w:bCs/>
          <w:color w:val="auto"/>
          <w:sz w:val="32"/>
          <w:szCs w:val="32"/>
          <w:highlight w:val="none"/>
          <w:lang w:eastAsia="zh-CN"/>
        </w:rPr>
      </w:pPr>
      <w:r>
        <w:rPr>
          <w:rFonts w:hint="eastAsia" w:ascii="方正仿宋_GBK" w:hAnsi="方正仿宋_GBK" w:eastAsia="方正仿宋_GBK" w:cs="方正仿宋_GBK"/>
          <w:bCs/>
          <w:color w:val="auto"/>
          <w:sz w:val="32"/>
          <w:szCs w:val="32"/>
          <w:highlight w:val="none"/>
          <w:lang w:eastAsia="zh-CN"/>
        </w:rPr>
        <w:t>学校项目工作人员自身的专业知识比较缺乏、综合素养较低，而且不能对现代先进的科学技术和手段进行很好的把握和运用。</w:t>
      </w:r>
    </w:p>
    <w:p>
      <w:pPr>
        <w:pageBreakBefore w:val="0"/>
        <w:numPr>
          <w:ilvl w:val="0"/>
          <w:numId w:val="0"/>
        </w:numPr>
        <w:kinsoku/>
        <w:wordWrap/>
        <w:topLinePunct w:val="0"/>
        <w:autoSpaceDE/>
        <w:bidi w:val="0"/>
        <w:spacing w:line="560" w:lineRule="exact"/>
        <w:ind w:leftChars="200" w:firstLine="320" w:firstLineChars="100"/>
        <w:rPr>
          <w:rFonts w:hint="eastAsia" w:ascii="方正仿宋_GBK" w:hAnsi="方正仿宋_GBK" w:eastAsia="方正仿宋_GBK" w:cs="方正仿宋_GBK"/>
          <w:bCs/>
          <w:color w:val="auto"/>
          <w:sz w:val="32"/>
          <w:szCs w:val="32"/>
          <w:highlight w:val="none"/>
          <w:lang w:eastAsia="zh-CN"/>
        </w:rPr>
      </w:pPr>
      <w:r>
        <w:rPr>
          <w:rFonts w:hint="eastAsia" w:ascii="方正仿宋_GBK" w:hAnsi="方正仿宋_GBK" w:eastAsia="方正仿宋_GBK" w:cs="方正仿宋_GBK"/>
          <w:bCs/>
          <w:color w:val="auto"/>
          <w:sz w:val="32"/>
          <w:szCs w:val="32"/>
          <w:highlight w:val="none"/>
          <w:lang w:eastAsia="zh-CN"/>
        </w:rPr>
        <w:t xml:space="preserve">原因分析：未能定期开展项目工作人员专业培训工作，定期组织培训学习，可在提升人员专业知识的同时，项目工作人员自身的综合素养也会有所提升，能够将专业知识运用到实际的项目实施工作当中，严格按照要求和相关的法律法规进行项目实施工作，并且对物资供应商是否合格能够进行有效地辨别，选择信用良好的物资供应商进行合作，这样能够保证项目质量达到所要求的标准。 </w:t>
      </w:r>
    </w:p>
    <w:p>
      <w:pPr>
        <w:pStyle w:val="36"/>
        <w:pageBreakBefore w:val="0"/>
        <w:kinsoku/>
        <w:wordWrap/>
        <w:topLinePunct w:val="0"/>
        <w:autoSpaceDE/>
        <w:bidi w:val="0"/>
        <w:spacing w:before="0" w:after="0"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七、有关建议</w:t>
      </w:r>
      <w:bookmarkEnd w:id="14"/>
    </w:p>
    <w:p>
      <w:pPr>
        <w:pageBreakBefore w:val="0"/>
        <w:kinsoku/>
        <w:wordWrap/>
        <w:topLinePunct w:val="0"/>
        <w:autoSpaceDN/>
        <w:bidi w:val="0"/>
        <w:adjustRightInd/>
        <w:snapToGrid/>
        <w:spacing w:line="570" w:lineRule="exact"/>
        <w:rPr>
          <w:rFonts w:hint="eastAsia" w:ascii="方正仿宋_GBK" w:hAnsi="方正仿宋_GBK" w:eastAsia="方正仿宋_GBK" w:cs="方正仿宋_GBK"/>
          <w:color w:val="auto"/>
          <w:kern w:val="0"/>
          <w:sz w:val="32"/>
          <w:szCs w:val="32"/>
          <w:lang w:val="en-US" w:eastAsia="zh-CN" w:bidi="ar-SA"/>
        </w:rPr>
      </w:pPr>
      <w:bookmarkStart w:id="15" w:name="_Toc68364676"/>
      <w:r>
        <w:rPr>
          <w:rFonts w:hint="eastAsia" w:ascii="方正仿宋_GBK" w:hAnsi="方正仿宋_GBK" w:eastAsia="方正仿宋_GBK" w:cs="方正仿宋_GBK"/>
          <w:color w:val="auto"/>
          <w:kern w:val="0"/>
          <w:sz w:val="32"/>
          <w:szCs w:val="32"/>
          <w:lang w:val="en-US" w:eastAsia="zh-CN" w:bidi="ar-SA"/>
        </w:rPr>
        <w:t>绩效管理工作是一个持续、系统、周期性强的工作，行业部门从事绩效管理工作的绩效专干人员应设置固定专人负责，压实责任；并且项目建设的程序进一步规范。项目前期更加细化实施方案，严格执行资金管理办法和财政资金管理制度，严格按照项目实施方案等稳步推进工作，各部门单位根据自己项目的特点进行总结；积极参加财政局组织的绩效业务培训，认真学习绩效理论及实操，进一步增强我单位绩效管理意识，推动落实主体责任，促进我单位绩效管理各项工作高校开展，加快部门预算绩效改革步伐。</w:t>
      </w:r>
    </w:p>
    <w:p>
      <w:pPr>
        <w:pStyle w:val="36"/>
        <w:pageBreakBefore w:val="0"/>
        <w:kinsoku/>
        <w:wordWrap/>
        <w:topLinePunct w:val="0"/>
        <w:autoSpaceDE/>
        <w:bidi w:val="0"/>
        <w:spacing w:before="0" w:after="0" w:line="560" w:lineRule="exact"/>
        <w:ind w:firstLine="640" w:firstLineChars="200"/>
        <w:rPr>
          <w:rFonts w:hint="eastAsia" w:ascii="方正黑体_GBK" w:hAnsi="方正黑体_GBK" w:eastAsia="方正黑体_GBK" w:cs="方正黑体_GBK"/>
          <w:b w:val="0"/>
          <w:bCs w:val="0"/>
          <w:color w:val="auto"/>
          <w:sz w:val="32"/>
          <w:szCs w:val="32"/>
        </w:rPr>
      </w:pPr>
      <w:r>
        <w:rPr>
          <w:rFonts w:hint="eastAsia" w:ascii="方正黑体_GBK" w:hAnsi="方正黑体_GBK" w:eastAsia="方正黑体_GBK" w:cs="方正黑体_GBK"/>
          <w:b w:val="0"/>
          <w:bCs w:val="0"/>
          <w:color w:val="auto"/>
          <w:sz w:val="32"/>
          <w:szCs w:val="32"/>
        </w:rPr>
        <w:t>八、其他需要说明的问题</w:t>
      </w:r>
      <w:bookmarkEnd w:id="15"/>
    </w:p>
    <w:p>
      <w:pPr>
        <w:pStyle w:val="32"/>
        <w:pageBreakBefore w:val="0"/>
        <w:kinsoku/>
        <w:wordWrap/>
        <w:topLinePunct w:val="0"/>
        <w:autoSpaceDE/>
        <w:bidi w:val="0"/>
        <w:spacing w:line="560" w:lineRule="exact"/>
        <w:ind w:firstLine="64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我单位对上述项目支出绩效评价报告内反映内容的真实性、完整性负责</w:t>
      </w:r>
      <w:r>
        <w:rPr>
          <w:rFonts w:hint="eastAsia" w:ascii="方正仿宋_GBK" w:hAnsi="方正仿宋_GBK" w:eastAsia="方正仿宋_GBK" w:cs="方正仿宋_GBK"/>
          <w:color w:val="auto"/>
          <w:sz w:val="32"/>
          <w:szCs w:val="32"/>
          <w:lang w:val="en-US" w:eastAsia="zh-CN"/>
        </w:rPr>
        <w:t xml:space="preserve">, </w:t>
      </w:r>
      <w:r>
        <w:rPr>
          <w:rFonts w:hint="eastAsia" w:ascii="方正仿宋_GBK" w:hAnsi="方正仿宋_GBK" w:eastAsia="方正仿宋_GBK" w:cs="方正仿宋_GBK"/>
          <w:color w:val="auto"/>
          <w:sz w:val="32"/>
          <w:szCs w:val="32"/>
        </w:rPr>
        <w:t>接受上级部门及社会公众监督。</w:t>
      </w:r>
    </w:p>
    <w:p>
      <w:pPr>
        <w:pStyle w:val="36"/>
        <w:pageBreakBefore w:val="0"/>
        <w:kinsoku/>
        <w:wordWrap/>
        <w:topLinePunct w:val="0"/>
        <w:autoSpaceDE/>
        <w:bidi w:val="0"/>
        <w:spacing w:before="0" w:after="0" w:line="560" w:lineRule="exact"/>
        <w:ind w:firstLine="640" w:firstLineChars="200"/>
        <w:rPr>
          <w:rFonts w:hint="eastAsia"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附件1</w:t>
      </w:r>
      <w:r>
        <w:rPr>
          <w:rFonts w:hint="eastAsia" w:ascii="方正仿宋_GBK" w:hAnsi="方正仿宋_GBK" w:eastAsia="方正仿宋_GBK" w:cs="方正仿宋_GBK"/>
          <w:b/>
          <w:color w:val="auto"/>
          <w:sz w:val="32"/>
          <w:szCs w:val="32"/>
          <w:lang w:val="en-US" w:eastAsia="zh-CN"/>
        </w:rPr>
        <w:t>.</w:t>
      </w:r>
      <w:r>
        <w:rPr>
          <w:rFonts w:hint="eastAsia" w:ascii="方正仿宋_GBK" w:hAnsi="方正仿宋_GBK" w:eastAsia="方正仿宋_GBK" w:cs="方正仿宋_GBK"/>
          <w:b/>
          <w:color w:val="auto"/>
          <w:sz w:val="32"/>
          <w:szCs w:val="32"/>
        </w:rPr>
        <w:t>综合评分表</w:t>
      </w:r>
    </w:p>
    <w:p>
      <w:pPr>
        <w:pageBreakBefore w:val="0"/>
        <w:kinsoku/>
        <w:wordWrap/>
        <w:topLinePunct w:val="0"/>
        <w:autoSpaceDE/>
        <w:bidi w:val="0"/>
        <w:spacing w:line="560" w:lineRule="exact"/>
        <w:ind w:left="0" w:leftChars="0" w:firstLine="1281" w:firstLineChars="400"/>
        <w:rPr>
          <w:rFonts w:hint="eastAsia" w:ascii="方正仿宋_GBK" w:hAnsi="方正仿宋_GBK" w:eastAsia="方正仿宋_GBK" w:cs="方正仿宋_GBK"/>
          <w:b/>
          <w:bCs/>
          <w:color w:val="auto"/>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4" w:right="1531" w:bottom="1701" w:left="1531" w:header="851" w:footer="992" w:gutter="0"/>
          <w:cols w:space="720" w:num="1"/>
          <w:docGrid w:type="lines" w:linePitch="312" w:charSpace="0"/>
        </w:sectPr>
      </w:pPr>
      <w:r>
        <w:rPr>
          <w:rFonts w:hint="eastAsia" w:ascii="方正仿宋_GBK" w:hAnsi="方正仿宋_GBK" w:eastAsia="方正仿宋_GBK" w:cs="方正仿宋_GBK"/>
          <w:b/>
          <w:bCs/>
          <w:color w:val="auto"/>
          <w:sz w:val="32"/>
          <w:szCs w:val="32"/>
        </w:rPr>
        <w:t>2.满意度调查问卷</w:t>
      </w: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b/>
          <w:bCs/>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附件1：综合评分表</w:t>
      </w:r>
    </w:p>
    <w:p>
      <w:pPr>
        <w:pageBreakBefore w:val="0"/>
        <w:kinsoku/>
        <w:wordWrap/>
        <w:topLinePunct w:val="0"/>
        <w:autoSpaceDE/>
        <w:autoSpaceDN/>
        <w:bidi w:val="0"/>
        <w:spacing w:line="560" w:lineRule="exact"/>
        <w:ind w:left="0" w:leftChars="0" w:firstLine="560" w:firstLineChars="200"/>
        <w:jc w:val="both"/>
        <w:rPr>
          <w:rFonts w:hint="eastAsia" w:ascii="Times New Roman" w:hAnsi="Times New Roman" w:eastAsia="方正仿宋_GBK" w:cs="方正仿宋_GBK"/>
          <w:color w:val="auto"/>
          <w:kern w:val="0"/>
          <w:szCs w:val="28"/>
        </w:rPr>
      </w:pPr>
      <w:r>
        <w:rPr>
          <w:rFonts w:hint="eastAsia" w:ascii="Times New Roman" w:hAnsi="Times New Roman" w:eastAsia="方正仿宋_GBK" w:cs="方正仿宋_GBK"/>
          <w:color w:val="auto"/>
          <w:kern w:val="0"/>
          <w:szCs w:val="28"/>
          <w:lang w:eastAsia="zh-CN"/>
        </w:rPr>
        <w:t>伽师县中职2022年免住宿费补助项目</w:t>
      </w:r>
      <w:r>
        <w:rPr>
          <w:rFonts w:hint="eastAsia" w:ascii="Times New Roman" w:hAnsi="Times New Roman" w:eastAsia="方正仿宋_GBK" w:cs="方正仿宋_GBK"/>
          <w:color w:val="auto"/>
          <w:kern w:val="0"/>
          <w:szCs w:val="28"/>
        </w:rPr>
        <w:t>绩效评价指标体系及评分标准</w:t>
      </w:r>
    </w:p>
    <w:tbl>
      <w:tblPr>
        <w:tblStyle w:val="26"/>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b/>
                <w:bCs/>
                <w:i w:val="0"/>
                <w:iCs w:val="0"/>
                <w:color w:val="auto"/>
                <w:sz w:val="24"/>
                <w:szCs w:val="24"/>
                <w:highlight w:val="none"/>
                <w:u w:val="none"/>
              </w:rPr>
            </w:pPr>
            <w:r>
              <w:rPr>
                <w:rFonts w:hint="eastAsia" w:ascii="方正仿宋_GBK" w:hAnsi="方正仿宋_GBK"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firstLine="0" w:firstLineChars="0"/>
              <w:jc w:val="both"/>
              <w:textAlignment w:val="auto"/>
              <w:rPr>
                <w:rFonts w:hint="default" w:ascii="宋体" w:hAnsi="宋体" w:eastAsia="宋体" w:cs="宋体"/>
                <w:color w:val="auto"/>
                <w:kern w:val="2"/>
                <w:sz w:val="18"/>
                <w:szCs w:val="18"/>
                <w:lang w:val="en-US" w:eastAsia="zh-CN" w:bidi="ar-SA"/>
              </w:rPr>
            </w:pPr>
            <w:r>
              <w:rPr>
                <w:rFonts w:hint="eastAsia" w:ascii="方正仿宋_GBK" w:hAnsi="方正仿宋_GBK" w:eastAsia="方正仿宋_GBK" w:cs="方正仿宋_GBK"/>
                <w:i w:val="0"/>
                <w:iCs w:val="0"/>
                <w:color w:val="auto"/>
                <w:kern w:val="0"/>
                <w:sz w:val="24"/>
                <w:szCs w:val="24"/>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方正仿宋_GBK" w:hAnsi="方正仿宋_GBK"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①项目是否有绩效目标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方正仿宋_GBK" w:hAnsi="方正仿宋_GBK"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①预算编制是否经过科学论证</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②预算内容与项目内容是否匹配</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方正仿宋_GBK" w:hAnsi="方正仿宋_GBK"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①预算资金分配依据是否充分</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预算执行率</w:t>
            </w:r>
            <w:r>
              <w:rPr>
                <w:rStyle w:val="45"/>
                <w:rFonts w:eastAsia="方正仿宋_GBK"/>
                <w:color w:val="auto"/>
                <w:highlight w:val="none"/>
                <w:lang w:val="en-US" w:eastAsia="zh-CN" w:bidi="ar"/>
              </w:rPr>
              <w:t>=</w:t>
            </w:r>
            <w:r>
              <w:rPr>
                <w:rStyle w:val="53"/>
                <w:color w:val="auto"/>
                <w:highlight w:val="none"/>
                <w:lang w:val="en-US" w:eastAsia="zh-CN" w:bidi="ar"/>
              </w:rPr>
              <w:t>（实际支出资金</w:t>
            </w:r>
            <w:r>
              <w:rPr>
                <w:rStyle w:val="45"/>
                <w:rFonts w:eastAsia="方正仿宋_GBK"/>
                <w:color w:val="auto"/>
                <w:highlight w:val="none"/>
                <w:lang w:val="en-US" w:eastAsia="zh-CN" w:bidi="ar"/>
              </w:rPr>
              <w:t>/</w:t>
            </w:r>
            <w:r>
              <w:rPr>
                <w:rStyle w:val="53"/>
                <w:color w:val="auto"/>
                <w:highlight w:val="none"/>
                <w:lang w:val="en-US" w:eastAsia="zh-CN" w:bidi="ar"/>
              </w:rPr>
              <w:t>实际到位资金）×</w:t>
            </w:r>
            <w:r>
              <w:rPr>
                <w:rStyle w:val="45"/>
                <w:rFonts w:eastAsia="方正仿宋_GBK"/>
                <w:color w:val="auto"/>
                <w:highlight w:val="none"/>
                <w:lang w:val="en-US" w:eastAsia="zh-CN" w:bidi="ar"/>
              </w:rPr>
              <w:t>100%</w:t>
            </w:r>
            <w:r>
              <w:rPr>
                <w:rFonts w:hint="eastAsia" w:ascii="方正仿宋_GBK" w:hAnsi="方正仿宋_GBK" w:eastAsia="方正仿宋_GBK" w:cs="方正仿宋_GBK"/>
                <w:i w:val="0"/>
                <w:iCs w:val="0"/>
                <w:color w:val="auto"/>
                <w:kern w:val="0"/>
                <w:sz w:val="24"/>
                <w:szCs w:val="24"/>
                <w:lang w:val="en-US" w:eastAsia="zh-CN" w:bidi="ar"/>
              </w:rPr>
              <w:t>得2.5分，否则不得分；</w:t>
            </w:r>
            <w:r>
              <w:rPr>
                <w:rStyle w:val="53"/>
                <w:color w:val="auto"/>
                <w:highlight w:val="none"/>
                <w:lang w:val="en-US" w:eastAsia="zh-CN" w:bidi="ar"/>
              </w:rPr>
              <w:t>实际支出资金：一定时期（本年度或项目期）内项目实际拨付的资金</w:t>
            </w:r>
            <w:r>
              <w:rPr>
                <w:rFonts w:hint="eastAsia" w:ascii="方正仿宋_GBK" w:hAnsi="方正仿宋_GBK"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方正仿宋_GBK" w:hAnsi="方正仿宋_GBK" w:eastAsia="方正仿宋_GBK" w:cs="方正仿宋_GBK"/>
                <w:i w:val="0"/>
                <w:iCs w:val="0"/>
                <w:color w:val="auto"/>
                <w:kern w:val="0"/>
                <w:sz w:val="24"/>
                <w:szCs w:val="24"/>
                <w:lang w:val="en-US" w:eastAsia="zh-CN" w:bidi="ar"/>
              </w:rPr>
              <w:t>得2分，否则不得分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方正仿宋_GBK" w:hAnsi="方正仿宋_GBK" w:eastAsia="方正仿宋_GBK" w:cs="方正仿宋_GBK"/>
                <w:i w:val="0"/>
                <w:iCs w:val="0"/>
                <w:color w:val="auto"/>
                <w:kern w:val="0"/>
                <w:sz w:val="24"/>
                <w:szCs w:val="24"/>
                <w:lang w:val="en-US" w:eastAsia="zh-CN" w:bidi="ar"/>
              </w:rPr>
              <w:t>得1分，否则不得分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方正仿宋_GBK" w:hAnsi="方正仿宋_GBK" w:eastAsia="方正仿宋_GBK" w:cs="方正仿宋_GBK"/>
                <w:i w:val="0"/>
                <w:iCs w:val="0"/>
                <w:color w:val="auto"/>
                <w:kern w:val="0"/>
                <w:sz w:val="24"/>
                <w:szCs w:val="24"/>
                <w:lang w:val="en-US" w:eastAsia="zh-CN" w:bidi="ar"/>
              </w:rPr>
              <w:t>得0.5分，否则不得分</w:t>
            </w:r>
            <w:r>
              <w:rPr>
                <w:rFonts w:hint="eastAsia" w:ascii="方正仿宋_GBK" w:hAnsi="方正仿宋_GBK"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产出数量（</w:t>
            </w:r>
            <w:r>
              <w:rPr>
                <w:rStyle w:val="45"/>
                <w:rFonts w:eastAsia="方正仿宋_GBK"/>
                <w:color w:val="auto"/>
                <w:highlight w:val="none"/>
                <w:lang w:val="en-US" w:eastAsia="zh-CN" w:bidi="ar"/>
              </w:rPr>
              <w:t>10</w:t>
            </w:r>
            <w:r>
              <w:rPr>
                <w:rStyle w:val="53"/>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①受助学生人数（人）</w:t>
            </w:r>
            <w:r>
              <w:rPr>
                <w:rFonts w:hint="eastAsia" w:ascii="方正仿宋_GBK" w:hAnsi="方正仿宋_GBK" w:eastAsia="方正仿宋_GBK" w:cs="方正仿宋_GBK"/>
                <w:color w:val="auto"/>
                <w:kern w:val="0"/>
                <w:sz w:val="24"/>
                <w:szCs w:val="24"/>
                <w:lang w:val="en-US" w:eastAsia="zh-CN" w:bidi="ar"/>
              </w:rPr>
              <w:t>,</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 xml:space="preserve">实际完成率=（实际产出数/计划产出数）×100% 。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color w:val="auto"/>
                <w:kern w:val="0"/>
                <w:sz w:val="24"/>
                <w:szCs w:val="24"/>
                <w:lang w:bidi="ar"/>
              </w:rPr>
              <w:t>①受助学生覆盖率（%）完成该指标得满分（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分）；②资助政策覆盖率（%）完成该指标得满分（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 xml:space="preserve">质量达标率=（质量达标产出数/实际产出数）×100%。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①项目完成时间2022年12月完成该指标得满分（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②资助资金按时发放率（%）完成该指标得满分（</w:t>
            </w:r>
            <w:r>
              <w:rPr>
                <w:rFonts w:hint="eastAsia" w:ascii="方正仿宋_GBK" w:hAnsi="方正仿宋_GBK" w:eastAsia="方正仿宋_GBK" w:cs="方正仿宋_GBK"/>
                <w:color w:val="auto"/>
                <w:kern w:val="0"/>
                <w:sz w:val="24"/>
                <w:szCs w:val="24"/>
                <w:lang w:val="en-US" w:eastAsia="zh-CN" w:bidi="ar"/>
              </w:rPr>
              <w:t>5</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left"/>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50"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产出成本（10</w:t>
            </w:r>
            <w:r>
              <w:rPr>
                <w:rStyle w:val="53"/>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①中等职业教育学生平均标准（元/人/年）完成该指标得满分（</w:t>
            </w:r>
            <w:r>
              <w:rPr>
                <w:rFonts w:hint="eastAsia" w:ascii="方正仿宋_GBK" w:hAnsi="方正仿宋_GBK" w:eastAsia="方正仿宋_GBK" w:cs="方正仿宋_GBK"/>
                <w:color w:val="auto"/>
                <w:kern w:val="0"/>
                <w:sz w:val="24"/>
                <w:szCs w:val="24"/>
                <w:lang w:val="en-US" w:eastAsia="zh-CN" w:bidi="ar"/>
              </w:rPr>
              <w:t>10</w:t>
            </w:r>
            <w:r>
              <w:rPr>
                <w:rFonts w:hint="eastAsia" w:ascii="方正仿宋_GBK" w:hAnsi="方正仿宋_GBK"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①经济效益：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default" w:ascii="Calibri" w:hAnsi="Calibri" w:eastAsia="方正仿宋_GBK" w:cs="Calibri"/>
                <w:color w:val="auto"/>
                <w:kern w:val="0"/>
                <w:sz w:val="24"/>
                <w:szCs w:val="24"/>
                <w:lang w:eastAsia="zh-CN" w:bidi="ar"/>
              </w:rPr>
              <w:t>②</w:t>
            </w:r>
            <w:r>
              <w:rPr>
                <w:rFonts w:hint="eastAsia" w:ascii="方正仿宋_GBK" w:hAnsi="方正仿宋_GBK" w:eastAsia="方正仿宋_GBK" w:cs="方正仿宋_GBK"/>
                <w:color w:val="auto"/>
                <w:kern w:val="0"/>
                <w:sz w:val="24"/>
                <w:szCs w:val="24"/>
                <w:lang w:eastAsia="zh-CN" w:bidi="ar"/>
              </w:rPr>
              <w:t>社会效益</w:t>
            </w:r>
            <w:r>
              <w:rPr>
                <w:rFonts w:hint="eastAsia" w:ascii="方正仿宋_GBK" w:hAnsi="方正仿宋_GBK" w:eastAsia="方正仿宋_GBK" w:cs="方正仿宋_GBK"/>
                <w:color w:val="auto"/>
                <w:kern w:val="0"/>
                <w:sz w:val="24"/>
                <w:szCs w:val="24"/>
                <w:lang w:bidi="ar"/>
              </w:rPr>
              <w:t>：减轻学生家庭经济负担完成该指标得满分（</w:t>
            </w:r>
            <w:r>
              <w:rPr>
                <w:rFonts w:hint="eastAsia" w:ascii="方正仿宋_GBK" w:hAnsi="方正仿宋_GBK" w:eastAsia="方正仿宋_GBK" w:cs="方正仿宋_GBK"/>
                <w:color w:val="auto"/>
                <w:kern w:val="0"/>
                <w:sz w:val="24"/>
                <w:szCs w:val="24"/>
                <w:lang w:val="en-US" w:eastAsia="zh-CN" w:bidi="ar"/>
              </w:rPr>
              <w:t>3</w:t>
            </w:r>
            <w:r>
              <w:rPr>
                <w:rFonts w:hint="eastAsia" w:ascii="方正仿宋_GBK" w:hAnsi="方正仿宋_GBK" w:eastAsia="方正仿宋_GBK" w:cs="方正仿宋_GBK"/>
                <w:color w:val="auto"/>
                <w:kern w:val="0"/>
                <w:sz w:val="24"/>
                <w:szCs w:val="24"/>
                <w:lang w:bidi="ar"/>
              </w:rPr>
              <w:t>分）否则不得分；</w:t>
            </w:r>
            <w:r>
              <w:rPr>
                <w:rFonts w:hint="eastAsia" w:ascii="方正仿宋_GBK" w:hAnsi="方正仿宋_GBK" w:eastAsia="方正仿宋_GBK" w:cs="方正仿宋_GBK"/>
                <w:color w:val="auto"/>
                <w:kern w:val="0"/>
                <w:sz w:val="24"/>
                <w:szCs w:val="24"/>
                <w:lang w:bidi="ar"/>
              </w:rPr>
              <w:br w:type="textWrapping"/>
            </w:r>
            <w:r>
              <w:rPr>
                <w:rFonts w:hint="default" w:ascii="Calibri" w:hAnsi="Calibri" w:eastAsia="方正仿宋_GBK" w:cs="Calibri"/>
                <w:color w:val="auto"/>
                <w:kern w:val="0"/>
                <w:sz w:val="24"/>
                <w:szCs w:val="24"/>
                <w:lang w:bidi="ar"/>
              </w:rPr>
              <w:t>③</w:t>
            </w:r>
            <w:r>
              <w:rPr>
                <w:rFonts w:hint="eastAsia" w:ascii="方正仿宋_GBK" w:hAnsi="方正仿宋_GBK" w:eastAsia="方正仿宋_GBK" w:cs="方正仿宋_GBK"/>
                <w:color w:val="auto"/>
                <w:kern w:val="0"/>
                <w:sz w:val="24"/>
                <w:szCs w:val="24"/>
                <w:lang w:bidi="ar"/>
              </w:rPr>
              <w:t>社会效益：帮助家庭经济困难学生接受教育</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3</w:t>
            </w:r>
            <w:r>
              <w:rPr>
                <w:rFonts w:hint="eastAsia" w:ascii="方正仿宋_GBK" w:hAnsi="方正仿宋_GBK" w:eastAsia="方正仿宋_GBK" w:cs="方正仿宋_GBK"/>
                <w:color w:val="auto"/>
                <w:kern w:val="0"/>
                <w:sz w:val="24"/>
                <w:szCs w:val="24"/>
                <w:lang w:bidi="ar"/>
              </w:rPr>
              <w:t xml:space="preserve">分）否则不得分；                       </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w:t>
            </w:r>
            <w:r>
              <w:rPr>
                <w:rFonts w:hint="eastAsia" w:ascii="方正仿宋_GBK" w:hAnsi="方正仿宋_GBK" w:eastAsia="方正仿宋_GBK" w:cs="方正仿宋_GBK"/>
                <w:color w:val="auto"/>
                <w:kern w:val="0"/>
                <w:sz w:val="24"/>
                <w:szCs w:val="24"/>
                <w:lang w:eastAsia="zh-CN" w:bidi="ar"/>
              </w:rPr>
              <w:t>社会</w:t>
            </w:r>
            <w:r>
              <w:rPr>
                <w:rFonts w:hint="eastAsia" w:ascii="方正仿宋_GBK" w:hAnsi="方正仿宋_GBK" w:eastAsia="方正仿宋_GBK" w:cs="方正仿宋_GBK"/>
                <w:color w:val="auto"/>
                <w:kern w:val="0"/>
                <w:sz w:val="24"/>
                <w:szCs w:val="24"/>
                <w:lang w:bidi="ar"/>
              </w:rPr>
              <w:t>效益：政策知晓率（%）</w:t>
            </w:r>
            <w:r>
              <w:rPr>
                <w:rFonts w:hint="eastAsia" w:ascii="方正仿宋_GBK" w:hAnsi="方正仿宋_GBK" w:eastAsia="方正仿宋_GBK" w:cs="方正仿宋_GBK"/>
                <w:color w:val="auto"/>
                <w:kern w:val="0"/>
                <w:sz w:val="24"/>
                <w:szCs w:val="24"/>
                <w:lang w:eastAsia="zh-CN" w:bidi="ar"/>
              </w:rPr>
              <w:t>指标，</w:t>
            </w:r>
            <w:r>
              <w:rPr>
                <w:rFonts w:hint="eastAsia" w:ascii="方正仿宋_GBK" w:hAnsi="方正仿宋_GBK" w:eastAsia="方正仿宋_GBK" w:cs="方正仿宋_GBK"/>
                <w:color w:val="auto"/>
                <w:kern w:val="0"/>
                <w:sz w:val="24"/>
                <w:szCs w:val="24"/>
                <w:lang w:bidi="ar"/>
              </w:rPr>
              <w:t>完成该指标得满分（</w:t>
            </w:r>
            <w:r>
              <w:rPr>
                <w:rFonts w:hint="eastAsia" w:ascii="方正仿宋_GBK" w:hAnsi="方正仿宋_GBK" w:eastAsia="方正仿宋_GBK" w:cs="方正仿宋_GBK"/>
                <w:color w:val="auto"/>
                <w:kern w:val="0"/>
                <w:sz w:val="24"/>
                <w:szCs w:val="24"/>
                <w:lang w:val="en-US" w:eastAsia="zh-CN" w:bidi="ar"/>
              </w:rPr>
              <w:t>4</w:t>
            </w:r>
            <w:r>
              <w:rPr>
                <w:rFonts w:hint="eastAsia" w:ascii="方正仿宋_GBK" w:hAnsi="方正仿宋_GBK"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eastAsia="zh-CN" w:bidi="ar"/>
              </w:rPr>
            </w:pPr>
            <w:r>
              <w:rPr>
                <w:rFonts w:hint="eastAsia" w:ascii="方正仿宋_GBK" w:hAnsi="方正仿宋_GBK" w:eastAsia="方正仿宋_GBK" w:cs="方正仿宋_GBK"/>
                <w:color w:val="auto"/>
                <w:kern w:val="0"/>
                <w:sz w:val="24"/>
                <w:szCs w:val="24"/>
                <w:lang w:bidi="ar"/>
              </w:rPr>
              <w:t>⑤</w:t>
            </w:r>
            <w:r>
              <w:rPr>
                <w:rFonts w:hint="eastAsia" w:ascii="方正仿宋_GBK" w:hAnsi="方正仿宋_GBK" w:eastAsia="方正仿宋_GBK" w:cs="方正仿宋_GBK"/>
                <w:color w:val="auto"/>
                <w:kern w:val="0"/>
                <w:sz w:val="24"/>
                <w:szCs w:val="24"/>
                <w:lang w:bidi="ar"/>
              </w:rPr>
              <w:t>生态效益：</w:t>
            </w:r>
            <w:r>
              <w:rPr>
                <w:rFonts w:hint="eastAsia" w:ascii="方正仿宋_GBK" w:hAnsi="方正仿宋_GBK"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default" w:ascii="方正仿宋_GBK" w:hAnsi="方正仿宋_GBK" w:eastAsia="方正仿宋_GBK" w:cs="方正仿宋_GBK"/>
                <w:color w:val="auto"/>
                <w:kern w:val="0"/>
                <w:sz w:val="24"/>
                <w:szCs w:val="24"/>
                <w:lang w:val="en-US" w:eastAsia="zh-CN" w:bidi="ar"/>
              </w:rPr>
            </w:pPr>
            <w:r>
              <w:rPr>
                <w:rFonts w:hint="eastAsia" w:ascii="方正仿宋_GBK" w:hAnsi="方正仿宋_GBK" w:eastAsia="方正仿宋_GBK" w:cs="方正仿宋_GBK"/>
                <w:color w:val="auto"/>
                <w:kern w:val="0"/>
                <w:sz w:val="24"/>
                <w:szCs w:val="24"/>
                <w:lang w:eastAsia="zh-CN" w:bidi="ar"/>
              </w:rPr>
              <w:t>⑥</w:t>
            </w:r>
            <w:r>
              <w:rPr>
                <w:rFonts w:hint="eastAsia" w:ascii="方正仿宋_GBK" w:hAnsi="方正仿宋_GBK" w:eastAsia="方正仿宋_GBK" w:cs="方正仿宋_GBK"/>
                <w:color w:val="auto"/>
                <w:kern w:val="0"/>
                <w:sz w:val="24"/>
                <w:szCs w:val="24"/>
                <w:lang w:bidi="ar"/>
              </w:rPr>
              <w:t>可持续影响</w:t>
            </w:r>
            <w:r>
              <w:rPr>
                <w:rFonts w:hint="eastAsia" w:ascii="方正仿宋_GBK" w:hAnsi="方正仿宋_GBK" w:eastAsia="方正仿宋_GBK" w:cs="方正仿宋_GBK"/>
                <w:color w:val="auto"/>
                <w:kern w:val="0"/>
                <w:sz w:val="24"/>
                <w:szCs w:val="24"/>
                <w:lang w:val="en-US" w:eastAsia="zh-CN" w:bidi="ar"/>
              </w:rPr>
              <w:t>:无</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方正仿宋_GBK" w:hAnsi="方正仿宋_GBK"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0"/>
                <w:sz w:val="24"/>
                <w:szCs w:val="24"/>
                <w:lang w:bidi="ar"/>
              </w:rPr>
            </w:pPr>
            <w:r>
              <w:rPr>
                <w:rFonts w:hint="eastAsia" w:ascii="方正仿宋_GBK" w:hAnsi="方正仿宋_GBK" w:eastAsia="方正仿宋_GBK" w:cs="方正仿宋_GBK"/>
                <w:color w:val="auto"/>
                <w:kern w:val="0"/>
                <w:sz w:val="24"/>
                <w:szCs w:val="24"/>
                <w:lang w:bidi="ar"/>
              </w:rPr>
              <w:t xml:space="preserve">根据问卷调查，受益群众满意度达到满意的人数：                                      </w:t>
            </w:r>
          </w:p>
          <w:p>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center"/>
              <w:rPr>
                <w:rFonts w:hint="eastAsia" w:ascii="方正仿宋_GBK" w:hAnsi="方正仿宋_GBK" w:eastAsia="方正仿宋_GBK" w:cs="方正仿宋_GBK"/>
                <w:color w:val="auto"/>
                <w:kern w:val="2"/>
                <w:sz w:val="24"/>
                <w:szCs w:val="24"/>
                <w:lang w:val="en-US" w:eastAsia="zh-CN" w:bidi="ar-SA"/>
              </w:rPr>
            </w:pPr>
            <w:r>
              <w:rPr>
                <w:rFonts w:hint="eastAsia" w:ascii="方正仿宋_GBK" w:hAnsi="方正仿宋_GBK" w:eastAsia="方正仿宋_GBK" w:cs="方正仿宋_GBK"/>
                <w:color w:val="auto"/>
                <w:kern w:val="0"/>
                <w:sz w:val="24"/>
                <w:szCs w:val="24"/>
                <w:lang w:bidi="ar"/>
              </w:rPr>
              <w:t>①人数大于等于95%，得10分；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②人数小于95%大于等于85%，得8分；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③人数小于85%大于等于70%，得5分；</w:t>
            </w:r>
            <w:r>
              <w:rPr>
                <w:rFonts w:hint="eastAsia" w:ascii="方正仿宋_GBK" w:hAnsi="方正仿宋_GBK" w:eastAsia="方正仿宋_GBK" w:cs="方正仿宋_GBK"/>
                <w:color w:val="auto"/>
                <w:kern w:val="0"/>
                <w:sz w:val="24"/>
                <w:szCs w:val="24"/>
                <w:lang w:bidi="ar"/>
              </w:rPr>
              <w:br w:type="textWrapping"/>
            </w:r>
            <w:r>
              <w:rPr>
                <w:rFonts w:hint="eastAsia" w:ascii="方正仿宋_GBK" w:hAnsi="方正仿宋_GBK" w:eastAsia="方正仿宋_GBK" w:cs="方正仿宋_GBK"/>
                <w:color w:val="auto"/>
                <w:kern w:val="0"/>
                <w:sz w:val="24"/>
                <w:szCs w:val="24"/>
                <w:lang w:bidi="ar"/>
              </w:rPr>
              <w:t>④人数小于等于70%，不得分。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100分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default" w:ascii="Times New Roman" w:hAnsi="Times New Roman" w:eastAsia="等线" w:cs="Times New Roman"/>
                <w:i w:val="0"/>
                <w:iCs w:val="0"/>
                <w:color w:val="auto"/>
                <w:sz w:val="24"/>
                <w:szCs w:val="24"/>
                <w:highlight w:val="none"/>
                <w:u w:val="none"/>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100</w:t>
            </w:r>
          </w:p>
        </w:tc>
      </w:tr>
    </w:tbl>
    <w:p>
      <w:pPr>
        <w:pStyle w:val="32"/>
        <w:pageBreakBefore w:val="0"/>
        <w:kinsoku/>
        <w:wordWrap/>
        <w:topLinePunct w:val="0"/>
        <w:autoSpaceDE/>
        <w:bidi w:val="0"/>
        <w:spacing w:line="560" w:lineRule="exact"/>
        <w:ind w:firstLine="0" w:firstLineChars="0"/>
        <w:rPr>
          <w:rFonts w:hint="eastAsia" w:ascii="方正仿宋_GBK" w:hAnsi="方正仿宋_GBK" w:eastAsia="方正仿宋_GBK" w:cs="方正仿宋_GBK"/>
          <w:color w:val="auto"/>
          <w:sz w:val="32"/>
          <w:szCs w:val="32"/>
        </w:rPr>
        <w:sectPr>
          <w:pgSz w:w="11906" w:h="16838"/>
          <w:pgMar w:top="1531" w:right="1701" w:bottom="1531" w:left="1984" w:header="851" w:footer="992" w:gutter="0"/>
          <w:cols w:space="720" w:num="1"/>
          <w:docGrid w:type="lines" w:linePitch="312" w:charSpace="0"/>
        </w:sectPr>
      </w:pPr>
    </w:p>
    <w:p>
      <w:pPr>
        <w:pStyle w:val="32"/>
        <w:pageBreakBefore w:val="0"/>
        <w:kinsoku/>
        <w:wordWrap/>
        <w:topLinePunct w:val="0"/>
        <w:autoSpaceDE/>
        <w:bidi w:val="0"/>
        <w:spacing w:line="560" w:lineRule="exact"/>
        <w:ind w:firstLine="0" w:firstLineChars="0"/>
        <w:rPr>
          <w:rFonts w:hint="eastAsia" w:ascii="Times New Roman" w:hAnsi="Times New Roman" w:eastAsia="方正仿宋_GBK" w:cs="方正仿宋_GBK"/>
          <w:b/>
          <w:bCs/>
          <w:color w:val="auto"/>
          <w:kern w:val="2"/>
          <w:sz w:val="32"/>
          <w:szCs w:val="32"/>
          <w:lang w:val="en-US" w:eastAsia="zh-CN" w:bidi="ar-SA"/>
        </w:rPr>
      </w:pPr>
      <w:r>
        <w:rPr>
          <w:rFonts w:hint="eastAsia" w:ascii="Times New Roman" w:hAnsi="Times New Roman" w:eastAsia="方正仿宋_GBK" w:cs="方正仿宋_GBK"/>
          <w:b/>
          <w:bCs/>
          <w:color w:val="auto"/>
          <w:kern w:val="2"/>
          <w:sz w:val="32"/>
          <w:szCs w:val="32"/>
          <w:lang w:val="en-US" w:eastAsia="zh-CN" w:bidi="ar-SA"/>
        </w:rPr>
        <w:t>附件2：满意度调查问卷</w:t>
      </w:r>
    </w:p>
    <w:p>
      <w:pPr>
        <w:keepLines w:val="0"/>
        <w:spacing w:after="400"/>
        <w:ind w:firstLine="160"/>
        <w:jc w:val="center"/>
        <w:rPr>
          <w:color w:val="auto"/>
        </w:rPr>
      </w:pPr>
      <w:r>
        <w:rPr>
          <w:b/>
          <w:color w:val="auto"/>
          <w:sz w:val="32"/>
        </w:rPr>
        <w:t>伽师县</w:t>
      </w:r>
      <w:r>
        <w:rPr>
          <w:rFonts w:hint="eastAsia" w:eastAsia="宋体"/>
          <w:b/>
          <w:color w:val="auto"/>
          <w:sz w:val="32"/>
          <w:lang w:val="en-US" w:eastAsia="zh-CN"/>
        </w:rPr>
        <w:t>中职</w:t>
      </w:r>
      <w:r>
        <w:rPr>
          <w:b/>
          <w:color w:val="auto"/>
          <w:sz w:val="32"/>
        </w:rPr>
        <w:t>学校202</w:t>
      </w:r>
      <w:r>
        <w:rPr>
          <w:rFonts w:hint="eastAsia" w:eastAsia="宋体"/>
          <w:b/>
          <w:color w:val="auto"/>
          <w:sz w:val="32"/>
          <w:lang w:val="en-US" w:eastAsia="zh-CN"/>
        </w:rPr>
        <w:t>2</w:t>
      </w:r>
      <w:r>
        <w:rPr>
          <w:b/>
          <w:color w:val="auto"/>
          <w:sz w:val="32"/>
        </w:rPr>
        <w:t>年免住宿费补助项目</w:t>
      </w:r>
    </w:p>
    <w:p>
      <w:pPr>
        <w:rPr>
          <w:b/>
          <w:color w:val="auto"/>
          <w:sz w:val="32"/>
        </w:rPr>
      </w:pPr>
      <w:r>
        <w:rPr>
          <w:b w:val="0"/>
          <w:color w:val="auto"/>
          <w:sz w:val="24"/>
        </w:rPr>
        <w:t xml:space="preserve">第1题   </w:t>
      </w:r>
      <w:r>
        <w:rPr>
          <w:rFonts w:hint="eastAsia" w:eastAsia="宋体"/>
          <w:b w:val="0"/>
          <w:color w:val="auto"/>
          <w:sz w:val="24"/>
          <w:lang w:val="en-US" w:eastAsia="zh-CN"/>
        </w:rPr>
        <w:t>你认为</w:t>
      </w:r>
      <w:r>
        <w:rPr>
          <w:b w:val="0"/>
          <w:color w:val="auto"/>
          <w:sz w:val="24"/>
        </w:rPr>
        <w:t xml:space="preserve">该项目资金使用合格吗？      </w:t>
      </w:r>
      <w:r>
        <w:rPr>
          <w:b w:val="0"/>
          <w:color w:val="auto"/>
          <w:sz w:val="24"/>
        </w:rPr>
        <w:t>[单选题]</w:t>
      </w:r>
    </w:p>
    <w:p>
      <w:pPr>
        <w:rPr>
          <w:b w:val="0"/>
          <w:color w:val="auto"/>
          <w:sz w:val="24"/>
        </w:rPr>
      </w:pPr>
    </w:p>
    <w:tbl>
      <w:tblPr>
        <w:tblStyle w:val="26"/>
        <w:tblW w:w="837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940"/>
        <w:gridCol w:w="1718"/>
        <w:gridCol w:w="171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940" w:type="dxa"/>
            <w:shd w:val="clear" w:color="auto" w:fill="F5F5F5"/>
            <w:vAlign w:val="center"/>
          </w:tcPr>
          <w:p>
            <w:pPr>
              <w:jc w:val="left"/>
              <w:rPr>
                <w:color w:val="auto"/>
                <w:sz w:val="18"/>
                <w:szCs w:val="18"/>
              </w:rPr>
            </w:pPr>
            <w:r>
              <w:rPr>
                <w:color w:val="auto"/>
                <w:sz w:val="18"/>
                <w:szCs w:val="18"/>
              </w:rPr>
              <w:t>选项</w:t>
            </w:r>
          </w:p>
        </w:tc>
        <w:tc>
          <w:tcPr>
            <w:tcW w:w="1718" w:type="dxa"/>
            <w:shd w:val="clear" w:color="auto" w:fill="F5F5F5"/>
            <w:vAlign w:val="center"/>
          </w:tcPr>
          <w:p>
            <w:pPr>
              <w:jc w:val="center"/>
              <w:rPr>
                <w:color w:val="auto"/>
                <w:sz w:val="18"/>
                <w:szCs w:val="18"/>
              </w:rPr>
            </w:pPr>
            <w:r>
              <w:rPr>
                <w:color w:val="auto"/>
                <w:sz w:val="18"/>
                <w:szCs w:val="18"/>
              </w:rPr>
              <w:t>小计</w:t>
            </w:r>
          </w:p>
        </w:tc>
        <w:tc>
          <w:tcPr>
            <w:tcW w:w="1719"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940" w:type="dxa"/>
            <w:shd w:val="clear" w:color="auto" w:fill="FFFFFF"/>
            <w:vAlign w:val="center"/>
          </w:tcPr>
          <w:p>
            <w:pPr>
              <w:jc w:val="left"/>
              <w:rPr>
                <w:color w:val="auto"/>
                <w:sz w:val="18"/>
                <w:szCs w:val="18"/>
              </w:rPr>
            </w:pPr>
            <w:r>
              <w:rPr>
                <w:color w:val="auto"/>
                <w:sz w:val="18"/>
                <w:szCs w:val="18"/>
              </w:rPr>
              <w:t>合格</w:t>
            </w:r>
          </w:p>
        </w:tc>
        <w:tc>
          <w:tcPr>
            <w:tcW w:w="1718"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719"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940" w:type="dxa"/>
            <w:shd w:val="clear" w:color="auto" w:fill="FAFAFA"/>
            <w:vAlign w:val="center"/>
          </w:tcPr>
          <w:p>
            <w:pPr>
              <w:jc w:val="left"/>
              <w:rPr>
                <w:color w:val="auto"/>
                <w:sz w:val="18"/>
                <w:szCs w:val="18"/>
              </w:rPr>
            </w:pPr>
            <w:r>
              <w:rPr>
                <w:color w:val="auto"/>
                <w:sz w:val="18"/>
                <w:szCs w:val="18"/>
              </w:rPr>
              <w:t>非常合格</w:t>
            </w:r>
          </w:p>
        </w:tc>
        <w:tc>
          <w:tcPr>
            <w:tcW w:w="1718" w:type="dxa"/>
            <w:shd w:val="clear" w:color="auto" w:fill="FAFAFA"/>
            <w:vAlign w:val="center"/>
          </w:tcPr>
          <w:p>
            <w:pPr>
              <w:jc w:val="center"/>
              <w:rPr>
                <w:rFonts w:hint="default" w:eastAsia="宋体"/>
                <w:color w:val="auto"/>
                <w:sz w:val="18"/>
                <w:szCs w:val="18"/>
                <w:lang w:val="en-US" w:eastAsia="zh-CN"/>
              </w:rPr>
            </w:pPr>
            <w:r>
              <w:rPr>
                <w:rFonts w:hint="eastAsia" w:eastAsia="宋体"/>
                <w:color w:val="auto"/>
                <w:sz w:val="18"/>
                <w:szCs w:val="18"/>
                <w:lang w:val="en-US" w:eastAsia="zh-CN"/>
              </w:rPr>
              <w:t>210</w:t>
            </w:r>
          </w:p>
        </w:tc>
        <w:tc>
          <w:tcPr>
            <w:tcW w:w="1719"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19" w:hRule="atLeast"/>
        </w:trPr>
        <w:tc>
          <w:tcPr>
            <w:tcW w:w="4940" w:type="dxa"/>
            <w:shd w:val="clear" w:color="auto" w:fill="F5F5F5"/>
            <w:vAlign w:val="center"/>
          </w:tcPr>
          <w:p>
            <w:pPr>
              <w:jc w:val="left"/>
              <w:rPr>
                <w:color w:val="auto"/>
                <w:sz w:val="18"/>
                <w:szCs w:val="18"/>
              </w:rPr>
            </w:pPr>
            <w:r>
              <w:rPr>
                <w:color w:val="auto"/>
                <w:sz w:val="18"/>
                <w:szCs w:val="18"/>
              </w:rPr>
              <w:t>本题有效填写人次</w:t>
            </w:r>
          </w:p>
        </w:tc>
        <w:tc>
          <w:tcPr>
            <w:tcW w:w="1718" w:type="dxa"/>
            <w:shd w:val="clear" w:color="auto" w:fill="F5F5F5"/>
            <w:vAlign w:val="center"/>
          </w:tcPr>
          <w:p>
            <w:pPr>
              <w:jc w:val="center"/>
              <w:rPr>
                <w:rFonts w:hint="default" w:eastAsia="宋体"/>
                <w:color w:val="auto"/>
                <w:sz w:val="18"/>
                <w:szCs w:val="18"/>
                <w:lang w:val="en-US" w:eastAsia="zh-CN"/>
              </w:rPr>
            </w:pPr>
            <w:r>
              <w:rPr>
                <w:rFonts w:hint="eastAsia" w:eastAsia="宋体"/>
                <w:color w:val="auto"/>
                <w:sz w:val="18"/>
                <w:szCs w:val="18"/>
                <w:lang w:val="en-US" w:eastAsia="zh-CN"/>
              </w:rPr>
              <w:t>210</w:t>
            </w:r>
          </w:p>
        </w:tc>
        <w:tc>
          <w:tcPr>
            <w:tcW w:w="1719"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第2题   </w:t>
      </w:r>
      <w:r>
        <w:rPr>
          <w:rFonts w:hint="eastAsia" w:eastAsia="宋体"/>
          <w:b w:val="0"/>
          <w:color w:val="auto"/>
          <w:sz w:val="24"/>
          <w:lang w:val="en-US" w:eastAsia="zh-CN"/>
        </w:rPr>
        <w:t>你认为</w:t>
      </w:r>
      <w:r>
        <w:rPr>
          <w:b w:val="0"/>
          <w:color w:val="auto"/>
          <w:sz w:val="24"/>
        </w:rPr>
        <w:t xml:space="preserve">该项目补助标准达标吗？      </w:t>
      </w:r>
      <w:r>
        <w:rPr>
          <w:b w:val="0"/>
          <w:color w:val="auto"/>
          <w:sz w:val="24"/>
        </w:rPr>
        <w:t>[单选题]</w:t>
      </w:r>
    </w:p>
    <w:p>
      <w:pPr>
        <w:rPr>
          <w:b w:val="0"/>
          <w:color w:val="auto"/>
          <w:sz w:val="24"/>
        </w:rPr>
      </w:pPr>
    </w:p>
    <w:tbl>
      <w:tblPr>
        <w:tblStyle w:val="26"/>
        <w:tblW w:w="841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902"/>
        <w:gridCol w:w="1597"/>
        <w:gridCol w:w="191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0" w:hRule="atLeast"/>
        </w:trPr>
        <w:tc>
          <w:tcPr>
            <w:tcW w:w="4902" w:type="dxa"/>
            <w:shd w:val="clear" w:color="auto" w:fill="F5F5F5"/>
            <w:vAlign w:val="center"/>
          </w:tcPr>
          <w:p>
            <w:pPr>
              <w:jc w:val="left"/>
              <w:rPr>
                <w:color w:val="auto"/>
                <w:sz w:val="18"/>
                <w:szCs w:val="18"/>
              </w:rPr>
            </w:pPr>
            <w:r>
              <w:rPr>
                <w:color w:val="auto"/>
                <w:sz w:val="18"/>
                <w:szCs w:val="18"/>
              </w:rPr>
              <w:t>选项</w:t>
            </w:r>
          </w:p>
        </w:tc>
        <w:tc>
          <w:tcPr>
            <w:tcW w:w="1597" w:type="dxa"/>
            <w:shd w:val="clear" w:color="auto" w:fill="F5F5F5"/>
            <w:vAlign w:val="center"/>
          </w:tcPr>
          <w:p>
            <w:pPr>
              <w:jc w:val="center"/>
              <w:rPr>
                <w:color w:val="auto"/>
                <w:sz w:val="18"/>
                <w:szCs w:val="18"/>
              </w:rPr>
            </w:pPr>
            <w:r>
              <w:rPr>
                <w:color w:val="auto"/>
                <w:sz w:val="18"/>
                <w:szCs w:val="18"/>
              </w:rPr>
              <w:t>小计</w:t>
            </w:r>
          </w:p>
        </w:tc>
        <w:tc>
          <w:tcPr>
            <w:tcW w:w="1919"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902" w:type="dxa"/>
            <w:shd w:val="clear" w:color="auto" w:fill="FFFFFF"/>
            <w:vAlign w:val="center"/>
          </w:tcPr>
          <w:p>
            <w:pPr>
              <w:jc w:val="left"/>
              <w:rPr>
                <w:color w:val="auto"/>
                <w:sz w:val="18"/>
                <w:szCs w:val="18"/>
              </w:rPr>
            </w:pPr>
            <w:r>
              <w:rPr>
                <w:color w:val="auto"/>
                <w:sz w:val="18"/>
                <w:szCs w:val="18"/>
              </w:rPr>
              <w:t>达标</w:t>
            </w:r>
          </w:p>
        </w:tc>
        <w:tc>
          <w:tcPr>
            <w:tcW w:w="1597"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919"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0" w:hRule="atLeast"/>
        </w:trPr>
        <w:tc>
          <w:tcPr>
            <w:tcW w:w="4902" w:type="dxa"/>
            <w:shd w:val="clear" w:color="auto" w:fill="FAFAFA"/>
            <w:vAlign w:val="center"/>
          </w:tcPr>
          <w:p>
            <w:pPr>
              <w:jc w:val="left"/>
              <w:rPr>
                <w:color w:val="auto"/>
                <w:sz w:val="18"/>
                <w:szCs w:val="18"/>
              </w:rPr>
            </w:pPr>
            <w:r>
              <w:rPr>
                <w:color w:val="auto"/>
                <w:sz w:val="18"/>
                <w:szCs w:val="18"/>
              </w:rPr>
              <w:t>都达标</w:t>
            </w:r>
          </w:p>
        </w:tc>
        <w:tc>
          <w:tcPr>
            <w:tcW w:w="1597"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1919"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43" w:hRule="atLeast"/>
        </w:trPr>
        <w:tc>
          <w:tcPr>
            <w:tcW w:w="4902" w:type="dxa"/>
            <w:shd w:val="clear" w:color="auto" w:fill="F5F5F5"/>
            <w:vAlign w:val="center"/>
          </w:tcPr>
          <w:p>
            <w:pPr>
              <w:jc w:val="left"/>
              <w:rPr>
                <w:color w:val="auto"/>
                <w:sz w:val="18"/>
                <w:szCs w:val="18"/>
              </w:rPr>
            </w:pPr>
            <w:r>
              <w:rPr>
                <w:color w:val="auto"/>
                <w:sz w:val="18"/>
                <w:szCs w:val="18"/>
              </w:rPr>
              <w:t>本题有效填写人次</w:t>
            </w:r>
          </w:p>
        </w:tc>
        <w:tc>
          <w:tcPr>
            <w:tcW w:w="1597"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1919"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第3题   </w:t>
      </w:r>
      <w:r>
        <w:rPr>
          <w:rFonts w:hint="eastAsia" w:eastAsia="宋体"/>
          <w:b w:val="0"/>
          <w:color w:val="auto"/>
          <w:sz w:val="24"/>
          <w:lang w:val="en-US" w:eastAsia="zh-CN"/>
        </w:rPr>
        <w:t>你认为</w:t>
      </w:r>
      <w:r>
        <w:rPr>
          <w:b w:val="0"/>
          <w:color w:val="auto"/>
          <w:sz w:val="24"/>
        </w:rPr>
        <w:t xml:space="preserve">该项目发放及时吗？      </w:t>
      </w:r>
      <w:r>
        <w:rPr>
          <w:b w:val="0"/>
          <w:color w:val="auto"/>
          <w:sz w:val="24"/>
        </w:rPr>
        <w:t>[单选题]</w:t>
      </w:r>
    </w:p>
    <w:p>
      <w:pPr>
        <w:rPr>
          <w:b w:val="0"/>
          <w:color w:val="auto"/>
          <w:sz w:val="24"/>
        </w:rPr>
      </w:pP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5"/>
        <w:gridCol w:w="1543"/>
        <w:gridCol w:w="212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197" w:hRule="atLeast"/>
        </w:trPr>
        <w:tc>
          <w:tcPr>
            <w:tcW w:w="4735" w:type="dxa"/>
            <w:shd w:val="clear" w:color="auto" w:fill="F5F5F5"/>
            <w:vAlign w:val="center"/>
          </w:tcPr>
          <w:p>
            <w:pPr>
              <w:jc w:val="left"/>
              <w:rPr>
                <w:color w:val="auto"/>
                <w:sz w:val="18"/>
                <w:szCs w:val="18"/>
              </w:rPr>
            </w:pPr>
            <w:r>
              <w:rPr>
                <w:color w:val="auto"/>
                <w:sz w:val="18"/>
                <w:szCs w:val="18"/>
              </w:rPr>
              <w:t>选项</w:t>
            </w:r>
          </w:p>
        </w:tc>
        <w:tc>
          <w:tcPr>
            <w:tcW w:w="1543" w:type="dxa"/>
            <w:shd w:val="clear" w:color="auto" w:fill="F5F5F5"/>
            <w:vAlign w:val="center"/>
          </w:tcPr>
          <w:p>
            <w:pPr>
              <w:jc w:val="center"/>
              <w:rPr>
                <w:color w:val="auto"/>
                <w:sz w:val="18"/>
                <w:szCs w:val="18"/>
              </w:rPr>
            </w:pPr>
            <w:r>
              <w:rPr>
                <w:color w:val="auto"/>
                <w:sz w:val="18"/>
                <w:szCs w:val="18"/>
              </w:rPr>
              <w:t>小计</w:t>
            </w:r>
          </w:p>
        </w:tc>
        <w:tc>
          <w:tcPr>
            <w:tcW w:w="2120"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197" w:hRule="atLeast"/>
        </w:trPr>
        <w:tc>
          <w:tcPr>
            <w:tcW w:w="4735" w:type="dxa"/>
            <w:shd w:val="clear" w:color="auto" w:fill="FFFFFF"/>
            <w:vAlign w:val="center"/>
          </w:tcPr>
          <w:p>
            <w:pPr>
              <w:jc w:val="left"/>
              <w:rPr>
                <w:color w:val="auto"/>
                <w:sz w:val="18"/>
                <w:szCs w:val="18"/>
              </w:rPr>
            </w:pPr>
            <w:r>
              <w:rPr>
                <w:color w:val="auto"/>
                <w:sz w:val="18"/>
                <w:szCs w:val="18"/>
              </w:rPr>
              <w:t>及时</w:t>
            </w:r>
          </w:p>
        </w:tc>
        <w:tc>
          <w:tcPr>
            <w:tcW w:w="1543"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2120"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197" w:hRule="atLeast"/>
        </w:trPr>
        <w:tc>
          <w:tcPr>
            <w:tcW w:w="4735" w:type="dxa"/>
            <w:shd w:val="clear" w:color="auto" w:fill="FAFAFA"/>
            <w:vAlign w:val="center"/>
          </w:tcPr>
          <w:p>
            <w:pPr>
              <w:jc w:val="left"/>
              <w:rPr>
                <w:color w:val="auto"/>
                <w:sz w:val="18"/>
                <w:szCs w:val="18"/>
              </w:rPr>
            </w:pPr>
            <w:r>
              <w:rPr>
                <w:color w:val="auto"/>
                <w:sz w:val="18"/>
                <w:szCs w:val="18"/>
              </w:rPr>
              <w:t>非常及时</w:t>
            </w:r>
          </w:p>
        </w:tc>
        <w:tc>
          <w:tcPr>
            <w:tcW w:w="1543"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35" w:type="dxa"/>
            <w:shd w:val="clear" w:color="auto" w:fill="F5F5F5"/>
            <w:vAlign w:val="center"/>
          </w:tcPr>
          <w:p>
            <w:pPr>
              <w:jc w:val="left"/>
              <w:rPr>
                <w:color w:val="auto"/>
                <w:sz w:val="18"/>
                <w:szCs w:val="18"/>
              </w:rPr>
            </w:pPr>
            <w:r>
              <w:rPr>
                <w:color w:val="auto"/>
                <w:sz w:val="18"/>
                <w:szCs w:val="18"/>
              </w:rPr>
              <w:t>本题有效填写人次</w:t>
            </w:r>
          </w:p>
        </w:tc>
        <w:tc>
          <w:tcPr>
            <w:tcW w:w="1543"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第4题   </w:t>
      </w:r>
      <w:r>
        <w:rPr>
          <w:rFonts w:hint="eastAsia" w:eastAsia="宋体"/>
          <w:b w:val="0"/>
          <w:color w:val="auto"/>
          <w:sz w:val="24"/>
          <w:lang w:val="en-US" w:eastAsia="zh-CN"/>
        </w:rPr>
        <w:t>你认为</w:t>
      </w:r>
      <w:r>
        <w:rPr>
          <w:b w:val="0"/>
          <w:color w:val="auto"/>
          <w:sz w:val="24"/>
        </w:rPr>
        <w:t xml:space="preserve">该项目补助标准合格吗？      </w:t>
      </w:r>
      <w:r>
        <w:rPr>
          <w:b w:val="0"/>
          <w:color w:val="auto"/>
          <w:sz w:val="24"/>
        </w:rPr>
        <w:t>[单选题]</w:t>
      </w:r>
    </w:p>
    <w:p>
      <w:pPr>
        <w:rPr>
          <w:b w:val="0"/>
          <w:color w:val="auto"/>
          <w:sz w:val="24"/>
        </w:rPr>
      </w:pPr>
    </w:p>
    <w:tbl>
      <w:tblPr>
        <w:tblStyle w:val="26"/>
        <w:tblW w:w="837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23"/>
        <w:gridCol w:w="1539"/>
        <w:gridCol w:w="211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23" w:type="dxa"/>
            <w:shd w:val="clear" w:color="auto" w:fill="F5F5F5"/>
            <w:vAlign w:val="center"/>
          </w:tcPr>
          <w:p>
            <w:pPr>
              <w:jc w:val="left"/>
              <w:rPr>
                <w:color w:val="auto"/>
                <w:sz w:val="18"/>
                <w:szCs w:val="18"/>
              </w:rPr>
            </w:pPr>
            <w:r>
              <w:rPr>
                <w:color w:val="auto"/>
                <w:sz w:val="18"/>
                <w:szCs w:val="18"/>
              </w:rPr>
              <w:t>选项</w:t>
            </w:r>
          </w:p>
        </w:tc>
        <w:tc>
          <w:tcPr>
            <w:tcW w:w="1539" w:type="dxa"/>
            <w:shd w:val="clear" w:color="auto" w:fill="F5F5F5"/>
            <w:vAlign w:val="center"/>
          </w:tcPr>
          <w:p>
            <w:pPr>
              <w:jc w:val="center"/>
              <w:rPr>
                <w:color w:val="auto"/>
                <w:sz w:val="18"/>
                <w:szCs w:val="18"/>
              </w:rPr>
            </w:pPr>
            <w:r>
              <w:rPr>
                <w:color w:val="auto"/>
                <w:sz w:val="18"/>
                <w:szCs w:val="18"/>
              </w:rPr>
              <w:t>小计</w:t>
            </w:r>
          </w:p>
        </w:tc>
        <w:tc>
          <w:tcPr>
            <w:tcW w:w="2115"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23" w:type="dxa"/>
            <w:shd w:val="clear" w:color="auto" w:fill="FFFFFF"/>
            <w:vAlign w:val="center"/>
          </w:tcPr>
          <w:p>
            <w:pPr>
              <w:jc w:val="left"/>
              <w:rPr>
                <w:color w:val="auto"/>
                <w:sz w:val="18"/>
                <w:szCs w:val="18"/>
              </w:rPr>
            </w:pPr>
            <w:r>
              <w:rPr>
                <w:color w:val="auto"/>
                <w:sz w:val="18"/>
                <w:szCs w:val="18"/>
              </w:rPr>
              <w:t>合格</w:t>
            </w:r>
          </w:p>
        </w:tc>
        <w:tc>
          <w:tcPr>
            <w:tcW w:w="1539"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2115"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08" w:hRule="atLeast"/>
        </w:trPr>
        <w:tc>
          <w:tcPr>
            <w:tcW w:w="4723" w:type="dxa"/>
            <w:shd w:val="clear" w:color="auto" w:fill="FAFAFA"/>
            <w:vAlign w:val="center"/>
          </w:tcPr>
          <w:p>
            <w:pPr>
              <w:jc w:val="left"/>
              <w:rPr>
                <w:color w:val="auto"/>
                <w:sz w:val="18"/>
                <w:szCs w:val="18"/>
              </w:rPr>
            </w:pPr>
            <w:r>
              <w:rPr>
                <w:color w:val="auto"/>
                <w:sz w:val="18"/>
                <w:szCs w:val="18"/>
              </w:rPr>
              <w:t>非常合格</w:t>
            </w:r>
          </w:p>
        </w:tc>
        <w:tc>
          <w:tcPr>
            <w:tcW w:w="1539"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2115"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0" w:hRule="atLeast"/>
        </w:trPr>
        <w:tc>
          <w:tcPr>
            <w:tcW w:w="4723" w:type="dxa"/>
            <w:shd w:val="clear" w:color="auto" w:fill="F5F5F5"/>
            <w:vAlign w:val="center"/>
          </w:tcPr>
          <w:p>
            <w:pPr>
              <w:jc w:val="left"/>
              <w:rPr>
                <w:color w:val="auto"/>
                <w:sz w:val="18"/>
                <w:szCs w:val="18"/>
              </w:rPr>
            </w:pPr>
            <w:r>
              <w:rPr>
                <w:color w:val="auto"/>
                <w:sz w:val="18"/>
                <w:szCs w:val="18"/>
              </w:rPr>
              <w:t>本题有效填写人次</w:t>
            </w:r>
          </w:p>
        </w:tc>
        <w:tc>
          <w:tcPr>
            <w:tcW w:w="1539"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2115"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第5题   </w:t>
      </w:r>
      <w:r>
        <w:rPr>
          <w:rFonts w:hint="eastAsia" w:eastAsia="宋体"/>
          <w:b w:val="0"/>
          <w:color w:val="auto"/>
          <w:sz w:val="24"/>
          <w:lang w:val="en-US" w:eastAsia="zh-CN"/>
        </w:rPr>
        <w:t>你认为</w:t>
      </w:r>
      <w:r>
        <w:rPr>
          <w:b w:val="0"/>
          <w:color w:val="auto"/>
          <w:sz w:val="24"/>
        </w:rPr>
        <w:t xml:space="preserve">该项目社会效益有改善吗？      </w:t>
      </w:r>
      <w:r>
        <w:rPr>
          <w:b w:val="0"/>
          <w:color w:val="auto"/>
          <w:sz w:val="24"/>
        </w:rPr>
        <w:t>[单选题]</w:t>
      </w:r>
    </w:p>
    <w:p>
      <w:pPr>
        <w:rPr>
          <w:b w:val="0"/>
          <w:color w:val="auto"/>
          <w:sz w:val="24"/>
        </w:rPr>
      </w:pP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891"/>
        <w:gridCol w:w="1593"/>
        <w:gridCol w:w="191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891" w:type="dxa"/>
            <w:shd w:val="clear" w:color="auto" w:fill="F5F5F5"/>
            <w:vAlign w:val="center"/>
          </w:tcPr>
          <w:p>
            <w:pPr>
              <w:jc w:val="left"/>
              <w:rPr>
                <w:color w:val="auto"/>
                <w:sz w:val="18"/>
                <w:szCs w:val="18"/>
              </w:rPr>
            </w:pPr>
            <w:r>
              <w:rPr>
                <w:color w:val="auto"/>
                <w:sz w:val="18"/>
                <w:szCs w:val="18"/>
              </w:rPr>
              <w:t>选项</w:t>
            </w:r>
          </w:p>
        </w:tc>
        <w:tc>
          <w:tcPr>
            <w:tcW w:w="1593" w:type="dxa"/>
            <w:shd w:val="clear" w:color="auto" w:fill="F5F5F5"/>
            <w:vAlign w:val="center"/>
          </w:tcPr>
          <w:p>
            <w:pPr>
              <w:jc w:val="center"/>
              <w:rPr>
                <w:color w:val="auto"/>
                <w:sz w:val="18"/>
                <w:szCs w:val="18"/>
              </w:rPr>
            </w:pPr>
            <w:r>
              <w:rPr>
                <w:color w:val="auto"/>
                <w:sz w:val="18"/>
                <w:szCs w:val="18"/>
              </w:rPr>
              <w:t>小计</w:t>
            </w:r>
          </w:p>
        </w:tc>
        <w:tc>
          <w:tcPr>
            <w:tcW w:w="1914"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891" w:type="dxa"/>
            <w:shd w:val="clear" w:color="auto" w:fill="FFFFFF"/>
            <w:vAlign w:val="center"/>
          </w:tcPr>
          <w:p>
            <w:pPr>
              <w:jc w:val="left"/>
              <w:rPr>
                <w:color w:val="auto"/>
                <w:sz w:val="18"/>
                <w:szCs w:val="18"/>
              </w:rPr>
            </w:pPr>
            <w:r>
              <w:rPr>
                <w:color w:val="auto"/>
                <w:sz w:val="18"/>
                <w:szCs w:val="18"/>
              </w:rPr>
              <w:t>有改善</w:t>
            </w:r>
          </w:p>
        </w:tc>
        <w:tc>
          <w:tcPr>
            <w:tcW w:w="1593"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914"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891" w:type="dxa"/>
            <w:shd w:val="clear" w:color="auto" w:fill="FAFAFA"/>
            <w:vAlign w:val="center"/>
          </w:tcPr>
          <w:p>
            <w:pPr>
              <w:jc w:val="left"/>
              <w:rPr>
                <w:color w:val="auto"/>
                <w:sz w:val="18"/>
                <w:szCs w:val="18"/>
              </w:rPr>
            </w:pPr>
            <w:r>
              <w:rPr>
                <w:color w:val="auto"/>
                <w:sz w:val="18"/>
                <w:szCs w:val="18"/>
              </w:rPr>
              <w:t>改善很大</w:t>
            </w:r>
          </w:p>
        </w:tc>
        <w:tc>
          <w:tcPr>
            <w:tcW w:w="1593"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1914"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47" w:hRule="atLeast"/>
        </w:trPr>
        <w:tc>
          <w:tcPr>
            <w:tcW w:w="4891" w:type="dxa"/>
            <w:shd w:val="clear" w:color="auto" w:fill="F5F5F5"/>
            <w:vAlign w:val="center"/>
          </w:tcPr>
          <w:p>
            <w:pPr>
              <w:jc w:val="left"/>
              <w:rPr>
                <w:color w:val="auto"/>
                <w:sz w:val="18"/>
                <w:szCs w:val="18"/>
              </w:rPr>
            </w:pPr>
            <w:r>
              <w:rPr>
                <w:color w:val="auto"/>
                <w:sz w:val="18"/>
                <w:szCs w:val="18"/>
              </w:rPr>
              <w:t>本题有效填写人次</w:t>
            </w:r>
          </w:p>
        </w:tc>
        <w:tc>
          <w:tcPr>
            <w:tcW w:w="1593"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1914"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第6题   </w:t>
      </w:r>
      <w:r>
        <w:rPr>
          <w:rFonts w:hint="eastAsia" w:eastAsia="宋体"/>
          <w:b w:val="0"/>
          <w:color w:val="auto"/>
          <w:sz w:val="24"/>
          <w:lang w:val="en-US" w:eastAsia="zh-CN"/>
        </w:rPr>
        <w:t>你认为</w:t>
      </w:r>
      <w:r>
        <w:rPr>
          <w:b w:val="0"/>
          <w:color w:val="auto"/>
          <w:sz w:val="24"/>
        </w:rPr>
        <w:t xml:space="preserve">该项目对学生长期有帮助吗？      </w:t>
      </w:r>
      <w:r>
        <w:rPr>
          <w:b w:val="0"/>
          <w:color w:val="auto"/>
          <w:sz w:val="24"/>
        </w:rPr>
        <w:t>[单选题]</w:t>
      </w:r>
    </w:p>
    <w:p>
      <w:pPr>
        <w:rPr>
          <w:b w:val="0"/>
          <w:color w:val="auto"/>
          <w:sz w:val="24"/>
        </w:rPr>
      </w:pPr>
    </w:p>
    <w:tbl>
      <w:tblPr>
        <w:tblStyle w:val="26"/>
        <w:tblW w:w="843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914"/>
        <w:gridCol w:w="1601"/>
        <w:gridCol w:w="192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914" w:type="dxa"/>
            <w:shd w:val="clear" w:color="auto" w:fill="F5F5F5"/>
            <w:vAlign w:val="center"/>
          </w:tcPr>
          <w:p>
            <w:pPr>
              <w:jc w:val="left"/>
              <w:rPr>
                <w:color w:val="auto"/>
                <w:sz w:val="18"/>
                <w:szCs w:val="18"/>
              </w:rPr>
            </w:pPr>
            <w:r>
              <w:rPr>
                <w:color w:val="auto"/>
                <w:sz w:val="18"/>
                <w:szCs w:val="18"/>
              </w:rPr>
              <w:t>选项</w:t>
            </w:r>
          </w:p>
        </w:tc>
        <w:tc>
          <w:tcPr>
            <w:tcW w:w="1601" w:type="dxa"/>
            <w:shd w:val="clear" w:color="auto" w:fill="F5F5F5"/>
            <w:vAlign w:val="center"/>
          </w:tcPr>
          <w:p>
            <w:pPr>
              <w:jc w:val="center"/>
              <w:rPr>
                <w:color w:val="auto"/>
                <w:sz w:val="18"/>
                <w:szCs w:val="18"/>
              </w:rPr>
            </w:pPr>
            <w:r>
              <w:rPr>
                <w:color w:val="auto"/>
                <w:sz w:val="18"/>
                <w:szCs w:val="18"/>
              </w:rPr>
              <w:t>小计</w:t>
            </w:r>
          </w:p>
        </w:tc>
        <w:tc>
          <w:tcPr>
            <w:tcW w:w="1923"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914" w:type="dxa"/>
            <w:shd w:val="clear" w:color="auto" w:fill="FFFFFF"/>
            <w:vAlign w:val="center"/>
          </w:tcPr>
          <w:p>
            <w:pPr>
              <w:jc w:val="left"/>
              <w:rPr>
                <w:color w:val="auto"/>
                <w:sz w:val="18"/>
                <w:szCs w:val="18"/>
              </w:rPr>
            </w:pPr>
            <w:r>
              <w:rPr>
                <w:color w:val="auto"/>
                <w:sz w:val="18"/>
                <w:szCs w:val="18"/>
              </w:rPr>
              <w:t>有帮助</w:t>
            </w:r>
          </w:p>
        </w:tc>
        <w:tc>
          <w:tcPr>
            <w:tcW w:w="1601"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p>
        </w:tc>
        <w:tc>
          <w:tcPr>
            <w:tcW w:w="1923"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914" w:type="dxa"/>
            <w:shd w:val="clear" w:color="auto" w:fill="FAFAFA"/>
            <w:vAlign w:val="center"/>
          </w:tcPr>
          <w:p>
            <w:pPr>
              <w:jc w:val="left"/>
              <w:rPr>
                <w:color w:val="auto"/>
                <w:sz w:val="18"/>
                <w:szCs w:val="18"/>
              </w:rPr>
            </w:pPr>
            <w:r>
              <w:rPr>
                <w:color w:val="auto"/>
                <w:sz w:val="18"/>
                <w:szCs w:val="18"/>
              </w:rPr>
              <w:t>非常有帮助</w:t>
            </w:r>
          </w:p>
        </w:tc>
        <w:tc>
          <w:tcPr>
            <w:tcW w:w="1601"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1923"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2" w:hRule="atLeast"/>
        </w:trPr>
        <w:tc>
          <w:tcPr>
            <w:tcW w:w="4914" w:type="dxa"/>
            <w:shd w:val="clear" w:color="auto" w:fill="F5F5F5"/>
            <w:vAlign w:val="center"/>
          </w:tcPr>
          <w:p>
            <w:pPr>
              <w:jc w:val="left"/>
              <w:rPr>
                <w:color w:val="auto"/>
                <w:sz w:val="18"/>
                <w:szCs w:val="18"/>
              </w:rPr>
            </w:pPr>
            <w:r>
              <w:rPr>
                <w:color w:val="auto"/>
                <w:sz w:val="18"/>
                <w:szCs w:val="18"/>
              </w:rPr>
              <w:t>本题有效填写人次</w:t>
            </w:r>
          </w:p>
        </w:tc>
        <w:tc>
          <w:tcPr>
            <w:tcW w:w="1601"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1923" w:type="dxa"/>
            <w:shd w:val="clear" w:color="auto" w:fill="F5F5F5"/>
            <w:vAlign w:val="center"/>
          </w:tcPr>
          <w:p>
            <w:pPr>
              <w:jc w:val="center"/>
              <w:rPr>
                <w:color w:val="auto"/>
                <w:sz w:val="18"/>
                <w:szCs w:val="18"/>
              </w:rPr>
            </w:pPr>
          </w:p>
        </w:tc>
      </w:tr>
    </w:tbl>
    <w:p>
      <w:pPr>
        <w:rPr>
          <w:color w:val="auto"/>
        </w:rPr>
      </w:pPr>
    </w:p>
    <w:p>
      <w:pPr>
        <w:rPr>
          <w:color w:val="auto"/>
        </w:rPr>
      </w:pPr>
      <w:r>
        <w:rPr>
          <w:b w:val="0"/>
          <w:color w:val="auto"/>
          <w:sz w:val="24"/>
        </w:rPr>
        <w:t xml:space="preserve">第7题   </w:t>
      </w:r>
      <w:r>
        <w:rPr>
          <w:rFonts w:hint="eastAsia" w:eastAsia="宋体"/>
          <w:b w:val="0"/>
          <w:color w:val="auto"/>
          <w:sz w:val="24"/>
          <w:lang w:eastAsia="zh-CN"/>
        </w:rPr>
        <w:t>你</w:t>
      </w:r>
      <w:r>
        <w:rPr>
          <w:b w:val="0"/>
          <w:color w:val="auto"/>
          <w:sz w:val="24"/>
        </w:rPr>
        <w:t xml:space="preserve">对该项目满意吗？      </w:t>
      </w:r>
      <w:r>
        <w:rPr>
          <w:b w:val="0"/>
          <w:color w:val="auto"/>
          <w:sz w:val="24"/>
        </w:rPr>
        <w:t>[单选题]</w:t>
      </w:r>
    </w:p>
    <w:p>
      <w:pPr>
        <w:rPr>
          <w:b w:val="0"/>
          <w:color w:val="auto"/>
          <w:sz w:val="24"/>
        </w:rPr>
      </w:pP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5"/>
        <w:gridCol w:w="1543"/>
        <w:gridCol w:w="212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5F5F5"/>
            <w:vAlign w:val="center"/>
          </w:tcPr>
          <w:p>
            <w:pPr>
              <w:jc w:val="left"/>
              <w:rPr>
                <w:color w:val="auto"/>
                <w:sz w:val="18"/>
                <w:szCs w:val="18"/>
              </w:rPr>
            </w:pPr>
            <w:r>
              <w:rPr>
                <w:color w:val="auto"/>
                <w:sz w:val="18"/>
                <w:szCs w:val="18"/>
              </w:rPr>
              <w:t>选项</w:t>
            </w:r>
          </w:p>
        </w:tc>
        <w:tc>
          <w:tcPr>
            <w:tcW w:w="1543" w:type="dxa"/>
            <w:shd w:val="clear" w:color="auto" w:fill="F5F5F5"/>
            <w:vAlign w:val="center"/>
          </w:tcPr>
          <w:p>
            <w:pPr>
              <w:jc w:val="center"/>
              <w:rPr>
                <w:color w:val="auto"/>
                <w:sz w:val="18"/>
                <w:szCs w:val="18"/>
              </w:rPr>
            </w:pPr>
            <w:r>
              <w:rPr>
                <w:color w:val="auto"/>
                <w:sz w:val="18"/>
                <w:szCs w:val="18"/>
              </w:rPr>
              <w:t>小计</w:t>
            </w:r>
          </w:p>
        </w:tc>
        <w:tc>
          <w:tcPr>
            <w:tcW w:w="2120" w:type="dxa"/>
            <w:shd w:val="clear" w:color="auto" w:fill="F5F5F5"/>
            <w:vAlign w:val="center"/>
          </w:tcPr>
          <w:p>
            <w:pPr>
              <w:jc w:val="center"/>
              <w:rPr>
                <w:color w:val="auto"/>
                <w:sz w:val="18"/>
                <w:szCs w:val="18"/>
              </w:rPr>
            </w:pPr>
            <w:r>
              <w:rPr>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FFFFF"/>
            <w:vAlign w:val="center"/>
          </w:tcPr>
          <w:p>
            <w:pPr>
              <w:jc w:val="left"/>
              <w:rPr>
                <w:color w:val="auto"/>
                <w:sz w:val="18"/>
                <w:szCs w:val="18"/>
              </w:rPr>
            </w:pPr>
            <w:r>
              <w:rPr>
                <w:color w:val="auto"/>
                <w:sz w:val="18"/>
                <w:szCs w:val="18"/>
              </w:rPr>
              <w:t>非常满意</w:t>
            </w:r>
          </w:p>
        </w:tc>
        <w:tc>
          <w:tcPr>
            <w:tcW w:w="1543" w:type="dxa"/>
            <w:shd w:val="clear" w:color="auto" w:fill="FFFFFF"/>
            <w:vAlign w:val="center"/>
          </w:tcPr>
          <w:p>
            <w:pPr>
              <w:jc w:val="center"/>
              <w:rPr>
                <w:rFonts w:hint="default" w:eastAsia="宋体"/>
                <w:color w:val="auto"/>
                <w:sz w:val="18"/>
                <w:szCs w:val="18"/>
                <w:lang w:val="en-US" w:eastAsia="zh-CN"/>
              </w:rPr>
            </w:pPr>
            <w:r>
              <w:rPr>
                <w:rFonts w:hint="eastAsia" w:eastAsia="宋体"/>
                <w:color w:val="auto"/>
                <w:sz w:val="18"/>
                <w:szCs w:val="18"/>
                <w:lang w:val="en-US" w:eastAsia="zh-CN"/>
              </w:rPr>
              <w:t>0</w:t>
            </w:r>
          </w:p>
        </w:tc>
        <w:tc>
          <w:tcPr>
            <w:tcW w:w="2120" w:type="dxa"/>
            <w:shd w:val="clear" w:color="auto" w:fill="FFFFFF"/>
            <w:vAlign w:val="center"/>
          </w:tcPr>
          <w:p>
            <w:pPr>
              <w:jc w:val="center"/>
              <w:rPr>
                <w:color w:val="auto"/>
                <w:sz w:val="18"/>
                <w:szCs w:val="18"/>
              </w:rPr>
            </w:pPr>
            <w:r>
              <w:rPr>
                <w:rFonts w:hint="eastAsia" w:eastAsia="宋体"/>
                <w:color w:val="auto"/>
                <w:sz w:val="18"/>
                <w:szCs w:val="18"/>
                <w:lang w:val="en-US" w:eastAsia="zh-CN"/>
              </w:rPr>
              <w:t>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AFAFA"/>
            <w:vAlign w:val="center"/>
          </w:tcPr>
          <w:p>
            <w:pPr>
              <w:jc w:val="left"/>
              <w:rPr>
                <w:color w:val="auto"/>
                <w:sz w:val="18"/>
                <w:szCs w:val="18"/>
              </w:rPr>
            </w:pPr>
            <w:r>
              <w:rPr>
                <w:color w:val="auto"/>
                <w:sz w:val="18"/>
                <w:szCs w:val="18"/>
              </w:rPr>
              <w:t>都非常满意</w:t>
            </w:r>
          </w:p>
        </w:tc>
        <w:tc>
          <w:tcPr>
            <w:tcW w:w="1543" w:type="dxa"/>
            <w:shd w:val="clear" w:color="auto" w:fill="FAFAFA"/>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AFAFA"/>
            <w:vAlign w:val="center"/>
          </w:tcPr>
          <w:p>
            <w:pPr>
              <w:jc w:val="center"/>
              <w:rPr>
                <w:color w:val="auto"/>
                <w:sz w:val="18"/>
                <w:szCs w:val="18"/>
              </w:rPr>
            </w:pPr>
            <w:r>
              <w:rPr>
                <w:rFonts w:hint="eastAsia" w:eastAsia="宋体"/>
                <w:color w:val="auto"/>
                <w:sz w:val="18"/>
                <w:szCs w:val="18"/>
                <w:lang w:val="en-US" w:eastAsia="zh-CN"/>
              </w:rPr>
              <w:t>100</w:t>
            </w:r>
            <w:r>
              <w:rPr>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47" w:hRule="atLeast"/>
        </w:trPr>
        <w:tc>
          <w:tcPr>
            <w:tcW w:w="4735" w:type="dxa"/>
            <w:shd w:val="clear" w:color="auto" w:fill="F5F5F5"/>
            <w:vAlign w:val="center"/>
          </w:tcPr>
          <w:p>
            <w:pPr>
              <w:jc w:val="left"/>
              <w:rPr>
                <w:color w:val="auto"/>
                <w:sz w:val="18"/>
                <w:szCs w:val="18"/>
              </w:rPr>
            </w:pPr>
            <w:r>
              <w:rPr>
                <w:color w:val="auto"/>
                <w:sz w:val="18"/>
                <w:szCs w:val="18"/>
              </w:rPr>
              <w:t>本题有效填写人次</w:t>
            </w:r>
          </w:p>
        </w:tc>
        <w:tc>
          <w:tcPr>
            <w:tcW w:w="1543" w:type="dxa"/>
            <w:shd w:val="clear" w:color="auto" w:fill="F5F5F5"/>
            <w:vAlign w:val="center"/>
          </w:tcPr>
          <w:p>
            <w:pPr>
              <w:jc w:val="center"/>
              <w:rPr>
                <w:color w:val="auto"/>
                <w:sz w:val="18"/>
                <w:szCs w:val="18"/>
              </w:rPr>
            </w:pPr>
            <w:r>
              <w:rPr>
                <w:rFonts w:hint="eastAsia" w:eastAsia="宋体"/>
                <w:color w:val="auto"/>
                <w:sz w:val="18"/>
                <w:szCs w:val="18"/>
                <w:lang w:val="en-US" w:eastAsia="zh-CN"/>
              </w:rPr>
              <w:t>210</w:t>
            </w:r>
          </w:p>
        </w:tc>
        <w:tc>
          <w:tcPr>
            <w:tcW w:w="2120" w:type="dxa"/>
            <w:shd w:val="clear" w:color="auto" w:fill="F5F5F5"/>
            <w:vAlign w:val="center"/>
          </w:tcPr>
          <w:p>
            <w:pPr>
              <w:jc w:val="center"/>
              <w:rPr>
                <w:color w:val="auto"/>
                <w:sz w:val="18"/>
                <w:szCs w:val="18"/>
              </w:rPr>
            </w:pPr>
          </w:p>
        </w:tc>
      </w:tr>
    </w:tbl>
    <w:p>
      <w:pPr>
        <w:rPr>
          <w:color w:val="auto"/>
        </w:rPr>
      </w:pPr>
    </w:p>
    <w:p>
      <w:pPr>
        <w:pStyle w:val="32"/>
        <w:pageBreakBefore w:val="0"/>
        <w:kinsoku/>
        <w:wordWrap/>
        <w:topLinePunct w:val="0"/>
        <w:autoSpaceDE/>
        <w:bidi w:val="0"/>
        <w:spacing w:line="560" w:lineRule="exact"/>
        <w:ind w:firstLine="0" w:firstLineChars="0"/>
        <w:rPr>
          <w:rFonts w:hint="eastAsia" w:ascii="Times New Roman" w:hAnsi="Times New Roman" w:eastAsia="方正仿宋_GBK" w:cs="方正仿宋_GBK"/>
          <w:b/>
          <w:bCs/>
          <w:color w:val="auto"/>
          <w:kern w:val="2"/>
          <w:sz w:val="32"/>
          <w:szCs w:val="32"/>
          <w:lang w:val="en-US" w:eastAsia="zh-CN" w:bidi="ar-SA"/>
        </w:rPr>
      </w:pPr>
    </w:p>
    <w:bookmarkEnd w:id="16"/>
    <w:sectPr>
      <w:pgSz w:w="11906" w:h="16838"/>
      <w:pgMar w:top="1531" w:right="1701" w:bottom="1531"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r>
      <w:fldChar w:fldCharType="begin"/>
    </w:r>
    <w:r>
      <w:instrText xml:space="preserve"> PAGE   \* MERGEFORMAT </w:instrText>
    </w:r>
    <w:r>
      <w:fldChar w:fldCharType="separate"/>
    </w:r>
    <w:r>
      <w:rPr>
        <w:lang w:val="zh-CN"/>
      </w:rPr>
      <w:t>18</w:t>
    </w:r>
    <w:r>
      <w:fldChar w:fldCharType="end"/>
    </w: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F9C0F2"/>
    <w:multiLevelType w:val="singleLevel"/>
    <w:tmpl w:val="98F9C0F2"/>
    <w:lvl w:ilvl="0" w:tentative="0">
      <w:start w:val="6"/>
      <w:numFmt w:val="chineseCounting"/>
      <w:suff w:val="nothing"/>
      <w:lvlText w:val="%1、"/>
      <w:lvlJc w:val="left"/>
      <w:rPr>
        <w:rFonts w:hint="eastAsia"/>
      </w:rPr>
    </w:lvl>
  </w:abstractNum>
  <w:abstractNum w:abstractNumId="1">
    <w:nsid w:val="A8262736"/>
    <w:multiLevelType w:val="singleLevel"/>
    <w:tmpl w:val="A8262736"/>
    <w:lvl w:ilvl="0" w:tentative="0">
      <w:start w:val="1"/>
      <w:numFmt w:val="decimal"/>
      <w:suff w:val="nothing"/>
      <w:lvlText w:val="（%1）"/>
      <w:lvlJc w:val="left"/>
    </w:lvl>
  </w:abstractNum>
  <w:abstractNum w:abstractNumId="2">
    <w:nsid w:val="AC301462"/>
    <w:multiLevelType w:val="singleLevel"/>
    <w:tmpl w:val="AC301462"/>
    <w:lvl w:ilvl="0" w:tentative="0">
      <w:start w:val="1"/>
      <w:numFmt w:val="decimal"/>
      <w:suff w:val="nothing"/>
      <w:lvlText w:val="%1、"/>
      <w:lvlJc w:val="left"/>
    </w:lvl>
  </w:abstractNum>
  <w:abstractNum w:abstractNumId="3">
    <w:nsid w:val="C3A8CF86"/>
    <w:multiLevelType w:val="singleLevel"/>
    <w:tmpl w:val="C3A8CF86"/>
    <w:lvl w:ilvl="0" w:tentative="0">
      <w:start w:val="4"/>
      <w:numFmt w:val="decimal"/>
      <w:lvlText w:val="%1."/>
      <w:lvlJc w:val="left"/>
      <w:pPr>
        <w:tabs>
          <w:tab w:val="left" w:pos="312"/>
        </w:tabs>
      </w:pPr>
    </w:lvl>
  </w:abstractNum>
  <w:abstractNum w:abstractNumId="4">
    <w:nsid w:val="CABBB532"/>
    <w:multiLevelType w:val="singleLevel"/>
    <w:tmpl w:val="CABBB532"/>
    <w:lvl w:ilvl="0" w:tentative="0">
      <w:start w:val="2"/>
      <w:numFmt w:val="chineseCounting"/>
      <w:suff w:val="nothing"/>
      <w:lvlText w:val="（%1）"/>
      <w:lvlJc w:val="left"/>
      <w:rPr>
        <w:rFonts w:hint="eastAsia"/>
      </w:rPr>
    </w:lvl>
  </w:abstractNum>
  <w:abstractNum w:abstractNumId="5">
    <w:nsid w:val="00000007"/>
    <w:multiLevelType w:val="multilevel"/>
    <w:tmpl w:val="00000007"/>
    <w:lvl w:ilvl="0" w:tentative="0">
      <w:start w:val="1"/>
      <w:numFmt w:val="chineseCountingThousand"/>
      <w:pStyle w:val="38"/>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A87051"/>
    <w:multiLevelType w:val="singleLevel"/>
    <w:tmpl w:val="7CA87051"/>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hyphenationZone w:val="36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28CC"/>
    <w:rsid w:val="00025C7B"/>
    <w:rsid w:val="00026D68"/>
    <w:rsid w:val="00033139"/>
    <w:rsid w:val="000609BF"/>
    <w:rsid w:val="00064BE1"/>
    <w:rsid w:val="00084839"/>
    <w:rsid w:val="00085DB2"/>
    <w:rsid w:val="000919F8"/>
    <w:rsid w:val="00094057"/>
    <w:rsid w:val="000B07B1"/>
    <w:rsid w:val="000B0A47"/>
    <w:rsid w:val="000B4C90"/>
    <w:rsid w:val="000B7456"/>
    <w:rsid w:val="000C6F81"/>
    <w:rsid w:val="000F0A40"/>
    <w:rsid w:val="000F19ED"/>
    <w:rsid w:val="000F62A1"/>
    <w:rsid w:val="00116F13"/>
    <w:rsid w:val="0013298C"/>
    <w:rsid w:val="00133529"/>
    <w:rsid w:val="001342B0"/>
    <w:rsid w:val="001350C6"/>
    <w:rsid w:val="0013699F"/>
    <w:rsid w:val="00154AB1"/>
    <w:rsid w:val="001953A2"/>
    <w:rsid w:val="001A5632"/>
    <w:rsid w:val="001A713D"/>
    <w:rsid w:val="001B106B"/>
    <w:rsid w:val="001B2C41"/>
    <w:rsid w:val="001B62E9"/>
    <w:rsid w:val="001C3F5E"/>
    <w:rsid w:val="001D583A"/>
    <w:rsid w:val="00237098"/>
    <w:rsid w:val="00265B5F"/>
    <w:rsid w:val="00273CEE"/>
    <w:rsid w:val="002810A8"/>
    <w:rsid w:val="00287087"/>
    <w:rsid w:val="00287515"/>
    <w:rsid w:val="00291543"/>
    <w:rsid w:val="002936C3"/>
    <w:rsid w:val="00296019"/>
    <w:rsid w:val="002A6447"/>
    <w:rsid w:val="002C0FA1"/>
    <w:rsid w:val="002D3051"/>
    <w:rsid w:val="0030133E"/>
    <w:rsid w:val="00304313"/>
    <w:rsid w:val="003059AD"/>
    <w:rsid w:val="00322DCD"/>
    <w:rsid w:val="003421D6"/>
    <w:rsid w:val="00354818"/>
    <w:rsid w:val="00355C5B"/>
    <w:rsid w:val="00373B42"/>
    <w:rsid w:val="003801D3"/>
    <w:rsid w:val="003A0B46"/>
    <w:rsid w:val="003B13F4"/>
    <w:rsid w:val="003B55A8"/>
    <w:rsid w:val="003C2470"/>
    <w:rsid w:val="003D17D0"/>
    <w:rsid w:val="00417BA8"/>
    <w:rsid w:val="00417E0C"/>
    <w:rsid w:val="00424823"/>
    <w:rsid w:val="00450017"/>
    <w:rsid w:val="004550E0"/>
    <w:rsid w:val="0046425B"/>
    <w:rsid w:val="00492B85"/>
    <w:rsid w:val="004B1048"/>
    <w:rsid w:val="004B446A"/>
    <w:rsid w:val="004C0DA8"/>
    <w:rsid w:val="004D18F0"/>
    <w:rsid w:val="004D6CA3"/>
    <w:rsid w:val="004E2B39"/>
    <w:rsid w:val="004E66D0"/>
    <w:rsid w:val="00500B0C"/>
    <w:rsid w:val="0051444F"/>
    <w:rsid w:val="00537022"/>
    <w:rsid w:val="00541863"/>
    <w:rsid w:val="00546BDA"/>
    <w:rsid w:val="005473C8"/>
    <w:rsid w:val="00556857"/>
    <w:rsid w:val="005604A7"/>
    <w:rsid w:val="00560DBC"/>
    <w:rsid w:val="005A014F"/>
    <w:rsid w:val="005B7ABC"/>
    <w:rsid w:val="005C38EA"/>
    <w:rsid w:val="005D78D9"/>
    <w:rsid w:val="00603D39"/>
    <w:rsid w:val="006156C6"/>
    <w:rsid w:val="00615A2D"/>
    <w:rsid w:val="006369A7"/>
    <w:rsid w:val="00636BC2"/>
    <w:rsid w:val="006621E7"/>
    <w:rsid w:val="00670E7D"/>
    <w:rsid w:val="00674EC2"/>
    <w:rsid w:val="00686622"/>
    <w:rsid w:val="006877FC"/>
    <w:rsid w:val="006C4138"/>
    <w:rsid w:val="006F5848"/>
    <w:rsid w:val="006F6B29"/>
    <w:rsid w:val="007153D3"/>
    <w:rsid w:val="00721F9A"/>
    <w:rsid w:val="00734813"/>
    <w:rsid w:val="00741A55"/>
    <w:rsid w:val="00756F99"/>
    <w:rsid w:val="0075701C"/>
    <w:rsid w:val="00761699"/>
    <w:rsid w:val="00770208"/>
    <w:rsid w:val="00781913"/>
    <w:rsid w:val="00784244"/>
    <w:rsid w:val="00785978"/>
    <w:rsid w:val="007A2E7D"/>
    <w:rsid w:val="007A458B"/>
    <w:rsid w:val="007B592C"/>
    <w:rsid w:val="007C4236"/>
    <w:rsid w:val="007C5576"/>
    <w:rsid w:val="007E3373"/>
    <w:rsid w:val="007E6959"/>
    <w:rsid w:val="007E7452"/>
    <w:rsid w:val="007F4E7A"/>
    <w:rsid w:val="007F5B00"/>
    <w:rsid w:val="0080283F"/>
    <w:rsid w:val="00806DAD"/>
    <w:rsid w:val="0083364B"/>
    <w:rsid w:val="00837D40"/>
    <w:rsid w:val="00847863"/>
    <w:rsid w:val="00857996"/>
    <w:rsid w:val="00860426"/>
    <w:rsid w:val="008667CD"/>
    <w:rsid w:val="008715CB"/>
    <w:rsid w:val="00872BF6"/>
    <w:rsid w:val="008743A9"/>
    <w:rsid w:val="00895461"/>
    <w:rsid w:val="00897964"/>
    <w:rsid w:val="008B1084"/>
    <w:rsid w:val="008B1EB6"/>
    <w:rsid w:val="008D4040"/>
    <w:rsid w:val="008D5B06"/>
    <w:rsid w:val="008E4324"/>
    <w:rsid w:val="008E5601"/>
    <w:rsid w:val="008F227E"/>
    <w:rsid w:val="008F4A33"/>
    <w:rsid w:val="009238D0"/>
    <w:rsid w:val="009317DE"/>
    <w:rsid w:val="00936189"/>
    <w:rsid w:val="00947734"/>
    <w:rsid w:val="00947AE4"/>
    <w:rsid w:val="00974C52"/>
    <w:rsid w:val="0098633B"/>
    <w:rsid w:val="009D623D"/>
    <w:rsid w:val="009F6F5F"/>
    <w:rsid w:val="00A105D8"/>
    <w:rsid w:val="00A16AD6"/>
    <w:rsid w:val="00A33EFF"/>
    <w:rsid w:val="00A36B28"/>
    <w:rsid w:val="00A420D2"/>
    <w:rsid w:val="00A51218"/>
    <w:rsid w:val="00A87773"/>
    <w:rsid w:val="00A87988"/>
    <w:rsid w:val="00A92148"/>
    <w:rsid w:val="00AC31BA"/>
    <w:rsid w:val="00AD265F"/>
    <w:rsid w:val="00AE01A5"/>
    <w:rsid w:val="00AF1303"/>
    <w:rsid w:val="00AF2068"/>
    <w:rsid w:val="00B041EF"/>
    <w:rsid w:val="00B06BE9"/>
    <w:rsid w:val="00B11C14"/>
    <w:rsid w:val="00B16647"/>
    <w:rsid w:val="00B17847"/>
    <w:rsid w:val="00B250B5"/>
    <w:rsid w:val="00B45788"/>
    <w:rsid w:val="00B560AC"/>
    <w:rsid w:val="00B742E6"/>
    <w:rsid w:val="00B75618"/>
    <w:rsid w:val="00B856EE"/>
    <w:rsid w:val="00B86E39"/>
    <w:rsid w:val="00B875D0"/>
    <w:rsid w:val="00B91B13"/>
    <w:rsid w:val="00BA7121"/>
    <w:rsid w:val="00BE1476"/>
    <w:rsid w:val="00BF2FF6"/>
    <w:rsid w:val="00C06419"/>
    <w:rsid w:val="00C2507A"/>
    <w:rsid w:val="00C4247B"/>
    <w:rsid w:val="00C42C5C"/>
    <w:rsid w:val="00C47700"/>
    <w:rsid w:val="00C52F11"/>
    <w:rsid w:val="00C64E44"/>
    <w:rsid w:val="00C6680C"/>
    <w:rsid w:val="00C72D08"/>
    <w:rsid w:val="00CB269E"/>
    <w:rsid w:val="00CB538F"/>
    <w:rsid w:val="00CB5C24"/>
    <w:rsid w:val="00CC15C5"/>
    <w:rsid w:val="00CC62D9"/>
    <w:rsid w:val="00CE14D6"/>
    <w:rsid w:val="00CF6BBE"/>
    <w:rsid w:val="00D148F8"/>
    <w:rsid w:val="00D24B1A"/>
    <w:rsid w:val="00D3450F"/>
    <w:rsid w:val="00D35E67"/>
    <w:rsid w:val="00D52221"/>
    <w:rsid w:val="00D524CD"/>
    <w:rsid w:val="00D61D44"/>
    <w:rsid w:val="00D6489D"/>
    <w:rsid w:val="00D80834"/>
    <w:rsid w:val="00D92BBE"/>
    <w:rsid w:val="00DA32AB"/>
    <w:rsid w:val="00DA6BF1"/>
    <w:rsid w:val="00DD56B6"/>
    <w:rsid w:val="00DE4B68"/>
    <w:rsid w:val="00DE4E65"/>
    <w:rsid w:val="00E339F5"/>
    <w:rsid w:val="00E846CC"/>
    <w:rsid w:val="00E93C62"/>
    <w:rsid w:val="00EC4DD7"/>
    <w:rsid w:val="00F03527"/>
    <w:rsid w:val="00F07EB6"/>
    <w:rsid w:val="00F31DB2"/>
    <w:rsid w:val="00F36D40"/>
    <w:rsid w:val="00F440E1"/>
    <w:rsid w:val="00F46472"/>
    <w:rsid w:val="00F62E86"/>
    <w:rsid w:val="00F67CD3"/>
    <w:rsid w:val="00F76D7A"/>
    <w:rsid w:val="00FC3F6E"/>
    <w:rsid w:val="00FC57E4"/>
    <w:rsid w:val="00FE3511"/>
    <w:rsid w:val="00FF1809"/>
    <w:rsid w:val="00FF386B"/>
    <w:rsid w:val="0204567E"/>
    <w:rsid w:val="02E43169"/>
    <w:rsid w:val="048D63DA"/>
    <w:rsid w:val="05105EEA"/>
    <w:rsid w:val="08BC1F1B"/>
    <w:rsid w:val="0B662A8B"/>
    <w:rsid w:val="0B9D0295"/>
    <w:rsid w:val="0C157BE7"/>
    <w:rsid w:val="0E1B1CE2"/>
    <w:rsid w:val="0E6E19C3"/>
    <w:rsid w:val="0FE32FE4"/>
    <w:rsid w:val="10273695"/>
    <w:rsid w:val="106C1557"/>
    <w:rsid w:val="11A41214"/>
    <w:rsid w:val="125F5769"/>
    <w:rsid w:val="12B626A9"/>
    <w:rsid w:val="13BE1314"/>
    <w:rsid w:val="1483582A"/>
    <w:rsid w:val="148E2C16"/>
    <w:rsid w:val="14CF06F9"/>
    <w:rsid w:val="15115908"/>
    <w:rsid w:val="15313E80"/>
    <w:rsid w:val="15F01F4B"/>
    <w:rsid w:val="167357D1"/>
    <w:rsid w:val="17AD6814"/>
    <w:rsid w:val="18DF2568"/>
    <w:rsid w:val="190D70C8"/>
    <w:rsid w:val="19DE566A"/>
    <w:rsid w:val="1B516151"/>
    <w:rsid w:val="1C782ABC"/>
    <w:rsid w:val="1D8D7327"/>
    <w:rsid w:val="1F5E5940"/>
    <w:rsid w:val="200839EE"/>
    <w:rsid w:val="20B02610"/>
    <w:rsid w:val="20E36275"/>
    <w:rsid w:val="236226E0"/>
    <w:rsid w:val="23DC74B0"/>
    <w:rsid w:val="246E43DE"/>
    <w:rsid w:val="25ED51AF"/>
    <w:rsid w:val="28556D3F"/>
    <w:rsid w:val="28C36E95"/>
    <w:rsid w:val="291B2D86"/>
    <w:rsid w:val="2ADA7383"/>
    <w:rsid w:val="2B957D34"/>
    <w:rsid w:val="2BDB2FC9"/>
    <w:rsid w:val="2C50033E"/>
    <w:rsid w:val="2D5D6D46"/>
    <w:rsid w:val="2E1B7B17"/>
    <w:rsid w:val="2E922688"/>
    <w:rsid w:val="2EDA16F1"/>
    <w:rsid w:val="313166B9"/>
    <w:rsid w:val="328E3F0E"/>
    <w:rsid w:val="339704B6"/>
    <w:rsid w:val="33C053B5"/>
    <w:rsid w:val="33E0074A"/>
    <w:rsid w:val="34393047"/>
    <w:rsid w:val="34926379"/>
    <w:rsid w:val="3562086C"/>
    <w:rsid w:val="356814A4"/>
    <w:rsid w:val="3641091F"/>
    <w:rsid w:val="36484E32"/>
    <w:rsid w:val="36772681"/>
    <w:rsid w:val="36E20DE2"/>
    <w:rsid w:val="374D27EB"/>
    <w:rsid w:val="379021AC"/>
    <w:rsid w:val="38567566"/>
    <w:rsid w:val="38705AB9"/>
    <w:rsid w:val="39E76EAB"/>
    <w:rsid w:val="3B26782C"/>
    <w:rsid w:val="3B630FB8"/>
    <w:rsid w:val="3BC01FED"/>
    <w:rsid w:val="3C173D58"/>
    <w:rsid w:val="3DA3538B"/>
    <w:rsid w:val="3DB64288"/>
    <w:rsid w:val="3F636CBB"/>
    <w:rsid w:val="3F9B5C94"/>
    <w:rsid w:val="3FC5525D"/>
    <w:rsid w:val="407F58F4"/>
    <w:rsid w:val="408D16ED"/>
    <w:rsid w:val="40C7739D"/>
    <w:rsid w:val="41A50292"/>
    <w:rsid w:val="41D36B70"/>
    <w:rsid w:val="43A22863"/>
    <w:rsid w:val="43F87D28"/>
    <w:rsid w:val="443C632C"/>
    <w:rsid w:val="44525FE0"/>
    <w:rsid w:val="45B76580"/>
    <w:rsid w:val="488F6DDC"/>
    <w:rsid w:val="4B124635"/>
    <w:rsid w:val="4CE97C9B"/>
    <w:rsid w:val="4D0A5413"/>
    <w:rsid w:val="4D51381E"/>
    <w:rsid w:val="4D986E76"/>
    <w:rsid w:val="4E1F4DB1"/>
    <w:rsid w:val="4ED45435"/>
    <w:rsid w:val="4EE24D42"/>
    <w:rsid w:val="4EFA6929"/>
    <w:rsid w:val="4F1C2372"/>
    <w:rsid w:val="500C14D1"/>
    <w:rsid w:val="511F22DC"/>
    <w:rsid w:val="51C219BC"/>
    <w:rsid w:val="5290425D"/>
    <w:rsid w:val="547E227D"/>
    <w:rsid w:val="548B0B4B"/>
    <w:rsid w:val="55212D29"/>
    <w:rsid w:val="55A75D44"/>
    <w:rsid w:val="57AE66E9"/>
    <w:rsid w:val="584658BF"/>
    <w:rsid w:val="5996188C"/>
    <w:rsid w:val="5A715E56"/>
    <w:rsid w:val="5AAF21A6"/>
    <w:rsid w:val="5C3F4409"/>
    <w:rsid w:val="5C4B28CB"/>
    <w:rsid w:val="5C593E9F"/>
    <w:rsid w:val="5C6A4D72"/>
    <w:rsid w:val="5D1B564C"/>
    <w:rsid w:val="5D8F7AF3"/>
    <w:rsid w:val="60354FCA"/>
    <w:rsid w:val="61C5388E"/>
    <w:rsid w:val="62326812"/>
    <w:rsid w:val="62AB5AC9"/>
    <w:rsid w:val="62F201E9"/>
    <w:rsid w:val="63C82328"/>
    <w:rsid w:val="65A370BE"/>
    <w:rsid w:val="65D71DB9"/>
    <w:rsid w:val="67B52E52"/>
    <w:rsid w:val="68487066"/>
    <w:rsid w:val="688F11A6"/>
    <w:rsid w:val="6AFB4E62"/>
    <w:rsid w:val="6C9736AF"/>
    <w:rsid w:val="6CE07597"/>
    <w:rsid w:val="6DB551F2"/>
    <w:rsid w:val="6DF02515"/>
    <w:rsid w:val="6EB57754"/>
    <w:rsid w:val="6F641281"/>
    <w:rsid w:val="6FD247B4"/>
    <w:rsid w:val="702E32C2"/>
    <w:rsid w:val="70A11823"/>
    <w:rsid w:val="70A71CD0"/>
    <w:rsid w:val="718669C1"/>
    <w:rsid w:val="728269FA"/>
    <w:rsid w:val="7298129A"/>
    <w:rsid w:val="73FE42D1"/>
    <w:rsid w:val="76527969"/>
    <w:rsid w:val="76DE77FE"/>
    <w:rsid w:val="79F24A00"/>
    <w:rsid w:val="7A2C6954"/>
    <w:rsid w:val="7B203254"/>
    <w:rsid w:val="7C142976"/>
    <w:rsid w:val="7CCA3477"/>
    <w:rsid w:val="7CF651C5"/>
    <w:rsid w:val="7D220206"/>
    <w:rsid w:val="7DCD73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1"/>
    <w:link w:val="43"/>
    <w:qFormat/>
    <w:uiPriority w:val="9"/>
    <w:pPr>
      <w:keepNext/>
      <w:keepLines/>
      <w:spacing w:before="340" w:after="330" w:line="578" w:lineRule="auto"/>
      <w:jc w:val="left"/>
      <w:outlineLvl w:val="0"/>
    </w:pPr>
    <w:rPr>
      <w:rFonts w:cs="Times New Roman"/>
      <w:b/>
      <w:bCs/>
      <w:kern w:val="44"/>
      <w:sz w:val="32"/>
      <w:szCs w:val="44"/>
    </w:rPr>
  </w:style>
  <w:style w:type="paragraph" w:styleId="3">
    <w:name w:val="heading 2"/>
    <w:basedOn w:val="1"/>
    <w:next w:val="1"/>
    <w:link w:val="58"/>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4">
    <w:name w:val="heading 3"/>
    <w:basedOn w:val="1"/>
    <w:next w:val="1"/>
    <w:link w:val="40"/>
    <w:qFormat/>
    <w:uiPriority w:val="9"/>
    <w:pPr>
      <w:keepNext/>
      <w:keepLines/>
      <w:spacing w:before="260" w:after="260" w:line="416" w:lineRule="auto"/>
      <w:jc w:val="left"/>
      <w:outlineLvl w:val="2"/>
    </w:pPr>
    <w:rPr>
      <w:rFonts w:ascii="Calibri" w:hAnsi="Calibri" w:cs="Times New Roman"/>
      <w:bCs/>
      <w:kern w:val="0"/>
      <w:szCs w:val="32"/>
    </w:rPr>
  </w:style>
  <w:style w:type="paragraph" w:styleId="5">
    <w:name w:val="heading 4"/>
    <w:basedOn w:val="1"/>
    <w:next w:val="1"/>
    <w:link w:val="39"/>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8">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Calibri" w:hAnsi="Calibri" w:cs="Calibri"/>
      <w:sz w:val="18"/>
      <w:szCs w:val="18"/>
    </w:rPr>
  </w:style>
  <w:style w:type="paragraph" w:styleId="7">
    <w:name w:val="Document Map"/>
    <w:basedOn w:val="1"/>
    <w:link w:val="41"/>
    <w:unhideWhenUsed/>
    <w:qFormat/>
    <w:uiPriority w:val="99"/>
    <w:rPr>
      <w:rFonts w:ascii="宋体" w:hAnsi="Calibri" w:eastAsia="宋体" w:cs="Times New Roman"/>
      <w:kern w:val="0"/>
      <w:sz w:val="18"/>
      <w:szCs w:val="18"/>
    </w:rPr>
  </w:style>
  <w:style w:type="paragraph" w:styleId="8">
    <w:name w:val="annotation text"/>
    <w:basedOn w:val="1"/>
    <w:link w:val="46"/>
    <w:unhideWhenUsed/>
    <w:qFormat/>
    <w:uiPriority w:val="99"/>
    <w:rPr>
      <w:rFonts w:ascii="Calibri" w:hAnsi="Calibri" w:cs="Times New Roman"/>
      <w:kern w:val="0"/>
      <w:sz w:val="20"/>
      <w:szCs w:val="20"/>
    </w:rPr>
  </w:style>
  <w:style w:type="paragraph" w:styleId="9">
    <w:name w:val="Body Text"/>
    <w:basedOn w:val="1"/>
    <w:qFormat/>
    <w:uiPriority w:val="0"/>
    <w:pPr>
      <w:spacing w:before="240" w:after="240" w:line="360" w:lineRule="auto"/>
      <w:jc w:val="center"/>
    </w:pPr>
    <w:rPr>
      <w:b/>
      <w:sz w:val="44"/>
    </w:rPr>
  </w:style>
  <w:style w:type="paragraph" w:styleId="10">
    <w:name w:val="Body Text Indent"/>
    <w:basedOn w:val="1"/>
    <w:link w:val="55"/>
    <w:unhideWhenUsed/>
    <w:qFormat/>
    <w:uiPriority w:val="99"/>
    <w:pPr>
      <w:spacing w:after="120"/>
      <w:ind w:left="420" w:leftChars="200"/>
    </w:pPr>
    <w:rPr>
      <w:rFonts w:ascii="Calibri" w:hAnsi="Calibri" w:cs="Times New Roman"/>
      <w:kern w:val="0"/>
      <w:szCs w:val="20"/>
    </w:rPr>
  </w:style>
  <w:style w:type="paragraph" w:styleId="11">
    <w:name w:val="HTML Address"/>
    <w:basedOn w:val="1"/>
    <w:qFormat/>
    <w:uiPriority w:val="0"/>
    <w:rPr>
      <w:rFonts w:cs="Times New Roman"/>
      <w:i/>
      <w:iCs/>
      <w:lang w:bidi="ar-SA"/>
    </w:rPr>
  </w:style>
  <w:style w:type="paragraph" w:styleId="12">
    <w:name w:val="toc 5"/>
    <w:basedOn w:val="1"/>
    <w:next w:val="1"/>
    <w:unhideWhenUsed/>
    <w:qFormat/>
    <w:uiPriority w:val="39"/>
    <w:pPr>
      <w:ind w:left="1120"/>
      <w:jc w:val="left"/>
    </w:pPr>
    <w:rPr>
      <w:rFonts w:ascii="Calibri" w:hAnsi="Calibri" w:cs="Calibri"/>
      <w:sz w:val="18"/>
      <w:szCs w:val="18"/>
    </w:rPr>
  </w:style>
  <w:style w:type="paragraph" w:styleId="13">
    <w:name w:val="toc 3"/>
    <w:basedOn w:val="1"/>
    <w:next w:val="1"/>
    <w:unhideWhenUsed/>
    <w:qFormat/>
    <w:uiPriority w:val="39"/>
    <w:pPr>
      <w:ind w:left="560"/>
      <w:jc w:val="left"/>
    </w:pPr>
    <w:rPr>
      <w:rFonts w:ascii="Calibri" w:hAnsi="Calibri" w:cs="Calibri"/>
      <w:i/>
      <w:iCs/>
      <w:sz w:val="20"/>
      <w:szCs w:val="20"/>
    </w:rPr>
  </w:style>
  <w:style w:type="paragraph" w:styleId="14">
    <w:name w:val="toc 8"/>
    <w:basedOn w:val="1"/>
    <w:next w:val="1"/>
    <w:unhideWhenUsed/>
    <w:qFormat/>
    <w:uiPriority w:val="39"/>
    <w:pPr>
      <w:ind w:left="1960"/>
      <w:jc w:val="left"/>
    </w:pPr>
    <w:rPr>
      <w:rFonts w:ascii="Calibri" w:hAnsi="Calibri" w:cs="Calibri"/>
      <w:sz w:val="18"/>
      <w:szCs w:val="18"/>
    </w:rPr>
  </w:style>
  <w:style w:type="paragraph" w:styleId="15">
    <w:name w:val="Balloon Text"/>
    <w:basedOn w:val="1"/>
    <w:link w:val="57"/>
    <w:unhideWhenUsed/>
    <w:qFormat/>
    <w:uiPriority w:val="99"/>
    <w:rPr>
      <w:rFonts w:ascii="Calibri" w:hAnsi="Calibri" w:cs="Times New Roman"/>
      <w:kern w:val="0"/>
      <w:sz w:val="18"/>
      <w:szCs w:val="18"/>
    </w:rPr>
  </w:style>
  <w:style w:type="paragraph" w:styleId="16">
    <w:name w:val="footer"/>
    <w:basedOn w:val="1"/>
    <w:link w:val="56"/>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17">
    <w:name w:val="header"/>
    <w:basedOn w:val="1"/>
    <w:link w:val="54"/>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8">
    <w:name w:val="toc 1"/>
    <w:basedOn w:val="1"/>
    <w:next w:val="1"/>
    <w:unhideWhenUsed/>
    <w:qFormat/>
    <w:uiPriority w:val="39"/>
    <w:pPr>
      <w:spacing w:before="120" w:after="120"/>
      <w:jc w:val="left"/>
    </w:pPr>
    <w:rPr>
      <w:rFonts w:ascii="Calibri" w:hAnsi="Calibri" w:cs="Calibri"/>
      <w:b/>
      <w:bCs/>
      <w:caps/>
      <w:sz w:val="20"/>
      <w:szCs w:val="20"/>
    </w:rPr>
  </w:style>
  <w:style w:type="paragraph" w:styleId="19">
    <w:name w:val="toc 4"/>
    <w:basedOn w:val="1"/>
    <w:next w:val="1"/>
    <w:unhideWhenUsed/>
    <w:qFormat/>
    <w:uiPriority w:val="39"/>
    <w:pPr>
      <w:ind w:left="840"/>
      <w:jc w:val="left"/>
    </w:pPr>
    <w:rPr>
      <w:rFonts w:ascii="Calibri" w:hAnsi="Calibri" w:cs="Calibri"/>
      <w:sz w:val="18"/>
      <w:szCs w:val="18"/>
    </w:rPr>
  </w:style>
  <w:style w:type="paragraph" w:styleId="20">
    <w:name w:val="toc 6"/>
    <w:basedOn w:val="1"/>
    <w:next w:val="1"/>
    <w:unhideWhenUsed/>
    <w:qFormat/>
    <w:uiPriority w:val="39"/>
    <w:pPr>
      <w:ind w:left="1400"/>
      <w:jc w:val="left"/>
    </w:pPr>
    <w:rPr>
      <w:rFonts w:ascii="Calibri" w:hAnsi="Calibri" w:cs="Calibri"/>
      <w:sz w:val="18"/>
      <w:szCs w:val="18"/>
    </w:rPr>
  </w:style>
  <w:style w:type="paragraph" w:styleId="21">
    <w:name w:val="toc 2"/>
    <w:basedOn w:val="1"/>
    <w:next w:val="1"/>
    <w:unhideWhenUsed/>
    <w:qFormat/>
    <w:uiPriority w:val="39"/>
    <w:pPr>
      <w:ind w:left="280"/>
      <w:jc w:val="left"/>
    </w:pPr>
    <w:rPr>
      <w:rFonts w:ascii="Calibri" w:hAnsi="Calibri" w:cs="Calibri"/>
      <w:smallCaps/>
      <w:sz w:val="20"/>
      <w:szCs w:val="20"/>
    </w:rPr>
  </w:style>
  <w:style w:type="paragraph" w:styleId="22">
    <w:name w:val="toc 9"/>
    <w:basedOn w:val="1"/>
    <w:next w:val="1"/>
    <w:unhideWhenUsed/>
    <w:qFormat/>
    <w:uiPriority w:val="39"/>
    <w:pPr>
      <w:ind w:left="2240"/>
      <w:jc w:val="left"/>
    </w:pPr>
    <w:rPr>
      <w:rFonts w:ascii="Calibri" w:hAnsi="Calibri" w:cs="Calibri"/>
      <w:sz w:val="18"/>
      <w:szCs w:val="18"/>
    </w:rPr>
  </w:style>
  <w:style w:type="paragraph" w:styleId="23">
    <w:name w:val="Title"/>
    <w:basedOn w:val="1"/>
    <w:next w:val="1"/>
    <w:link w:val="59"/>
    <w:qFormat/>
    <w:uiPriority w:val="10"/>
    <w:pPr>
      <w:spacing w:before="240" w:after="60"/>
      <w:jc w:val="center"/>
      <w:outlineLvl w:val="0"/>
    </w:pPr>
    <w:rPr>
      <w:rFonts w:ascii="Cambria" w:hAnsi="Cambria" w:eastAsia="宋体" w:cs="Times New Roman"/>
      <w:b/>
      <w:bCs/>
      <w:sz w:val="32"/>
      <w:szCs w:val="32"/>
    </w:rPr>
  </w:style>
  <w:style w:type="paragraph" w:styleId="24">
    <w:name w:val="annotation subject"/>
    <w:basedOn w:val="8"/>
    <w:next w:val="8"/>
    <w:link w:val="52"/>
    <w:unhideWhenUsed/>
    <w:qFormat/>
    <w:uiPriority w:val="99"/>
    <w:rPr>
      <w:rFonts w:ascii="Calibri" w:hAnsi="Calibri"/>
      <w:b/>
      <w:bCs/>
    </w:rPr>
  </w:style>
  <w:style w:type="paragraph" w:styleId="25">
    <w:name w:val="Body Text First Indent 2"/>
    <w:basedOn w:val="10"/>
    <w:link w:val="42"/>
    <w:unhideWhenUsed/>
    <w:qFormat/>
    <w:uiPriority w:val="0"/>
    <w:pPr>
      <w:ind w:firstLine="420"/>
    </w:p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三级标题"/>
    <w:basedOn w:val="1"/>
    <w:next w:val="32"/>
    <w:link w:val="49"/>
    <w:qFormat/>
    <w:uiPriority w:val="3"/>
    <w:pPr>
      <w:widowControl/>
      <w:spacing w:before="120" w:after="60" w:line="500" w:lineRule="exact"/>
      <w:ind w:left="200" w:leftChars="200" w:firstLine="0" w:firstLineChars="0"/>
    </w:pPr>
    <w:rPr>
      <w:rFonts w:cs="Times New Roman"/>
      <w:b/>
      <w:snapToGrid w:val="0"/>
      <w:kern w:val="0"/>
      <w:szCs w:val="28"/>
    </w:rPr>
  </w:style>
  <w:style w:type="paragraph" w:customStyle="1" w:styleId="32">
    <w:name w:val="闻政-正文段落文字"/>
    <w:basedOn w:val="1"/>
    <w:link w:val="44"/>
    <w:qFormat/>
    <w:uiPriority w:val="3"/>
    <w:pPr>
      <w:spacing w:line="500" w:lineRule="exact"/>
      <w:ind w:firstLine="200"/>
    </w:pPr>
    <w:rPr>
      <w:rFonts w:cs="Times New Roman"/>
      <w:kern w:val="0"/>
      <w:szCs w:val="28"/>
    </w:rPr>
  </w:style>
  <w:style w:type="paragraph" w:customStyle="1" w:styleId="33">
    <w:name w:val="_Style 1"/>
    <w:qFormat/>
    <w:uiPriority w:val="0"/>
    <w:pPr>
      <w:widowControl w:val="0"/>
      <w:jc w:val="both"/>
    </w:pPr>
    <w:rPr>
      <w:rFonts w:ascii="Calibri" w:hAnsi="Calibri" w:eastAsia="Times New Roman" w:cs="Times New Roman"/>
      <w:kern w:val="2"/>
      <w:sz w:val="21"/>
      <w:szCs w:val="22"/>
      <w:lang w:val="en-US" w:eastAsia="zh-CN" w:bidi="ar-SA"/>
    </w:rPr>
  </w:style>
  <w:style w:type="paragraph" w:styleId="34">
    <w:name w:val="List Paragraph"/>
    <w:basedOn w:val="1"/>
    <w:qFormat/>
    <w:uiPriority w:val="34"/>
    <w:pPr>
      <w:ind w:firstLine="420"/>
    </w:pPr>
  </w:style>
  <w:style w:type="paragraph" w:styleId="35">
    <w:name w:val="No Spacing"/>
    <w:link w:val="50"/>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customStyle="1" w:styleId="36">
    <w:name w:val="闻政-正文一级标题"/>
    <w:basedOn w:val="4"/>
    <w:next w:val="32"/>
    <w:link w:val="48"/>
    <w:qFormat/>
    <w:uiPriority w:val="3"/>
    <w:pPr>
      <w:spacing w:before="120" w:after="60" w:line="500" w:lineRule="exact"/>
      <w:ind w:firstLine="0" w:firstLineChars="0"/>
      <w:outlineLvl w:val="0"/>
    </w:pPr>
    <w:rPr>
      <w:rFonts w:ascii="黑体" w:hAnsi="黑体" w:eastAsia="黑体"/>
      <w:sz w:val="32"/>
    </w:rPr>
  </w:style>
  <w:style w:type="paragraph" w:customStyle="1" w:styleId="37">
    <w:name w:val="闻政-正文二级标题"/>
    <w:basedOn w:val="3"/>
    <w:next w:val="32"/>
    <w:link w:val="47"/>
    <w:qFormat/>
    <w:uiPriority w:val="3"/>
    <w:pPr>
      <w:spacing w:before="120" w:after="60" w:line="500" w:lineRule="exact"/>
      <w:ind w:left="200" w:leftChars="200" w:firstLine="0" w:firstLineChars="0"/>
    </w:pPr>
    <w:rPr>
      <w:rFonts w:ascii="Times New Roman" w:hAnsi="Times New Roman"/>
      <w:sz w:val="28"/>
    </w:rPr>
  </w:style>
  <w:style w:type="paragraph" w:customStyle="1" w:styleId="38">
    <w:name w:val="样式1"/>
    <w:basedOn w:val="2"/>
    <w:qFormat/>
    <w:uiPriority w:val="0"/>
    <w:pPr>
      <w:numPr>
        <w:ilvl w:val="0"/>
        <w:numId w:val="1"/>
      </w:numPr>
      <w:spacing w:before="50" w:beforeLines="50" w:after="50" w:afterLines="50" w:line="240" w:lineRule="auto"/>
    </w:pPr>
    <w:rPr>
      <w:rFonts w:ascii="宋体" w:hAnsi="宋体" w:eastAsia="黑体" w:cs="Times New Roman"/>
      <w:sz w:val="28"/>
      <w:szCs w:val="28"/>
      <w:lang w:eastAsia="zh-CN"/>
    </w:rPr>
  </w:style>
  <w:style w:type="character" w:customStyle="1" w:styleId="39">
    <w:name w:val="标题 4 Char"/>
    <w:link w:val="5"/>
    <w:semiHidden/>
    <w:qFormat/>
    <w:uiPriority w:val="9"/>
    <w:rPr>
      <w:rFonts w:ascii="Cambria" w:hAnsi="Cambria" w:eastAsia="宋体" w:cs="Times New Roman"/>
      <w:b/>
      <w:bCs/>
      <w:sz w:val="28"/>
      <w:szCs w:val="28"/>
    </w:rPr>
  </w:style>
  <w:style w:type="character" w:customStyle="1" w:styleId="40">
    <w:name w:val="标题 3 Char"/>
    <w:link w:val="4"/>
    <w:qFormat/>
    <w:uiPriority w:val="9"/>
    <w:rPr>
      <w:rFonts w:ascii="Calibri" w:hAnsi="Calibri" w:eastAsia="仿宋_GB2312" w:cs="黑体"/>
      <w:bCs/>
      <w:sz w:val="28"/>
      <w:szCs w:val="32"/>
    </w:rPr>
  </w:style>
  <w:style w:type="character" w:customStyle="1" w:styleId="41">
    <w:name w:val="文档结构图 Char"/>
    <w:link w:val="7"/>
    <w:semiHidden/>
    <w:qFormat/>
    <w:uiPriority w:val="99"/>
    <w:rPr>
      <w:rFonts w:ascii="宋体" w:hAnsi="Calibri" w:eastAsia="宋体" w:cs="黑体"/>
      <w:sz w:val="18"/>
      <w:szCs w:val="18"/>
    </w:rPr>
  </w:style>
  <w:style w:type="character" w:customStyle="1" w:styleId="42">
    <w:name w:val="正文首行缩进 2 Char"/>
    <w:link w:val="25"/>
    <w:qFormat/>
    <w:uiPriority w:val="0"/>
    <w:rPr>
      <w:rFonts w:ascii="Calibri" w:hAnsi="Calibri" w:eastAsia="仿宋_GB2312" w:cs="黑体"/>
      <w:sz w:val="28"/>
    </w:rPr>
  </w:style>
  <w:style w:type="character" w:customStyle="1" w:styleId="43">
    <w:name w:val="标题 1 Char"/>
    <w:link w:val="2"/>
    <w:qFormat/>
    <w:uiPriority w:val="9"/>
    <w:rPr>
      <w:rFonts w:ascii="Times New Roman" w:hAnsi="Times New Roman" w:eastAsia="仿宋_GB2312" w:cs="Times New Roman"/>
      <w:b/>
      <w:bCs/>
      <w:kern w:val="44"/>
      <w:sz w:val="32"/>
      <w:szCs w:val="44"/>
    </w:rPr>
  </w:style>
  <w:style w:type="character" w:customStyle="1" w:styleId="44">
    <w:name w:val="闻政-正文段落文字 Char"/>
    <w:link w:val="32"/>
    <w:qFormat/>
    <w:uiPriority w:val="3"/>
    <w:rPr>
      <w:rFonts w:ascii="Times New Roman" w:hAnsi="Times New Roman" w:eastAsia="仿宋_GB2312"/>
      <w:sz w:val="28"/>
      <w:szCs w:val="28"/>
    </w:rPr>
  </w:style>
  <w:style w:type="character" w:customStyle="1" w:styleId="45">
    <w:name w:val="font21"/>
    <w:basedOn w:val="28"/>
    <w:qFormat/>
    <w:uiPriority w:val="0"/>
    <w:rPr>
      <w:rFonts w:hint="default" w:ascii="Times New Roman" w:hAnsi="Times New Roman" w:cs="Times New Roman"/>
      <w:color w:val="000000"/>
      <w:sz w:val="24"/>
      <w:szCs w:val="24"/>
      <w:u w:val="none"/>
    </w:rPr>
  </w:style>
  <w:style w:type="character" w:customStyle="1" w:styleId="46">
    <w:name w:val="批注文字 Char"/>
    <w:link w:val="8"/>
    <w:semiHidden/>
    <w:qFormat/>
    <w:uiPriority w:val="99"/>
    <w:rPr>
      <w:rFonts w:ascii="Calibri" w:hAnsi="Calibri" w:eastAsia="仿宋_GB2312" w:cs="黑体"/>
      <w:sz w:val="20"/>
      <w:szCs w:val="20"/>
    </w:rPr>
  </w:style>
  <w:style w:type="character" w:customStyle="1" w:styleId="47">
    <w:name w:val="闻政-正文二级标题 Char"/>
    <w:link w:val="37"/>
    <w:qFormat/>
    <w:uiPriority w:val="3"/>
    <w:rPr>
      <w:rFonts w:ascii="Times New Roman" w:hAnsi="Times New Roman" w:eastAsia="仿宋_GB2312"/>
      <w:b/>
      <w:bCs/>
      <w:sz w:val="28"/>
      <w:szCs w:val="32"/>
    </w:rPr>
  </w:style>
  <w:style w:type="character" w:customStyle="1" w:styleId="48">
    <w:name w:val="闻政-正文一级标题 Char"/>
    <w:link w:val="36"/>
    <w:qFormat/>
    <w:uiPriority w:val="3"/>
    <w:rPr>
      <w:rFonts w:ascii="黑体" w:hAnsi="黑体" w:eastAsia="黑体"/>
      <w:bCs/>
      <w:sz w:val="32"/>
      <w:szCs w:val="32"/>
    </w:rPr>
  </w:style>
  <w:style w:type="character" w:customStyle="1" w:styleId="49">
    <w:name w:val="闻政-正文三级标题 Char"/>
    <w:link w:val="31"/>
    <w:qFormat/>
    <w:uiPriority w:val="3"/>
    <w:rPr>
      <w:rFonts w:ascii="Times New Roman" w:hAnsi="Times New Roman" w:eastAsia="仿宋_GB2312"/>
      <w:b/>
      <w:snapToGrid w:val="0"/>
      <w:sz w:val="28"/>
      <w:szCs w:val="28"/>
    </w:rPr>
  </w:style>
  <w:style w:type="character" w:customStyle="1" w:styleId="50">
    <w:name w:val="无间隔 Char"/>
    <w:link w:val="35"/>
    <w:qFormat/>
    <w:uiPriority w:val="1"/>
    <w:rPr>
      <w:rFonts w:eastAsia="仿宋_GB2312" w:cs="黑体"/>
      <w:kern w:val="2"/>
      <w:sz w:val="28"/>
      <w:szCs w:val="22"/>
      <w:lang w:val="en-US" w:eastAsia="zh-CN" w:bidi="ar-SA"/>
    </w:rPr>
  </w:style>
  <w:style w:type="character" w:customStyle="1" w:styleId="51">
    <w:name w:val="_Style 50"/>
    <w:qFormat/>
    <w:uiPriority w:val="0"/>
    <w:rPr>
      <w:b/>
      <w:bCs/>
      <w:smallCaps/>
      <w:color w:val="C0504D"/>
      <w:spacing w:val="5"/>
      <w:u w:val="single"/>
    </w:rPr>
  </w:style>
  <w:style w:type="character" w:customStyle="1" w:styleId="52">
    <w:name w:val="批注主题 Char"/>
    <w:link w:val="24"/>
    <w:semiHidden/>
    <w:qFormat/>
    <w:uiPriority w:val="99"/>
    <w:rPr>
      <w:rFonts w:ascii="Calibri" w:hAnsi="Calibri" w:eastAsia="仿宋_GB2312" w:cs="黑体"/>
      <w:b/>
      <w:bCs/>
      <w:sz w:val="20"/>
      <w:szCs w:val="20"/>
    </w:rPr>
  </w:style>
  <w:style w:type="character" w:customStyle="1" w:styleId="53">
    <w:name w:val="font11"/>
    <w:qFormat/>
    <w:uiPriority w:val="0"/>
    <w:rPr>
      <w:rFonts w:hint="eastAsia" w:ascii="方正仿宋_GBK" w:hAnsi="方正仿宋_GBK" w:eastAsia="方正仿宋_GBK" w:cs="方正仿宋_GBK"/>
      <w:color w:val="000000"/>
      <w:sz w:val="24"/>
      <w:szCs w:val="24"/>
      <w:u w:val="none"/>
    </w:rPr>
  </w:style>
  <w:style w:type="character" w:customStyle="1" w:styleId="54">
    <w:name w:val="页眉 Char"/>
    <w:link w:val="17"/>
    <w:qFormat/>
    <w:uiPriority w:val="99"/>
    <w:rPr>
      <w:rFonts w:ascii="Calibri" w:hAnsi="Calibri" w:eastAsia="仿宋_GB2312" w:cs="黑体"/>
      <w:sz w:val="18"/>
      <w:szCs w:val="18"/>
    </w:rPr>
  </w:style>
  <w:style w:type="character" w:customStyle="1" w:styleId="55">
    <w:name w:val="正文文本缩进 Char"/>
    <w:link w:val="10"/>
    <w:semiHidden/>
    <w:qFormat/>
    <w:uiPriority w:val="99"/>
    <w:rPr>
      <w:rFonts w:ascii="Calibri" w:hAnsi="Calibri" w:eastAsia="仿宋_GB2312" w:cs="黑体"/>
      <w:sz w:val="28"/>
    </w:rPr>
  </w:style>
  <w:style w:type="character" w:customStyle="1" w:styleId="56">
    <w:name w:val="页脚 Char"/>
    <w:link w:val="16"/>
    <w:qFormat/>
    <w:uiPriority w:val="99"/>
    <w:rPr>
      <w:rFonts w:ascii="Calibri" w:hAnsi="Calibri" w:eastAsia="仿宋_GB2312" w:cs="黑体"/>
      <w:sz w:val="18"/>
      <w:szCs w:val="18"/>
    </w:rPr>
  </w:style>
  <w:style w:type="character" w:customStyle="1" w:styleId="57">
    <w:name w:val="批注框文本 Char"/>
    <w:link w:val="15"/>
    <w:semiHidden/>
    <w:qFormat/>
    <w:uiPriority w:val="99"/>
    <w:rPr>
      <w:rFonts w:ascii="Calibri" w:hAnsi="Calibri" w:eastAsia="仿宋_GB2312" w:cs="黑体"/>
      <w:sz w:val="18"/>
      <w:szCs w:val="18"/>
    </w:rPr>
  </w:style>
  <w:style w:type="character" w:customStyle="1" w:styleId="58">
    <w:name w:val="标题 2 Char"/>
    <w:link w:val="3"/>
    <w:qFormat/>
    <w:uiPriority w:val="0"/>
    <w:rPr>
      <w:rFonts w:ascii="Cambria" w:hAnsi="Cambria" w:eastAsia="仿宋_GB2312" w:cs="Times New Roman"/>
      <w:b/>
      <w:bCs/>
      <w:kern w:val="0"/>
      <w:sz w:val="30"/>
      <w:szCs w:val="32"/>
    </w:rPr>
  </w:style>
  <w:style w:type="character" w:customStyle="1" w:styleId="59">
    <w:name w:val="标题 Char"/>
    <w:link w:val="23"/>
    <w:qFormat/>
    <w:uiPriority w:val="10"/>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1480</Words>
  <Characters>8440</Characters>
  <Lines>70</Lines>
  <Paragraphs>19</Paragraphs>
  <TotalTime>35</TotalTime>
  <ScaleCrop>false</ScaleCrop>
  <LinksUpToDate>false</LinksUpToDate>
  <CharactersWithSpaces>9901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2022-03-02T12:48:00Z</dcterms:created>
  <dc:creator>User</dc:creator>
  <cp:lastModifiedBy>雨。</cp:lastModifiedBy>
  <dcterms:modified xsi:type="dcterms:W3CDTF">2023-10-13T03:18:59Z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2A2F7DA118524E82B3744CFF1894E5C6</vt:lpwstr>
  </property>
  <property fmtid="{D5CDD505-2E9C-101B-9397-08002B2CF9AE}" pid="4" name="KSOSaveFontToCloudKey">
    <vt:lpwstr>254973925_cloud</vt:lpwstr>
  </property>
</Properties>
</file>