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bookmarkStart w:id="16" w:name="_GoBack"/>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val="0"/>
          <w:bCs/>
          <w:color w:val="auto"/>
          <w:kern w:val="0"/>
          <w:sz w:val="32"/>
          <w:szCs w:val="32"/>
          <w:lang w:bidi="en-US"/>
        </w:rPr>
      </w:pPr>
    </w:p>
    <w:p>
      <w:pPr>
        <w:pageBreakBefore w:val="0"/>
        <w:tabs>
          <w:tab w:val="left" w:pos="1680"/>
        </w:tabs>
        <w:kinsoku/>
        <w:wordWrap/>
        <w:topLinePunct w:val="0"/>
        <w:autoSpaceDE/>
        <w:bidi w:val="0"/>
        <w:spacing w:before="120" w:after="120" w:line="560" w:lineRule="exact"/>
        <w:ind w:left="0" w:leftChars="0" w:firstLine="800" w:firstLineChars="200"/>
        <w:jc w:val="center"/>
        <w:outlineLvl w:val="0"/>
        <w:rPr>
          <w:rFonts w:hint="eastAsia" w:ascii="方正小标宋_GBK" w:hAnsi="方正小标宋_GBK" w:eastAsia="方正小标宋_GBK" w:cs="方正小标宋_GBK"/>
          <w:b w:val="0"/>
          <w:bCs/>
          <w:color w:val="auto"/>
          <w:sz w:val="40"/>
          <w:szCs w:val="40"/>
        </w:rPr>
      </w:pPr>
      <w:r>
        <w:rPr>
          <w:rFonts w:hint="eastAsia" w:ascii="方正小标宋_GBK" w:hAnsi="方正小标宋_GBK" w:eastAsia="方正小标宋_GBK" w:cs="方正小标宋_GBK"/>
          <w:b w:val="0"/>
          <w:bCs/>
          <w:color w:val="auto"/>
          <w:sz w:val="40"/>
          <w:szCs w:val="40"/>
        </w:rPr>
        <w:t>伽师县中职2022年生均公用经费项目</w:t>
      </w:r>
    </w:p>
    <w:p>
      <w:pPr>
        <w:pageBreakBefore w:val="0"/>
        <w:tabs>
          <w:tab w:val="left" w:pos="1680"/>
        </w:tabs>
        <w:kinsoku/>
        <w:wordWrap/>
        <w:topLinePunct w:val="0"/>
        <w:autoSpaceDE/>
        <w:bidi w:val="0"/>
        <w:spacing w:before="120" w:after="120" w:line="560" w:lineRule="exact"/>
        <w:ind w:left="0" w:leftChars="0" w:firstLine="800" w:firstLineChars="200"/>
        <w:jc w:val="center"/>
        <w:outlineLvl w:val="0"/>
        <w:rPr>
          <w:rFonts w:hint="eastAsia" w:ascii="方正小标宋_GBK" w:hAnsi="方正小标宋_GBK" w:eastAsia="方正小标宋_GBK" w:cs="方正小标宋_GBK"/>
          <w:b w:val="0"/>
          <w:bCs/>
          <w:color w:val="auto"/>
          <w:sz w:val="40"/>
          <w:szCs w:val="40"/>
        </w:rPr>
      </w:pPr>
      <w:r>
        <w:rPr>
          <w:rFonts w:hint="eastAsia" w:ascii="方正小标宋_GBK" w:hAnsi="方正小标宋_GBK" w:eastAsia="方正小标宋_GBK" w:cs="方正小标宋_GBK"/>
          <w:b w:val="0"/>
          <w:bCs/>
          <w:color w:val="auto"/>
          <w:sz w:val="40"/>
          <w:szCs w:val="40"/>
        </w:rPr>
        <w:t>支出绩效评价报告</w:t>
      </w: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bCs w:val="0"/>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Style w:val="4"/>
        <w:pageBreakBefore w:val="0"/>
        <w:kinsoku/>
        <w:wordWrap/>
        <w:topLinePunct w:val="0"/>
        <w:autoSpaceDE/>
        <w:bidi w:val="0"/>
        <w:spacing w:line="560" w:lineRule="exact"/>
        <w:rPr>
          <w:rFonts w:hint="eastAsia" w:ascii="方正仿宋_GBK" w:hAnsi="方正仿宋_GBK" w:eastAsia="方正仿宋_GBK" w:cs="方正仿宋_GBK"/>
          <w:color w:val="auto"/>
          <w:sz w:val="32"/>
          <w:szCs w:val="32"/>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color w:val="auto"/>
          <w:kern w:val="0"/>
          <w:sz w:val="32"/>
          <w:szCs w:val="32"/>
          <w:lang w:bidi="en-US"/>
        </w:rPr>
      </w:pPr>
    </w:p>
    <w:p>
      <w:pPr>
        <w:pageBreakBefore w:val="0"/>
        <w:kinsoku/>
        <w:wordWrap/>
        <w:topLinePunct w:val="0"/>
        <w:autoSpaceDE/>
        <w:bidi w:val="0"/>
        <w:spacing w:line="560" w:lineRule="exact"/>
        <w:ind w:left="1277" w:leftChars="456" w:firstLine="124" w:firstLineChars="39"/>
        <w:jc w:val="left"/>
        <w:rPr>
          <w:rFonts w:hint="eastAsia" w:ascii="方正仿宋_GBK" w:hAnsi="方正仿宋_GBK" w:eastAsia="方正仿宋_GBK" w:cs="方正仿宋_GBK"/>
          <w:color w:val="auto"/>
          <w:kern w:val="0"/>
          <w:sz w:val="32"/>
          <w:szCs w:val="32"/>
          <w:lang w:eastAsia="zh-CN" w:bidi="en-US"/>
        </w:rPr>
      </w:pPr>
      <w:r>
        <w:rPr>
          <w:rFonts w:hint="eastAsia" w:ascii="方正仿宋_GBK" w:hAnsi="方正仿宋_GBK" w:eastAsia="方正仿宋_GBK" w:cs="方正仿宋_GBK"/>
          <w:color w:val="auto"/>
          <w:kern w:val="0"/>
          <w:sz w:val="32"/>
          <w:szCs w:val="32"/>
          <w:lang w:bidi="en-US"/>
        </w:rPr>
        <w:t>项目名称：</w:t>
      </w:r>
      <w:r>
        <w:rPr>
          <w:rFonts w:hint="eastAsia" w:ascii="方正仿宋_GBK" w:hAnsi="方正仿宋_GBK" w:eastAsia="方正仿宋_GBK" w:cs="方正仿宋_GBK"/>
          <w:color w:val="auto"/>
          <w:kern w:val="0"/>
          <w:sz w:val="32"/>
          <w:szCs w:val="32"/>
          <w:lang w:eastAsia="zh-CN" w:bidi="en-US"/>
        </w:rPr>
        <w:t>伽师县中职2022年生均公用经费项目</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项目单位：伽师县中等职业技术学校</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主管部门：伽师县教育局</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项目负责人：吾斯满江·塔依尔</w:t>
      </w:r>
    </w:p>
    <w:p>
      <w:pPr>
        <w:pageBreakBefore w:val="0"/>
        <w:kinsoku/>
        <w:wordWrap/>
        <w:topLinePunct w:val="0"/>
        <w:autoSpaceDE/>
        <w:bidi w:val="0"/>
        <w:spacing w:line="560" w:lineRule="exact"/>
        <w:ind w:firstLine="1411" w:firstLineChars="441"/>
        <w:jc w:val="left"/>
        <w:rPr>
          <w:rFonts w:hint="default"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bidi="en-US"/>
        </w:rPr>
        <w:t>填报时间：</w:t>
      </w:r>
      <w:r>
        <w:rPr>
          <w:rFonts w:hint="eastAsia" w:ascii="方正仿宋_GBK" w:hAnsi="方正仿宋_GBK" w:eastAsia="方正仿宋_GBK" w:cs="方正仿宋_GBK"/>
          <w:color w:val="auto"/>
          <w:kern w:val="0"/>
          <w:sz w:val="32"/>
          <w:szCs w:val="32"/>
          <w:lang w:val="en-US" w:eastAsia="zh-CN" w:bidi="en-US"/>
        </w:rPr>
        <w:t>2023年2月10日</w:t>
      </w:r>
    </w:p>
    <w:p>
      <w:pPr>
        <w:pStyle w:val="9"/>
        <w:pageBreakBefore w:val="0"/>
        <w:kinsoku/>
        <w:wordWrap/>
        <w:topLinePunct w:val="0"/>
        <w:autoSpaceDE/>
        <w:bidi w:val="0"/>
        <w:spacing w:line="560" w:lineRule="exact"/>
        <w:ind w:firstLine="883"/>
        <w:rPr>
          <w:rFonts w:hint="eastAsia" w:ascii="方正仿宋_GBK" w:hAnsi="方正仿宋_GBK" w:eastAsia="方正仿宋_GBK" w:cs="方正仿宋_GBK"/>
          <w:color w:val="auto"/>
          <w:sz w:val="32"/>
          <w:szCs w:val="32"/>
        </w:rPr>
      </w:pPr>
    </w:p>
    <w:p>
      <w:pPr>
        <w:pageBreakBefore w:val="0"/>
        <w:kinsoku/>
        <w:wordWrap/>
        <w:topLinePunct w:val="0"/>
        <w:autoSpaceDE/>
        <w:bidi w:val="0"/>
        <w:spacing w:line="560" w:lineRule="exact"/>
        <w:ind w:firstLine="0" w:firstLineChars="0"/>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rPr>
          <w:rFonts w:hint="eastAsia" w:ascii="方正黑体_GBK" w:hAnsi="方正黑体_GBK" w:eastAsia="方正黑体_GBK" w:cs="方正黑体_GBK"/>
          <w:b/>
          <w:bCs/>
          <w:color w:val="auto"/>
          <w:sz w:val="32"/>
          <w:szCs w:val="32"/>
        </w:rPr>
      </w:pPr>
      <w:bookmarkStart w:id="0" w:name="_Toc68364657"/>
    </w:p>
    <w:p>
      <w:pPr>
        <w:pageBreakBefore w:val="0"/>
        <w:kinsoku/>
        <w:wordWrap/>
        <w:topLinePunct w:val="0"/>
        <w:autoSpaceDE/>
        <w:bidi w:val="0"/>
        <w:spacing w:line="560" w:lineRule="exact"/>
        <w:ind w:firstLine="0" w:firstLineChars="0"/>
        <w:rPr>
          <w:rFonts w:hint="eastAsia" w:ascii="方正黑体_GBK" w:hAnsi="方正黑体_GBK" w:eastAsia="方正黑体_GBK" w:cs="方正黑体_GBK"/>
          <w:b/>
          <w:bCs/>
          <w:color w:val="auto"/>
          <w:sz w:val="32"/>
          <w:szCs w:val="32"/>
        </w:rPr>
      </w:pPr>
    </w:p>
    <w:p>
      <w:pPr>
        <w:pageBreakBefore w:val="0"/>
        <w:kinsoku/>
        <w:wordWrap/>
        <w:topLinePunct w:val="0"/>
        <w:autoSpaceDE/>
        <w:bidi w:val="0"/>
        <w:spacing w:line="560" w:lineRule="exact"/>
        <w:ind w:firstLine="640" w:firstLineChars="200"/>
        <w:rPr>
          <w:rFonts w:hint="eastAsia" w:ascii="方正仿宋_GBK" w:hAnsi="方正仿宋_GBK" w:eastAsia="方正仿宋_GBK" w:cs="方正仿宋_GBK"/>
          <w:b/>
          <w:bCs/>
          <w:color w:val="auto"/>
          <w:sz w:val="32"/>
          <w:szCs w:val="32"/>
        </w:rPr>
      </w:pPr>
      <w:r>
        <w:rPr>
          <w:rFonts w:hint="eastAsia" w:ascii="方正黑体_GBK" w:hAnsi="方正黑体_GBK" w:eastAsia="方正黑体_GBK" w:cs="方正黑体_GBK"/>
          <w:b/>
          <w:bCs/>
          <w:color w:val="auto"/>
          <w:sz w:val="32"/>
          <w:szCs w:val="32"/>
        </w:rPr>
        <w:t>一、基本情况</w:t>
      </w:r>
      <w:bookmarkEnd w:id="0"/>
    </w:p>
    <w:p>
      <w:pPr>
        <w:pStyle w:val="38"/>
        <w:pageBreakBefore w:val="0"/>
        <w:kinsoku/>
        <w:wordWrap/>
        <w:topLinePunct w:val="0"/>
        <w:autoSpaceDE/>
        <w:bidi w:val="0"/>
        <w:spacing w:line="560" w:lineRule="exact"/>
        <w:ind w:left="0" w:leftChars="0" w:firstLine="640" w:firstLineChars="200"/>
        <w:rPr>
          <w:rFonts w:hint="eastAsia" w:ascii="方正楷体_GBK" w:hAnsi="方正楷体_GBK" w:eastAsia="方正楷体_GBK" w:cs="方正楷体_GBK"/>
          <w:color w:val="auto"/>
          <w:sz w:val="32"/>
          <w:szCs w:val="32"/>
        </w:rPr>
      </w:pPr>
      <w:bookmarkStart w:id="1" w:name="_Toc68364658"/>
      <w:r>
        <w:rPr>
          <w:rFonts w:hint="eastAsia" w:ascii="方正楷体_GBK" w:hAnsi="方正楷体_GBK" w:eastAsia="方正楷体_GBK" w:cs="方正楷体_GBK"/>
          <w:color w:val="auto"/>
          <w:sz w:val="32"/>
          <w:szCs w:val="32"/>
        </w:rPr>
        <w:t>（一）项目概况</w:t>
      </w:r>
      <w:bookmarkEnd w:id="1"/>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1.项目背景</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kern w:val="2"/>
          <w:sz w:val="32"/>
          <w:szCs w:val="32"/>
        </w:rPr>
        <w:t>本项目根据喀地财教〔202</w:t>
      </w:r>
      <w:r>
        <w:rPr>
          <w:rFonts w:hint="eastAsia" w:ascii="方正仿宋_GBK" w:hAnsi="方正仿宋_GBK" w:eastAsia="方正仿宋_GBK" w:cs="方正仿宋_GBK"/>
          <w:color w:val="auto"/>
          <w:kern w:val="2"/>
          <w:sz w:val="32"/>
          <w:szCs w:val="32"/>
          <w:lang w:val="en-US" w:eastAsia="zh-CN"/>
        </w:rPr>
        <w:t>2</w:t>
      </w:r>
      <w:r>
        <w:rPr>
          <w:rFonts w:hint="eastAsia" w:ascii="方正仿宋_GBK" w:hAnsi="方正仿宋_GBK" w:eastAsia="方正仿宋_GBK" w:cs="方正仿宋_GBK"/>
          <w:color w:val="auto"/>
          <w:kern w:val="2"/>
          <w:sz w:val="32"/>
          <w:szCs w:val="32"/>
        </w:rPr>
        <w:t>〕5号</w:t>
      </w:r>
      <w:r>
        <w:rPr>
          <w:rFonts w:hint="eastAsia" w:ascii="方正仿宋_GBK" w:hAnsi="方正仿宋_GBK" w:eastAsia="方正仿宋_GBK" w:cs="方正仿宋_GBK"/>
          <w:color w:val="auto"/>
          <w:kern w:val="2"/>
          <w:sz w:val="32"/>
          <w:szCs w:val="32"/>
          <w:lang w:eastAsia="zh-CN"/>
        </w:rPr>
        <w:t>、</w:t>
      </w:r>
      <w:r>
        <w:rPr>
          <w:rFonts w:hint="eastAsia" w:ascii="方正仿宋_GBK" w:eastAsia="方正仿宋_GBK"/>
          <w:color w:val="auto"/>
          <w:sz w:val="32"/>
          <w:szCs w:val="32"/>
        </w:rPr>
        <w:t>新财教〔2021〕229号</w:t>
      </w:r>
      <w:r>
        <w:rPr>
          <w:rFonts w:hint="eastAsia" w:ascii="方正仿宋_GBK" w:hAnsi="方正仿宋_GBK" w:eastAsia="方正仿宋_GBK" w:cs="方正仿宋_GBK"/>
          <w:color w:val="auto"/>
          <w:kern w:val="2"/>
          <w:sz w:val="32"/>
          <w:szCs w:val="32"/>
          <w:lang w:eastAsia="zh-CN"/>
        </w:rPr>
        <w:t>，</w:t>
      </w:r>
      <w:r>
        <w:rPr>
          <w:rFonts w:hint="eastAsia" w:ascii="方正仿宋_GBK" w:hAnsi="方正仿宋_GBK" w:eastAsia="方正仿宋_GBK" w:cs="方正仿宋_GBK"/>
          <w:color w:val="auto"/>
          <w:sz w:val="32"/>
          <w:szCs w:val="32"/>
        </w:rPr>
        <w:t>关于提前下达2022年教育非直达资金的通知</w:t>
      </w:r>
      <w:r>
        <w:rPr>
          <w:rFonts w:hint="eastAsia" w:ascii="方正仿宋_GBK" w:hAnsi="方正仿宋_GBK" w:eastAsia="方正仿宋_GBK" w:cs="方正仿宋_GBK"/>
          <w:color w:val="auto"/>
          <w:kern w:val="2"/>
          <w:sz w:val="32"/>
          <w:szCs w:val="32"/>
        </w:rPr>
        <w:t>等</w:t>
      </w:r>
      <w:r>
        <w:rPr>
          <w:rFonts w:hint="eastAsia" w:ascii="方正仿宋_GBK" w:hAnsi="方正仿宋_GBK" w:eastAsia="方正仿宋_GBK" w:cs="方正仿宋_GBK"/>
          <w:color w:val="auto"/>
          <w:sz w:val="32"/>
          <w:szCs w:val="32"/>
        </w:rPr>
        <w:t>相关政策文件与规定，发展职业教育是我国经济社会发展的重要基础和教育工作的战略重点。逐步实施中等职业教育免费政策，是落实科教兴国和人才强国战略，全面提高国民素质，把我国巨大的人口压力转化为人力资源优势的重要途径，是优化教育结构</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促进教育公平和社会公正的有效手段，是推进我国走新型工业化道路，建设社会主义新农村，调整产业结构、促进就业的重大举措，是继全部免除城乡义务教育阶段学生学杂费之后，促进教育公平的一件大事，具有重要的现实意义和深远的历史意义。目前，我国中等职业教育绝大部分人来自农村，其中，相当，部分来自低收入和困难家庭、中等职业</w:t>
      </w:r>
      <w:r>
        <w:rPr>
          <w:rFonts w:hint="eastAsia" w:ascii="方正仿宋_GBK" w:hAnsi="方正仿宋_GBK" w:eastAsia="方正仿宋_GBK" w:cs="方正仿宋_GBK"/>
          <w:color w:val="auto"/>
          <w:sz w:val="32"/>
          <w:szCs w:val="32"/>
          <w:lang w:eastAsia="zh-CN"/>
        </w:rPr>
        <w:t>教</w:t>
      </w:r>
      <w:r>
        <w:rPr>
          <w:rFonts w:hint="eastAsia" w:ascii="方正仿宋_GBK" w:hAnsi="方正仿宋_GBK" w:eastAsia="方正仿宋_GBK" w:cs="方正仿宋_GBK"/>
          <w:color w:val="auto"/>
          <w:sz w:val="32"/>
          <w:szCs w:val="32"/>
        </w:rPr>
        <w:t>育</w:t>
      </w:r>
      <w:r>
        <w:rPr>
          <w:rFonts w:hint="eastAsia" w:ascii="方正仿宋_GBK" w:hAnsi="方正仿宋_GBK" w:eastAsia="方正仿宋_GBK" w:cs="方正仿宋_GBK"/>
          <w:color w:val="auto"/>
          <w:sz w:val="32"/>
          <w:szCs w:val="32"/>
          <w:lang w:eastAsia="zh-CN"/>
        </w:rPr>
        <w:t>生均公用经费项目</w:t>
      </w:r>
      <w:r>
        <w:rPr>
          <w:rFonts w:hint="eastAsia" w:ascii="方正仿宋_GBK" w:hAnsi="方正仿宋_GBK" w:eastAsia="方正仿宋_GBK" w:cs="方正仿宋_GBK"/>
          <w:color w:val="auto"/>
          <w:sz w:val="32"/>
          <w:szCs w:val="32"/>
        </w:rPr>
        <w:t>作先从农村家庭经济困难学生和涉农专业学生做起，对于减轻农民负担改善农村劳动力结构，发展现代农业、发展农村经济具有重要意义。</w:t>
      </w:r>
    </w:p>
    <w:p>
      <w:pPr>
        <w:pStyle w:val="33"/>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rPr>
        <w:t>2.主要内容</w:t>
      </w:r>
      <w:r>
        <w:rPr>
          <w:rFonts w:hint="eastAsia" w:ascii="方正仿宋_GBK" w:hAnsi="方正仿宋_GBK" w:eastAsia="方正仿宋_GBK" w:cs="方正仿宋_GBK"/>
          <w:b/>
          <w:bCs/>
          <w:color w:val="auto"/>
          <w:sz w:val="32"/>
          <w:szCs w:val="32"/>
          <w:lang w:eastAsia="zh-CN"/>
        </w:rPr>
        <w:t>及实施情况</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主要内容：</w:t>
      </w:r>
      <w:r>
        <w:rPr>
          <w:rFonts w:hint="eastAsia" w:ascii="方正仿宋_GBK" w:hAnsi="方正仿宋_GBK" w:eastAsia="方正仿宋_GBK" w:cs="方正仿宋_GBK"/>
          <w:color w:val="auto"/>
          <w:sz w:val="32"/>
          <w:szCs w:val="32"/>
        </w:rPr>
        <w:t>本项目建设主要服务于发展职业教育。中等职业教育各项国家资助按照规定得到落实，教育公平显著提升，满足家庭经济困难学生基本学习生活需要，缓解学生家庭经济困难，助力家庭脱贫</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提升职业教育吸引力。</w:t>
      </w:r>
    </w:p>
    <w:p>
      <w:pPr>
        <w:keepNext w:val="0"/>
        <w:keepLines w:val="0"/>
        <w:pageBreakBefore w:val="0"/>
        <w:widowControl/>
        <w:suppressLineNumbers w:val="0"/>
        <w:kinsoku/>
        <w:wordWrap w:val="0"/>
        <w:overflowPunct/>
        <w:topLinePunct w:val="0"/>
        <w:autoSpaceDE/>
        <w:autoSpaceDN/>
        <w:bidi w:val="0"/>
        <w:adjustRightInd/>
        <w:snapToGrid/>
        <w:spacing w:beforeAutospacing="0" w:line="560" w:lineRule="exact"/>
        <w:jc w:val="left"/>
        <w:textAlignment w:val="auto"/>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实施情况：</w:t>
      </w:r>
      <w:r>
        <w:rPr>
          <w:rFonts w:hint="eastAsia" w:ascii="方正仿宋_GBK" w:hAnsi="方正仿宋_GBK" w:eastAsia="方正仿宋_GBK" w:cs="方正仿宋_GBK"/>
          <w:color w:val="auto"/>
          <w:kern w:val="0"/>
          <w:sz w:val="32"/>
          <w:szCs w:val="32"/>
          <w:lang w:val="en-US" w:eastAsia="zh-CN" w:bidi="ar-SA"/>
        </w:rPr>
        <w:t>伽师县中等职业技术学校公用经费项目实施：伽师县中等职业技术学校公用经费项目资金到位后由伽师县中等职业技术学校核算中心结合在校学生实际情况及国家义务教育学生公用经费实施标准及时将资金费分配至各个义务教育阶段学校，项目资金主要用于保障学校正常开展教育教学，学校结合自身实际情况按照需求采购，伽师县中等职业技术学校采购中心通过学校上报采购需求如果相同物资采购数量较大安排统一招投标，其余资金学校按照实际情况通过政府采购平台自行下单采购，相关业务办公室负责监督项目实施，学校采购完成后及时将项目采购清单及资金支付相关资料报送伽师县中等职业技术学校核算中心审核，审核完成后及时支付。</w:t>
      </w:r>
    </w:p>
    <w:p>
      <w:pPr>
        <w:pStyle w:val="4"/>
        <w:pageBreakBefore w:val="0"/>
        <w:kinsoku/>
        <w:wordWrap/>
        <w:topLinePunct w:val="0"/>
        <w:autoSpaceDE/>
        <w:bidi w:val="0"/>
        <w:spacing w:before="0" w:after="0" w:line="560" w:lineRule="exact"/>
        <w:ind w:firstLine="643"/>
        <w:rPr>
          <w:rFonts w:hint="eastAsia" w:ascii="方正仿宋_GBK" w:hAnsi="方正仿宋_GBK" w:eastAsia="方正仿宋_GBK" w:cs="方正仿宋_GBK"/>
          <w:b/>
          <w:color w:val="auto"/>
          <w:sz w:val="32"/>
          <w:szCs w:val="32"/>
          <w:lang w:eastAsia="zh-CN"/>
        </w:rPr>
      </w:pPr>
      <w:r>
        <w:rPr>
          <w:rFonts w:hint="eastAsia" w:ascii="方正仿宋_GBK" w:hAnsi="方正仿宋_GBK" w:eastAsia="方正仿宋_GBK" w:cs="方正仿宋_GBK"/>
          <w:b/>
          <w:color w:val="auto"/>
          <w:sz w:val="32"/>
          <w:szCs w:val="32"/>
        </w:rPr>
        <w:t>3.</w:t>
      </w:r>
      <w:r>
        <w:rPr>
          <w:rFonts w:hint="eastAsia" w:ascii="方正仿宋_GBK" w:hAnsi="方正仿宋_GBK" w:eastAsia="方正仿宋_GBK" w:cs="方正仿宋_GBK"/>
          <w:b/>
          <w:color w:val="auto"/>
          <w:sz w:val="32"/>
          <w:szCs w:val="32"/>
          <w:lang w:eastAsia="zh-CN"/>
        </w:rPr>
        <w:t>项目</w:t>
      </w:r>
      <w:r>
        <w:rPr>
          <w:rFonts w:hint="eastAsia" w:ascii="方正仿宋_GBK" w:hAnsi="方正仿宋_GBK" w:eastAsia="方正仿宋_GBK" w:cs="方正仿宋_GBK"/>
          <w:b/>
          <w:color w:val="auto"/>
          <w:sz w:val="32"/>
          <w:szCs w:val="32"/>
        </w:rPr>
        <w:t>实施</w:t>
      </w:r>
      <w:r>
        <w:rPr>
          <w:rFonts w:hint="eastAsia" w:ascii="方正仿宋_GBK" w:hAnsi="方正仿宋_GBK" w:eastAsia="方正仿宋_GBK" w:cs="方正仿宋_GBK"/>
          <w:b/>
          <w:color w:val="auto"/>
          <w:sz w:val="32"/>
          <w:szCs w:val="32"/>
          <w:lang w:eastAsia="zh-CN"/>
        </w:rPr>
        <w:t>主体</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实施主体：</w:t>
      </w:r>
      <w:r>
        <w:rPr>
          <w:rFonts w:hint="eastAsia" w:ascii="方正仿宋_GBK" w:hAnsi="方正仿宋_GBK" w:eastAsia="方正仿宋_GBK" w:cs="方正仿宋_GBK"/>
          <w:color w:val="auto"/>
          <w:sz w:val="32"/>
          <w:szCs w:val="32"/>
          <w:highlight w:val="none"/>
        </w:rPr>
        <w:t>伽师县中等职业技术学校</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yellow"/>
          <w:lang w:val="en-US" w:eastAsia="zh-CN"/>
        </w:rPr>
      </w:pPr>
      <w:r>
        <w:rPr>
          <w:rFonts w:hint="eastAsia" w:ascii="方正仿宋_GBK" w:hAnsi="方正仿宋_GBK" w:eastAsia="方正仿宋_GBK" w:cs="方正仿宋_GBK"/>
          <w:b/>
          <w:bCs/>
          <w:color w:val="auto"/>
          <w:sz w:val="32"/>
          <w:szCs w:val="32"/>
          <w:highlight w:val="none"/>
        </w:rPr>
        <w:t>实施时间：</w:t>
      </w:r>
      <w:r>
        <w:rPr>
          <w:rFonts w:hint="eastAsia" w:ascii="方正仿宋_GBK" w:hAnsi="方正仿宋_GBK" w:eastAsia="方正仿宋_GBK" w:cs="方正仿宋_GBK"/>
          <w:color w:val="auto"/>
          <w:sz w:val="32"/>
          <w:szCs w:val="32"/>
          <w:highlight w:val="none"/>
          <w:lang w:val="en-US" w:eastAsia="zh-CN"/>
        </w:rPr>
        <w:t>2022年1月-12月</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kern w:val="0"/>
          <w:sz w:val="32"/>
          <w:szCs w:val="32"/>
          <w:lang w:val="en-US" w:eastAsia="zh-CN" w:bidi="ar-SA"/>
        </w:rPr>
        <w:t>实施主体情况：</w:t>
      </w:r>
      <w:r>
        <w:rPr>
          <w:rFonts w:hint="eastAsia" w:ascii="方正仿宋_GBK" w:hAnsi="方正仿宋_GBK" w:eastAsia="方正仿宋_GBK" w:cs="方正仿宋_GBK"/>
          <w:color w:val="auto"/>
          <w:sz w:val="32"/>
          <w:szCs w:val="32"/>
        </w:rPr>
        <w:t>伽师县中等职业技术学校为事业单位，编制人数1</w:t>
      </w:r>
      <w:r>
        <w:rPr>
          <w:rFonts w:hint="eastAsia" w:ascii="方正仿宋_GBK" w:hAnsi="方正仿宋_GBK" w:eastAsia="方正仿宋_GBK" w:cs="方正仿宋_GBK"/>
          <w:color w:val="auto"/>
          <w:sz w:val="32"/>
          <w:szCs w:val="32"/>
          <w:lang w:val="en-US" w:eastAsia="zh-CN"/>
        </w:rPr>
        <w:t>88</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其中，</w:t>
      </w:r>
      <w:r>
        <w:rPr>
          <w:rFonts w:hint="eastAsia" w:ascii="方正仿宋_GBK" w:hAnsi="方正仿宋_GBK" w:eastAsia="方正仿宋_GBK" w:cs="方正仿宋_GBK"/>
          <w:color w:val="auto"/>
          <w:sz w:val="32"/>
          <w:szCs w:val="32"/>
        </w:rPr>
        <w:t>事业编制12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，其他人员</w:t>
      </w:r>
      <w:r>
        <w:rPr>
          <w:rFonts w:hint="eastAsia" w:ascii="方正仿宋_GBK" w:hAnsi="方正仿宋_GBK" w:eastAsia="方正仿宋_GBK" w:cs="方正仿宋_GBK"/>
          <w:color w:val="auto"/>
          <w:sz w:val="32"/>
          <w:szCs w:val="32"/>
          <w:lang w:val="en-US" w:eastAsia="zh-CN"/>
        </w:rPr>
        <w:t>64人</w:t>
      </w:r>
      <w:r>
        <w:rPr>
          <w:rFonts w:hint="eastAsia" w:ascii="方正仿宋_GBK" w:hAnsi="方正仿宋_GBK" w:eastAsia="方正仿宋_GBK" w:cs="方正仿宋_GBK"/>
          <w:color w:val="auto"/>
          <w:sz w:val="32"/>
          <w:szCs w:val="32"/>
        </w:rPr>
        <w:t>。实有在职人数1</w:t>
      </w:r>
      <w:r>
        <w:rPr>
          <w:rFonts w:hint="eastAsia" w:ascii="方正仿宋_GBK" w:hAnsi="方正仿宋_GBK" w:eastAsia="方正仿宋_GBK" w:cs="方正仿宋_GBK"/>
          <w:color w:val="auto"/>
          <w:sz w:val="32"/>
          <w:szCs w:val="32"/>
          <w:lang w:val="en-US" w:eastAsia="zh-CN"/>
        </w:rPr>
        <w:t>88</w:t>
      </w:r>
      <w:r>
        <w:rPr>
          <w:rFonts w:hint="eastAsia" w:ascii="方正仿宋_GBK" w:hAnsi="方正仿宋_GBK" w:eastAsia="方正仿宋_GBK" w:cs="方正仿宋_GBK"/>
          <w:color w:val="auto"/>
          <w:sz w:val="32"/>
          <w:szCs w:val="32"/>
        </w:rPr>
        <w:t>人，其中：事业在职12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其他人员</w:t>
      </w:r>
      <w:r>
        <w:rPr>
          <w:rFonts w:hint="eastAsia" w:ascii="方正仿宋_GBK" w:hAnsi="方正仿宋_GBK" w:eastAsia="方正仿宋_GBK" w:cs="方正仿宋_GBK"/>
          <w:color w:val="auto"/>
          <w:sz w:val="32"/>
          <w:szCs w:val="32"/>
          <w:lang w:val="en-US" w:eastAsia="zh-CN"/>
        </w:rPr>
        <w:t>64</w:t>
      </w:r>
      <w:r>
        <w:rPr>
          <w:rFonts w:hint="eastAsia" w:ascii="方正仿宋_GBK" w:hAnsi="方正仿宋_GBK" w:eastAsia="方正仿宋_GBK" w:cs="方正仿宋_GBK"/>
          <w:color w:val="auto"/>
          <w:sz w:val="32"/>
          <w:szCs w:val="32"/>
        </w:rPr>
        <w:t>人。退休人员1</w:t>
      </w:r>
      <w:r>
        <w:rPr>
          <w:rFonts w:hint="eastAsia" w:ascii="方正仿宋_GBK" w:hAnsi="方正仿宋_GBK" w:eastAsia="方正仿宋_GBK" w:cs="方正仿宋_GBK"/>
          <w:color w:val="auto"/>
          <w:sz w:val="32"/>
          <w:szCs w:val="32"/>
          <w:lang w:val="en-US" w:eastAsia="zh-CN"/>
        </w:rPr>
        <w:t>8</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4.资金投入和使用情况</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（1）项目资金安排落实、总投入等情况分析</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本项目预算安排总额为</w:t>
      </w:r>
      <w:r>
        <w:rPr>
          <w:rFonts w:hint="eastAsia" w:ascii="方正仿宋_GBK" w:hAnsi="方正仿宋_GBK" w:eastAsia="方正仿宋_GBK" w:cs="方正仿宋_GBK"/>
          <w:color w:val="auto"/>
          <w:sz w:val="32"/>
          <w:szCs w:val="32"/>
          <w:lang w:val="en-US" w:eastAsia="zh-CN"/>
        </w:rPr>
        <w:t>557.40</w:t>
      </w:r>
      <w:r>
        <w:rPr>
          <w:rFonts w:hint="eastAsia" w:ascii="方正仿宋_GBK" w:hAnsi="方正仿宋_GBK" w:eastAsia="方正仿宋_GBK" w:cs="方正仿宋_GBK"/>
          <w:color w:val="auto"/>
          <w:sz w:val="32"/>
          <w:szCs w:val="32"/>
        </w:rPr>
        <w:t>万元，为</w:t>
      </w:r>
      <w:r>
        <w:rPr>
          <w:rFonts w:hint="eastAsia" w:ascii="方正仿宋_GBK" w:hAnsi="方正仿宋_GBK" w:eastAsia="方正仿宋_GBK" w:cs="方正仿宋_GBK"/>
          <w:color w:val="auto"/>
          <w:sz w:val="32"/>
          <w:szCs w:val="32"/>
          <w:lang w:eastAsia="zh-CN"/>
        </w:rPr>
        <w:t>自治区专项</w:t>
      </w:r>
      <w:r>
        <w:rPr>
          <w:rFonts w:hint="eastAsia" w:ascii="方正仿宋_GBK" w:hAnsi="方正仿宋_GBK" w:eastAsia="方正仿宋_GBK" w:cs="方正仿宋_GBK"/>
          <w:color w:val="auto"/>
          <w:sz w:val="32"/>
          <w:szCs w:val="32"/>
        </w:rPr>
        <w:t>资金，2022年实际到位项目资金</w:t>
      </w:r>
      <w:r>
        <w:rPr>
          <w:rFonts w:hint="eastAsia" w:ascii="方正仿宋_GBK" w:hAnsi="方正仿宋_GBK" w:eastAsia="方正仿宋_GBK" w:cs="方正仿宋_GBK"/>
          <w:color w:val="auto"/>
          <w:sz w:val="32"/>
          <w:szCs w:val="32"/>
          <w:lang w:val="en-US" w:eastAsia="zh-CN"/>
        </w:rPr>
        <w:t>557.40</w:t>
      </w:r>
      <w:r>
        <w:rPr>
          <w:rFonts w:hint="eastAsia" w:ascii="方正仿宋_GBK" w:hAnsi="方正仿宋_GBK" w:eastAsia="方正仿宋_GBK" w:cs="方正仿宋_GBK"/>
          <w:color w:val="auto"/>
          <w:sz w:val="32"/>
          <w:szCs w:val="32"/>
        </w:rPr>
        <w:t>万元。</w:t>
      </w:r>
    </w:p>
    <w:p>
      <w:pPr>
        <w:pStyle w:val="38"/>
        <w:pageBreakBefore w:val="0"/>
        <w:kinsoku/>
        <w:wordWrap/>
        <w:topLinePunct w:val="0"/>
        <w:autoSpaceDE/>
        <w:bidi w:val="0"/>
        <w:spacing w:line="560" w:lineRule="exact"/>
        <w:ind w:left="560"/>
        <w:rPr>
          <w:rFonts w:hint="eastAsia" w:ascii="方正仿宋_GBK" w:hAnsi="方正仿宋_GBK" w:eastAsia="方正仿宋_GBK" w:cs="方正仿宋_GBK"/>
          <w:color w:val="auto"/>
          <w:sz w:val="32"/>
          <w:szCs w:val="32"/>
        </w:rPr>
      </w:pPr>
      <w:bookmarkStart w:id="2" w:name="_Toc68364659"/>
      <w:r>
        <w:rPr>
          <w:rFonts w:hint="eastAsia" w:ascii="方正仿宋_GBK" w:hAnsi="方正仿宋_GBK" w:eastAsia="方正仿宋_GBK" w:cs="方正仿宋_GBK"/>
          <w:color w:val="auto"/>
          <w:sz w:val="32"/>
          <w:szCs w:val="32"/>
        </w:rPr>
        <w:t>（2）项目资金实际使用情况分析</w:t>
      </w:r>
    </w:p>
    <w:p>
      <w:pPr>
        <w:pStyle w:val="38"/>
        <w:pageBreakBefore w:val="0"/>
        <w:kinsoku/>
        <w:wordWrap/>
        <w:topLinePunct w:val="0"/>
        <w:autoSpaceDE/>
        <w:bidi w:val="0"/>
        <w:spacing w:line="560" w:lineRule="exact"/>
        <w:ind w:left="0" w:leftChars="0" w:firstLine="640" w:firstLineChars="200"/>
        <w:rPr>
          <w:rFonts w:hint="eastAsia" w:ascii="方正仿宋_GBK" w:hAnsi="方正仿宋_GBK" w:eastAsia="方正仿宋_GBK" w:cs="方正仿宋_GBK"/>
          <w:b w:val="0"/>
          <w:bCs w:val="0"/>
          <w:color w:val="auto"/>
          <w:sz w:val="32"/>
          <w:szCs w:val="32"/>
          <w:lang w:val="en-US" w:eastAsia="zh-CN"/>
        </w:rPr>
      </w:pPr>
      <w:r>
        <w:rPr>
          <w:rFonts w:hint="eastAsia" w:ascii="方正仿宋_GBK" w:hAnsi="方正仿宋_GBK" w:eastAsia="方正仿宋_GBK" w:cs="方正仿宋_GBK"/>
          <w:b w:val="0"/>
          <w:bCs w:val="0"/>
          <w:color w:val="auto"/>
          <w:sz w:val="32"/>
          <w:szCs w:val="32"/>
        </w:rPr>
        <w:t>截至2022年12月31日，本项目实际实际支出</w:t>
      </w:r>
      <w:r>
        <w:rPr>
          <w:rFonts w:hint="eastAsia" w:ascii="方正仿宋_GBK" w:hAnsi="方正仿宋_GBK" w:eastAsia="方正仿宋_GBK" w:cs="方正仿宋_GBK"/>
          <w:b w:val="0"/>
          <w:bCs w:val="0"/>
          <w:color w:val="auto"/>
          <w:sz w:val="32"/>
          <w:szCs w:val="32"/>
          <w:lang w:val="en-US" w:eastAsia="zh-CN"/>
        </w:rPr>
        <w:t>557.27</w:t>
      </w:r>
      <w:r>
        <w:rPr>
          <w:rFonts w:hint="eastAsia" w:ascii="方正仿宋_GBK" w:hAnsi="方正仿宋_GBK" w:eastAsia="方正仿宋_GBK" w:cs="方正仿宋_GBK"/>
          <w:b w:val="0"/>
          <w:bCs w:val="0"/>
          <w:color w:val="auto"/>
          <w:sz w:val="32"/>
          <w:szCs w:val="32"/>
        </w:rPr>
        <w:t>万元，预算执行率</w:t>
      </w:r>
      <w:r>
        <w:rPr>
          <w:rFonts w:hint="eastAsia" w:ascii="方正仿宋_GBK" w:hAnsi="方正仿宋_GBK" w:eastAsia="方正仿宋_GBK" w:cs="方正仿宋_GBK"/>
          <w:b w:val="0"/>
          <w:bCs w:val="0"/>
          <w:color w:val="auto"/>
          <w:sz w:val="32"/>
          <w:szCs w:val="32"/>
          <w:lang w:val="en-US" w:eastAsia="zh-CN"/>
        </w:rPr>
        <w:t>99.98</w:t>
      </w:r>
      <w:r>
        <w:rPr>
          <w:rFonts w:hint="eastAsia" w:ascii="方正仿宋_GBK" w:hAnsi="方正仿宋_GBK" w:eastAsia="方正仿宋_GBK" w:cs="方正仿宋_GBK"/>
          <w:b w:val="0"/>
          <w:bCs w:val="0"/>
          <w:color w:val="auto"/>
          <w:sz w:val="32"/>
          <w:szCs w:val="32"/>
        </w:rPr>
        <w:t>%。本项目资金主要用于支付：</w:t>
      </w:r>
      <w:r>
        <w:rPr>
          <w:rFonts w:hint="eastAsia" w:ascii="方正仿宋_GBK" w:hAnsi="方正仿宋_GBK" w:eastAsia="方正仿宋_GBK" w:cs="方正仿宋_GBK"/>
          <w:b w:val="0"/>
          <w:bCs w:val="0"/>
          <w:color w:val="auto"/>
          <w:sz w:val="32"/>
          <w:szCs w:val="32"/>
          <w:lang w:eastAsia="zh-CN"/>
        </w:rPr>
        <w:t>保障</w:t>
      </w:r>
      <w:r>
        <w:rPr>
          <w:rFonts w:hint="eastAsia" w:ascii="方正仿宋_GBK" w:hAnsi="方正仿宋_GBK" w:eastAsia="方正仿宋_GBK" w:cs="方正仿宋_GBK"/>
          <w:b w:val="0"/>
          <w:bCs w:val="0"/>
          <w:color w:val="auto"/>
          <w:sz w:val="32"/>
          <w:szCs w:val="32"/>
          <w:lang w:val="en-US" w:eastAsia="zh-CN"/>
        </w:rPr>
        <w:t>5177名学生公用经费等方面。</w:t>
      </w:r>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（二）项目绩效目标</w:t>
      </w:r>
      <w:bookmarkEnd w:id="2"/>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项目绩效目标包括项目绩效总目标和阶段性目标。</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1.项目绩效总目标</w:t>
      </w:r>
    </w:p>
    <w:p>
      <w:pPr>
        <w:pStyle w:val="33"/>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根据喀地财教﹝202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﹞5号文件，伽师县</w:t>
      </w:r>
      <w:r>
        <w:rPr>
          <w:rFonts w:hint="eastAsia" w:ascii="方正仿宋_GBK" w:hAnsi="方正仿宋_GBK" w:eastAsia="方正仿宋_GBK" w:cs="方正仿宋_GBK"/>
          <w:color w:val="auto"/>
          <w:sz w:val="32"/>
          <w:szCs w:val="32"/>
          <w:lang w:eastAsia="zh-CN"/>
        </w:rPr>
        <w:t>生均公用经费项目</w:t>
      </w:r>
      <w:r>
        <w:rPr>
          <w:rFonts w:hint="eastAsia" w:ascii="方正仿宋_GBK" w:hAnsi="方正仿宋_GBK" w:eastAsia="方正仿宋_GBK" w:cs="方正仿宋_GBK"/>
          <w:color w:val="auto"/>
          <w:sz w:val="32"/>
          <w:szCs w:val="32"/>
        </w:rPr>
        <w:t>补助项目共计下达资金557.40万元，中等职业教育各项国家资助按照规定得到落实，教育公平显著提升，满足家庭经济困难学生基本学习生活需要，缓解学生家庭经济困难，助力家庭脱贫；提升职业教育吸引力。</w:t>
      </w:r>
    </w:p>
    <w:p>
      <w:pPr>
        <w:pStyle w:val="33"/>
        <w:pageBreakBefore w:val="0"/>
        <w:numPr>
          <w:ilvl w:val="0"/>
          <w:numId w:val="0"/>
        </w:numPr>
        <w:kinsoku/>
        <w:wordWrap/>
        <w:topLinePunct w:val="0"/>
        <w:autoSpaceDE/>
        <w:bidi w:val="0"/>
        <w:spacing w:line="560" w:lineRule="exact"/>
        <w:ind w:firstLine="640" w:firstLineChars="200"/>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rPr>
        <w:t>阶段性目标</w:t>
      </w:r>
      <w:bookmarkStart w:id="3" w:name="_Toc68364660"/>
    </w:p>
    <w:p>
      <w:pPr>
        <w:spacing w:line="560" w:lineRule="exact"/>
        <w:ind w:firstLine="640" w:firstLineChars="200"/>
        <w:rPr>
          <w:rFonts w:eastAsia="仿宋_GB2312"/>
          <w:color w:val="auto"/>
          <w:sz w:val="32"/>
          <w:szCs w:val="32"/>
        </w:rPr>
      </w:pPr>
      <w:r>
        <w:rPr>
          <w:rFonts w:hint="eastAsia" w:ascii="方正仿宋_GBK" w:hAnsi="方正仿宋_GBK" w:eastAsia="方正仿宋_GBK" w:cs="方正仿宋_GBK"/>
          <w:b/>
          <w:bCs/>
          <w:color w:val="auto"/>
          <w:sz w:val="32"/>
          <w:szCs w:val="32"/>
        </w:rPr>
        <w:t>（1）前期准备：</w:t>
      </w:r>
      <w:r>
        <w:rPr>
          <w:rFonts w:eastAsia="仿宋_GB2312"/>
          <w:color w:val="auto"/>
          <w:sz w:val="32"/>
          <w:szCs w:val="32"/>
        </w:rPr>
        <w:t>通过制定</w:t>
      </w:r>
      <w:r>
        <w:rPr>
          <w:rFonts w:hint="eastAsia" w:eastAsia="仿宋_GB2312"/>
          <w:color w:val="auto"/>
          <w:sz w:val="32"/>
          <w:szCs w:val="32"/>
        </w:rPr>
        <w:t>伽师县中职2022年生均公用经费项目</w:t>
      </w:r>
      <w:r>
        <w:rPr>
          <w:rFonts w:eastAsia="仿宋_GB2312"/>
          <w:color w:val="auto"/>
          <w:sz w:val="32"/>
          <w:szCs w:val="32"/>
        </w:rPr>
        <w:t>实施方案，经项目负责人审核通过后，有序开展后续工作。</w:t>
      </w:r>
    </w:p>
    <w:p>
      <w:pPr>
        <w:pStyle w:val="33"/>
        <w:pageBreakBefore w:val="0"/>
        <w:kinsoku/>
        <w:wordWrap/>
        <w:topLinePunct w:val="0"/>
        <w:autoSpaceDE/>
        <w:autoSpaceDN/>
        <w:bidi w:val="0"/>
        <w:spacing w:line="560" w:lineRule="exact"/>
        <w:ind w:firstLine="640"/>
        <w:rPr>
          <w:rFonts w:eastAsia="仿宋_GB2312"/>
          <w:color w:val="auto"/>
          <w:sz w:val="32"/>
          <w:szCs w:val="32"/>
        </w:rPr>
      </w:pPr>
      <w:r>
        <w:rPr>
          <w:rFonts w:hint="eastAsia" w:ascii="方正仿宋_GBK" w:hAnsi="方正仿宋_GBK" w:eastAsia="方正仿宋_GBK" w:cs="方正仿宋_GBK"/>
          <w:b/>
          <w:bCs/>
          <w:color w:val="auto"/>
          <w:sz w:val="32"/>
          <w:szCs w:val="32"/>
        </w:rPr>
        <w:t>（2）组织实施：</w:t>
      </w:r>
      <w:r>
        <w:rPr>
          <w:rFonts w:eastAsia="仿宋_GB2312"/>
          <w:color w:val="auto"/>
          <w:sz w:val="32"/>
          <w:szCs w:val="32"/>
        </w:rPr>
        <w:t>资金一到位，立即根据项目要求实施项目。项目责任人按照项目实施方案要求逐一进行项目部署安排，提高项目质量及效率性。</w:t>
      </w:r>
    </w:p>
    <w:p>
      <w:pPr>
        <w:pStyle w:val="33"/>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3</w:t>
      </w:r>
      <w:r>
        <w:rPr>
          <w:rFonts w:hint="eastAsia" w:ascii="方正仿宋_GBK" w:hAnsi="方正仿宋_GBK" w:eastAsia="方正仿宋_GBK" w:cs="方正仿宋_GBK"/>
          <w:b/>
          <w:bCs/>
          <w:color w:val="auto"/>
          <w:sz w:val="32"/>
          <w:szCs w:val="32"/>
          <w:lang w:eastAsia="zh-CN"/>
        </w:rPr>
        <w:t>）项目投入：</w:t>
      </w:r>
      <w:r>
        <w:rPr>
          <w:rFonts w:hint="eastAsia" w:ascii="方正仿宋_GBK" w:hAnsi="方正仿宋_GBK" w:eastAsia="方正仿宋_GBK" w:cs="方正仿宋_GBK"/>
          <w:color w:val="auto"/>
          <w:sz w:val="32"/>
          <w:szCs w:val="32"/>
          <w:lang w:eastAsia="zh-CN"/>
        </w:rPr>
        <w:t>本项目预算安排总额为</w:t>
      </w:r>
      <w:r>
        <w:rPr>
          <w:rFonts w:hint="eastAsia" w:ascii="方正仿宋_GBK" w:hAnsi="方正仿宋_GBK" w:eastAsia="方正仿宋_GBK" w:cs="方正仿宋_GBK"/>
          <w:color w:val="auto"/>
          <w:sz w:val="32"/>
          <w:szCs w:val="32"/>
          <w:lang w:val="en-US" w:eastAsia="zh-CN"/>
        </w:rPr>
        <w:t>557.40</w:t>
      </w:r>
      <w:r>
        <w:rPr>
          <w:rFonts w:hint="eastAsia" w:ascii="方正仿宋_GBK" w:hAnsi="方正仿宋_GBK" w:eastAsia="方正仿宋_GBK" w:cs="方正仿宋_GBK"/>
          <w:color w:val="auto"/>
          <w:sz w:val="32"/>
          <w:szCs w:val="32"/>
          <w:lang w:eastAsia="zh-CN"/>
        </w:rPr>
        <w:t>万元，为自治区专项资金。</w:t>
      </w:r>
    </w:p>
    <w:p>
      <w:pPr>
        <w:pStyle w:val="33"/>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4</w:t>
      </w:r>
      <w:r>
        <w:rPr>
          <w:rFonts w:hint="eastAsia" w:ascii="方正仿宋_GBK" w:hAnsi="方正仿宋_GBK" w:eastAsia="方正仿宋_GBK" w:cs="方正仿宋_GBK"/>
          <w:b/>
          <w:bCs/>
          <w:color w:val="auto"/>
          <w:sz w:val="32"/>
          <w:szCs w:val="32"/>
          <w:lang w:eastAsia="zh-CN"/>
        </w:rPr>
        <w:t>）项目产出：</w:t>
      </w:r>
      <w:r>
        <w:rPr>
          <w:rFonts w:hint="eastAsia" w:ascii="方正仿宋_GBK" w:hAnsi="方正仿宋_GBK" w:eastAsia="方正仿宋_GBK" w:cs="方正仿宋_GBK"/>
          <w:color w:val="auto"/>
          <w:sz w:val="32"/>
          <w:szCs w:val="32"/>
          <w:lang w:eastAsia="zh-CN"/>
        </w:rPr>
        <w:t>项目计划对符合补助条件的家庭经济困难学生基本学习生活需要，缓解</w:t>
      </w:r>
      <w:r>
        <w:rPr>
          <w:rFonts w:hint="eastAsia" w:ascii="方正仿宋_GBK" w:hAnsi="方正仿宋_GBK" w:eastAsia="方正仿宋_GBK" w:cs="方正仿宋_GBK"/>
          <w:color w:val="auto"/>
          <w:sz w:val="32"/>
          <w:szCs w:val="32"/>
          <w:lang w:val="en-US" w:eastAsia="zh-CN"/>
        </w:rPr>
        <w:t>5177名</w:t>
      </w:r>
      <w:r>
        <w:rPr>
          <w:rFonts w:hint="eastAsia" w:ascii="方正仿宋_GBK" w:hAnsi="方正仿宋_GBK" w:eastAsia="方正仿宋_GBK" w:cs="方正仿宋_GBK"/>
          <w:color w:val="auto"/>
          <w:sz w:val="32"/>
          <w:szCs w:val="32"/>
          <w:lang w:eastAsia="zh-CN"/>
        </w:rPr>
        <w:t>学生家庭经济困难，助力家庭脱贫，提升职业教育吸引力。</w:t>
      </w:r>
    </w:p>
    <w:p>
      <w:pPr>
        <w:pStyle w:val="33"/>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lang w:eastAsia="zh-CN"/>
        </w:rPr>
        <w:t>）项目效果：</w:t>
      </w:r>
      <w:r>
        <w:rPr>
          <w:rFonts w:hint="eastAsia" w:ascii="方正仿宋_GBK" w:hAnsi="方正仿宋_GBK" w:eastAsia="方正仿宋_GBK" w:cs="方正仿宋_GBK"/>
          <w:color w:val="auto"/>
          <w:sz w:val="32"/>
          <w:szCs w:val="32"/>
          <w:lang w:eastAsia="zh-CN"/>
        </w:rPr>
        <w:t>本项目实施后将</w:t>
      </w:r>
      <w:r>
        <w:rPr>
          <w:rFonts w:hint="eastAsia" w:ascii="方正仿宋_GBK" w:hAnsi="方正仿宋_GBK" w:eastAsia="方正仿宋_GBK" w:cs="方正仿宋_GBK"/>
          <w:color w:val="auto"/>
          <w:sz w:val="32"/>
          <w:szCs w:val="32"/>
        </w:rPr>
        <w:t>教育公平显著提升，满足家庭经济困难学生基本学习生活需要，缓解学生家庭经济困难，助力家庭脱贫；提升职业教育吸引力。</w:t>
      </w:r>
    </w:p>
    <w:p>
      <w:pPr>
        <w:keepNext w:val="0"/>
        <w:keepLines w:val="0"/>
        <w:pageBreakBefore w:val="0"/>
        <w:widowControl w:val="0"/>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left="0" w:firstLine="640" w:firstLineChars="200"/>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二、绩效评价工作开展情况</w:t>
      </w:r>
      <w:bookmarkEnd w:id="3"/>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bookmarkStart w:id="4" w:name="_Toc68364661"/>
      <w:r>
        <w:rPr>
          <w:rFonts w:hint="eastAsia" w:ascii="方正楷体_GBK" w:hAnsi="方正楷体_GBK" w:eastAsia="方正楷体_GBK" w:cs="方正楷体_GBK"/>
          <w:color w:val="auto"/>
          <w:sz w:val="32"/>
          <w:szCs w:val="32"/>
        </w:rPr>
        <w:t>（一）绩效评价目的、对象和范围</w:t>
      </w:r>
      <w:bookmarkEnd w:id="4"/>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1.绩效评价目的</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我单位针对伽师县中职2022年生均公用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2.绩效评价对象</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本次绩效评价遵循财政部《项目支出绩效评价管理办法》（财预〔2020〕10号）和自治区财政厅《自治区财政支出绩效评价管理暂行办法》（新财预〔2018〕189号）等相关政策文件与规定，本次评价对象为伽师县</w:t>
      </w:r>
      <w:r>
        <w:rPr>
          <w:rFonts w:hint="eastAsia" w:ascii="方正仿宋_GBK" w:hAnsi="方正仿宋_GBK" w:eastAsia="方正仿宋_GBK" w:cs="方正仿宋_GBK"/>
          <w:color w:val="auto"/>
          <w:sz w:val="32"/>
          <w:szCs w:val="32"/>
          <w:lang w:eastAsia="zh-CN"/>
        </w:rPr>
        <w:t>中职</w:t>
      </w:r>
      <w:r>
        <w:rPr>
          <w:rFonts w:hint="eastAsia" w:ascii="方正仿宋_GBK" w:hAnsi="方正仿宋_GBK" w:eastAsia="方正仿宋_GBK" w:cs="方正仿宋_GBK"/>
          <w:color w:val="auto"/>
          <w:sz w:val="32"/>
          <w:szCs w:val="32"/>
        </w:rPr>
        <w:t>2022</w:t>
      </w:r>
      <w:r>
        <w:rPr>
          <w:rFonts w:hint="eastAsia" w:ascii="方正仿宋_GBK" w:hAnsi="方正仿宋_GBK" w:eastAsia="方正仿宋_GBK" w:cs="方正仿宋_GBK"/>
          <w:color w:val="auto"/>
          <w:sz w:val="32"/>
          <w:szCs w:val="32"/>
          <w:lang w:eastAsia="zh-CN"/>
        </w:rPr>
        <w:t>生均公用经费</w:t>
      </w:r>
      <w:r>
        <w:rPr>
          <w:rFonts w:hint="eastAsia" w:ascii="方正仿宋_GBK" w:hAnsi="方正仿宋_GBK" w:eastAsia="方正仿宋_GBK" w:cs="方正仿宋_GBK"/>
          <w:color w:val="auto"/>
          <w:sz w:val="32"/>
          <w:szCs w:val="32"/>
        </w:rPr>
        <w:t>项目，以项目支出为对象所对应的预算资金，以项目实施所带来的产出和效果为主要内容，以促进预算单位完成特定工作任务目标所组织开展的绩效评价。</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3.绩效评价范围</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本次评价范围涵盖项目总体绩效目标、各项绩效指标完成情况以及预算执行情况。</w:t>
      </w:r>
      <w:bookmarkStart w:id="5" w:name="_Toc68364662"/>
      <w:r>
        <w:rPr>
          <w:rFonts w:hint="eastAsia" w:ascii="方正仿宋_GBK" w:hAnsi="方正仿宋_GBK" w:eastAsia="方正仿宋_GBK" w:cs="方正仿宋_GBK"/>
          <w:color w:val="auto"/>
          <w:sz w:val="32"/>
          <w:szCs w:val="32"/>
        </w:rPr>
        <w:t>覆盖项目预算资金支出的所有内容进行评价。包括项目决策、项目实施和项目成果验收流程等。</w:t>
      </w:r>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（二）绩效评价原则、评价指标体系、评价方法评价标准</w:t>
      </w:r>
      <w:bookmarkEnd w:id="5"/>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1.绩效评价原则</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本次绩效评价遵循的原则包括：</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（1）科学公正。</w:t>
      </w:r>
      <w:r>
        <w:rPr>
          <w:rFonts w:hint="eastAsia" w:ascii="方正仿宋_GBK" w:hAnsi="方正仿宋_GBK" w:eastAsia="方正仿宋_GBK" w:cs="方正仿宋_GBK"/>
          <w:color w:val="auto"/>
          <w:sz w:val="32"/>
          <w:szCs w:val="32"/>
        </w:rPr>
        <w:t>绩效评价应当运用科学合理的方法，按照规范的程序，对项目绩效进行客观、公正的反映。</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（2）统筹兼顾。</w:t>
      </w:r>
      <w:r>
        <w:rPr>
          <w:rFonts w:hint="eastAsia" w:ascii="方正仿宋_GBK" w:hAnsi="方正仿宋_GBK" w:eastAsia="方正仿宋_GBK" w:cs="方正仿宋_GBK"/>
          <w:color w:val="auto"/>
          <w:sz w:val="32"/>
          <w:szCs w:val="32"/>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（3）激励约束。</w:t>
      </w:r>
      <w:r>
        <w:rPr>
          <w:rFonts w:hint="eastAsia" w:ascii="方正仿宋_GBK" w:hAnsi="方正仿宋_GBK" w:eastAsia="方正仿宋_GBK" w:cs="方正仿宋_GBK"/>
          <w:color w:val="auto"/>
          <w:sz w:val="32"/>
          <w:szCs w:val="32"/>
        </w:rPr>
        <w:t>绩效评价结果应与预算安排、政策调整、改进管理实质性挂钩，体现奖优罚劣和激励相容导向，有效要安排、低效要压减、无效要问责。</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（4）公开透明。</w:t>
      </w:r>
      <w:r>
        <w:rPr>
          <w:rFonts w:hint="eastAsia" w:ascii="方正仿宋_GBK" w:hAnsi="方正仿宋_GBK" w:eastAsia="方正仿宋_GBK" w:cs="方正仿宋_GBK"/>
          <w:color w:val="auto"/>
          <w:sz w:val="32"/>
          <w:szCs w:val="32"/>
        </w:rPr>
        <w:t>绩效评价结果应依法依规公开，并自觉接受社会监督。</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2.绩效评价指标体系</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一级指标为：决策、过程、产出、效益。</w:t>
      </w:r>
    </w:p>
    <w:p>
      <w:pPr>
        <w:pStyle w:val="33"/>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二级指标为：项目立项、绩效目标、资金投入、资金管理、组织实施、产出数量、产出质量、产出时效、产出成本、项目效益。</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方正仿宋_GBK" w:hAnsi="方正仿宋_GBK" w:eastAsia="方正仿宋_GBK" w:cs="方正仿宋_GBK"/>
          <w:color w:val="auto"/>
          <w:sz w:val="32"/>
          <w:szCs w:val="32"/>
          <w:lang w:val="en-US" w:eastAsia="zh-CN"/>
        </w:rPr>
        <w:t xml:space="preserve">      </w:t>
      </w:r>
      <w:r>
        <w:rPr>
          <w:rFonts w:hint="eastAsia" w:ascii="方正仿宋_GBK" w:hAnsi="方正仿宋_GBK" w:eastAsia="方正仿宋_GBK" w:cs="方正仿宋_GBK"/>
          <w:b w:val="0"/>
          <w:bCs w:val="0"/>
          <w:color w:val="auto"/>
          <w:sz w:val="32"/>
          <w:szCs w:val="32"/>
        </w:rPr>
        <w:t>3. 绩效评价方法</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b w:val="0"/>
          <w:bCs w:val="0"/>
          <w:color w:val="auto"/>
          <w:sz w:val="32"/>
          <w:szCs w:val="32"/>
        </w:rPr>
        <w:t>我单位根据本项目资金的性质和特点，选用比较法、因素分析法、公众评判法以及文献法对项目进行评价，旨在通过综合分析影响绩效目标实现、实施效果的内外部因素，从而评价本项目绩效。</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b/>
          <w:bCs/>
          <w:color w:val="auto"/>
          <w:sz w:val="32"/>
          <w:szCs w:val="32"/>
        </w:rPr>
        <w:t>项目决策：</w:t>
      </w:r>
      <w:r>
        <w:rPr>
          <w:rFonts w:hint="eastAsia" w:ascii="方正仿宋_GBK" w:hAnsi="方正仿宋_GBK" w:eastAsia="方正仿宋_GBK" w:cs="方正仿宋_GBK"/>
          <w:b w:val="0"/>
          <w:bCs w:val="0"/>
          <w:color w:val="auto"/>
          <w:sz w:val="32"/>
          <w:szCs w:val="32"/>
        </w:rPr>
        <w:t>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Fonts w:hint="eastAsia" w:ascii="方正仿宋_GBK" w:hAnsi="方正仿宋_GBK" w:eastAsia="方正仿宋_GBK" w:cs="方正仿宋_GBK"/>
          <w:b w:val="0"/>
          <w:bCs w:val="0"/>
          <w:color w:val="auto"/>
          <w:sz w:val="32"/>
          <w:szCs w:val="32"/>
        </w:rPr>
        <w:tab/>
      </w:r>
      <w:r>
        <w:rPr>
          <w:rFonts w:hint="eastAsia" w:ascii="方正仿宋_GBK" w:hAnsi="方正仿宋_GBK" w:eastAsia="方正仿宋_GBK" w:cs="方正仿宋_GBK"/>
          <w:b w:val="0"/>
          <w:bCs w:val="0"/>
          <w:color w:val="auto"/>
          <w:sz w:val="32"/>
          <w:szCs w:val="32"/>
        </w:rPr>
        <w:t>分析在产出一定的情况下，成本取值是否有依据，是否经过询价，是否按照市场最低成本编制。⑥资金分配合理性：因素分析法，综合分析资金的分配依据是否充分，分配金额是否与项目实施单位需求金额一致。</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b/>
          <w:bCs/>
          <w:color w:val="auto"/>
          <w:sz w:val="32"/>
          <w:szCs w:val="32"/>
        </w:rPr>
        <w:t>项目过程：</w:t>
      </w:r>
      <w:r>
        <w:rPr>
          <w:rFonts w:hint="eastAsia" w:ascii="方正仿宋_GBK" w:hAnsi="方正仿宋_GBK" w:eastAsia="方正仿宋_GBK" w:cs="方正仿宋_GBK"/>
          <w:b w:val="0"/>
          <w:bCs w:val="0"/>
          <w:color w:val="auto"/>
          <w:sz w:val="32"/>
          <w:szCs w:val="32"/>
        </w:rPr>
        <w:t>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b/>
          <w:bCs/>
          <w:color w:val="auto"/>
          <w:sz w:val="32"/>
          <w:szCs w:val="32"/>
        </w:rPr>
        <w:t>项目产出：</w:t>
      </w:r>
      <w:r>
        <w:rPr>
          <w:rFonts w:hint="eastAsia" w:ascii="方正仿宋_GBK" w:hAnsi="方正仿宋_GBK" w:eastAsia="方正仿宋_GBK" w:cs="方正仿宋_GBK"/>
          <w:b w:val="0"/>
          <w:bCs w:val="0"/>
          <w:color w:val="auto"/>
          <w:sz w:val="32"/>
          <w:szCs w:val="32"/>
        </w:rPr>
        <w:t>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val="0"/>
          <w:bCs w:val="0"/>
          <w:color w:val="auto"/>
          <w:sz w:val="32"/>
          <w:szCs w:val="32"/>
          <w:highlight w:val="none"/>
          <w:lang w:bidi="ar"/>
        </w:rPr>
      </w:pPr>
      <w:r>
        <w:rPr>
          <w:rFonts w:hint="eastAsia" w:ascii="方正仿宋_GBK" w:hAnsi="方正仿宋_GBK" w:eastAsia="方正仿宋_GBK" w:cs="方正仿宋_GBK"/>
          <w:b/>
          <w:bCs/>
          <w:color w:val="auto"/>
          <w:sz w:val="32"/>
          <w:szCs w:val="32"/>
        </w:rPr>
        <w:t>项目效益：</w:t>
      </w:r>
      <w:r>
        <w:rPr>
          <w:rFonts w:hint="eastAsia" w:ascii="方正仿宋_GBK" w:hAnsi="方正仿宋_GBK" w:eastAsia="方正仿宋_GBK" w:cs="方正仿宋_GBK"/>
          <w:b w:val="0"/>
          <w:bCs w:val="0"/>
          <w:color w:val="auto"/>
          <w:sz w:val="32"/>
          <w:szCs w:val="32"/>
        </w:rPr>
        <w:t>公众评判法、实地勘察法，通过实地勘察、问卷及抽样调查等方式评价本项目实施后社会公众或服务对象对项目实施效果的满意程度。</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b/>
          <w:bCs/>
          <w:color w:val="auto"/>
          <w:sz w:val="32"/>
          <w:szCs w:val="32"/>
        </w:rPr>
      </w:pPr>
      <w:bookmarkStart w:id="6" w:name="_Toc68364663"/>
      <w:r>
        <w:rPr>
          <w:rFonts w:hint="eastAsia" w:ascii="方正仿宋_GBK" w:hAnsi="方正仿宋_GBK" w:eastAsia="方正仿宋_GBK" w:cs="方正仿宋_GBK"/>
          <w:b/>
          <w:bCs/>
          <w:color w:val="auto"/>
          <w:sz w:val="32"/>
          <w:szCs w:val="32"/>
        </w:rPr>
        <w:t>4.绩效评价标准</w:t>
      </w:r>
    </w:p>
    <w:p>
      <w:pPr>
        <w:pageBreakBefore w:val="0"/>
        <w:numPr>
          <w:ilvl w:val="0"/>
          <w:numId w:val="0"/>
        </w:numPr>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firstLineChars="200"/>
        <w:contextualSpacing/>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rPr>
        <w:t>绩效评价标准通常包括计划标准、行业标准、历史标准等，用于对绩效指标完成情况进行比较</w:t>
      </w:r>
      <w:r>
        <w:rPr>
          <w:rFonts w:hint="eastAsia" w:ascii="Times New Roman" w:hAnsi="Times New Roman" w:eastAsia="方正仿宋_GBK" w:cs="方正仿宋_GBK"/>
          <w:color w:val="auto"/>
          <w:sz w:val="32"/>
          <w:szCs w:val="32"/>
          <w:highlight w:val="none"/>
          <w:lang w:eastAsia="zh-CN"/>
        </w:rPr>
        <w:t>、分析、评价</w:t>
      </w:r>
      <w:r>
        <w:rPr>
          <w:rFonts w:hint="eastAsia" w:ascii="Times New Roman" w:hAnsi="Times New Roman" w:eastAsia="方正仿宋_GBK" w:cs="方正仿宋_GBK"/>
          <w:color w:val="auto"/>
          <w:sz w:val="32"/>
          <w:szCs w:val="32"/>
          <w:highlight w:val="none"/>
        </w:rPr>
        <w:t>。本次评价主要采用了</w:t>
      </w:r>
      <w:r>
        <w:rPr>
          <w:rFonts w:hint="eastAsia" w:ascii="Times New Roman" w:hAnsi="Times New Roman" w:eastAsia="方正仿宋_GBK" w:cs="方正仿宋_GBK"/>
          <w:color w:val="auto"/>
          <w:sz w:val="32"/>
          <w:szCs w:val="32"/>
          <w:highlight w:val="none"/>
          <w:lang w:val="en-US" w:eastAsia="zh-CN"/>
        </w:rPr>
        <w:t>计划标准</w:t>
      </w:r>
      <w:r>
        <w:rPr>
          <w:rFonts w:hint="eastAsia" w:eastAsia="方正仿宋_GBK" w:cs="方正仿宋_GBK"/>
          <w:color w:val="auto"/>
          <w:sz w:val="32"/>
          <w:szCs w:val="32"/>
          <w:highlight w:val="none"/>
          <w:lang w:val="en-US" w:eastAsia="zh-CN"/>
        </w:rPr>
        <w:t>，以预先制定的目标、计划、预算、定额等作为评价标准，对比分析项目产出、效益的完成情况</w:t>
      </w:r>
      <w:r>
        <w:rPr>
          <w:rFonts w:hint="eastAsia" w:ascii="Times New Roman" w:hAnsi="Times New Roman" w:eastAsia="方正仿宋_GBK" w:cs="方正仿宋_GBK"/>
          <w:color w:val="auto"/>
          <w:sz w:val="32"/>
          <w:szCs w:val="32"/>
          <w:highlight w:val="none"/>
        </w:rPr>
        <w:t>。</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（三）绩效评价工作过程</w:t>
      </w:r>
      <w:bookmarkEnd w:id="6"/>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bookmarkStart w:id="7" w:name="_Toc68364664"/>
      <w:r>
        <w:rPr>
          <w:rFonts w:hint="eastAsia" w:ascii="方正仿宋_GBK" w:hAnsi="方正仿宋_GBK" w:eastAsia="方正仿宋_GBK" w:cs="方正仿宋_GBK"/>
          <w:color w:val="auto"/>
          <w:sz w:val="32"/>
          <w:szCs w:val="32"/>
        </w:rPr>
        <w:t>本次评价设计了评价方案、评价指标体系，通过资料分析、调研、访谈满意度调查等方式形成评价结论，在与项目单位沟通后确定评价意见，并出具评价报告。</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第一阶段：前期准备（2023年1月3日）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认真学习相关要求与规定，成立绩效评价工作组，作为绩效评价工作具体实施机构。成员构成如下：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吾斯满江·塔依尔任评价组组长，绩效评价工作职责为负责全盘工作。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卡地尔江·艾力任评价组副组长，绩效评价工作职责为对项目实施情况进行实地调查。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李艳琴任评价组成员，绩效评价工作职责为负责资料审核等工作。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第二阶段：组织实施（2023年1月3日-1月1</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经评价组通过实地调研、查阅资料等方式，采用综合分析法对项目的决策、管理、绩效进行的综合评价分析。</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第三阶段：分析评价（2023年1月15日-2月1日）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首先按照指标体系进行定量、定性分析。其次开展量化打分、综合评价工作，形成初步评价结论。</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第四阶段：撰写与提交评价报告（2023年2月2日-2月10日）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撰写绩效评价报告，按照新疆维吾尔自治区财政绩效管理信息系统绩效评价模块中统一格式和文本框架撰写绩效评价报告并提交审核。</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最后总结项目整体情况，及时落实问题整改，并形成整改报告，最后将项目相关资料存档。</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黑体_GBK" w:hAnsi="方正黑体_GBK" w:eastAsia="方正黑体_GBK" w:cs="方正黑体_GBK"/>
          <w:b w:val="0"/>
          <w:bCs/>
          <w:color w:val="auto"/>
          <w:sz w:val="32"/>
          <w:szCs w:val="32"/>
        </w:rPr>
      </w:pPr>
      <w:r>
        <w:rPr>
          <w:rFonts w:hint="eastAsia" w:ascii="方正黑体_GBK" w:hAnsi="方正黑体_GBK" w:eastAsia="方正黑体_GBK" w:cs="方正黑体_GBK"/>
          <w:b w:val="0"/>
          <w:bCs/>
          <w:color w:val="auto"/>
          <w:sz w:val="32"/>
          <w:szCs w:val="32"/>
        </w:rPr>
        <w:t>三、综合评价情况及评价结论</w:t>
      </w:r>
      <w:bookmarkEnd w:id="7"/>
    </w:p>
    <w:p>
      <w:pPr>
        <w:pStyle w:val="38"/>
        <w:keepNext w:val="0"/>
        <w:keepLines w:val="0"/>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bookmarkStart w:id="8" w:name="_Toc68364665"/>
      <w:r>
        <w:rPr>
          <w:rFonts w:hint="eastAsia" w:ascii="方正楷体_GBK" w:hAnsi="方正楷体_GBK" w:eastAsia="方正楷体_GBK" w:cs="方正楷体_GBK"/>
          <w:color w:val="auto"/>
          <w:sz w:val="32"/>
          <w:szCs w:val="32"/>
        </w:rPr>
        <w:t>（一）综合评价情况</w:t>
      </w:r>
      <w:bookmarkEnd w:id="8"/>
    </w:p>
    <w:p>
      <w:pPr>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sz w:val="32"/>
          <w:szCs w:val="32"/>
          <w:highlight w:val="none"/>
        </w:rPr>
      </w:pPr>
      <w:bookmarkStart w:id="9" w:name="_Toc68364666"/>
      <w:r>
        <w:rPr>
          <w:rFonts w:hint="eastAsia" w:ascii="Times New Roman" w:hAnsi="Times New Roman" w:eastAsia="方正仿宋_GBK" w:cs="方正仿宋_GBK"/>
          <w:color w:val="auto"/>
          <w:sz w:val="32"/>
          <w:szCs w:val="32"/>
        </w:rPr>
        <w:t>经评价组通过实地调研</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综合分析法</w:t>
      </w:r>
      <w:r>
        <w:rPr>
          <w:rFonts w:hint="eastAsia" w:ascii="Times New Roman" w:hAnsi="Times New Roman" w:eastAsia="方正仿宋_GBK" w:cs="方正仿宋_GBK"/>
          <w:color w:val="auto"/>
          <w:sz w:val="32"/>
          <w:szCs w:val="32"/>
          <w:lang w:eastAsia="zh-CN"/>
        </w:rPr>
        <w:t>、</w:t>
      </w:r>
      <w:r>
        <w:rPr>
          <w:rFonts w:hint="eastAsia" w:ascii="仿宋_GB2312" w:hAnsi="仿宋" w:eastAsia="仿宋_GB2312" w:cs="宋体"/>
          <w:color w:val="auto"/>
          <w:sz w:val="32"/>
          <w:szCs w:val="32"/>
        </w:rPr>
        <w:t>问卷调查法</w:t>
      </w:r>
      <w:r>
        <w:rPr>
          <w:rFonts w:hint="eastAsia" w:ascii="Times New Roman" w:hAnsi="Times New Roman" w:eastAsia="方正仿宋_GBK" w:cs="方正仿宋_GBK"/>
          <w:color w:val="auto"/>
          <w:sz w:val="32"/>
          <w:szCs w:val="32"/>
        </w:rPr>
        <w:t>等方式，</w:t>
      </w:r>
      <w:r>
        <w:rPr>
          <w:rFonts w:hint="eastAsia" w:ascii="Times New Roman" w:hAnsi="Times New Roman" w:eastAsia="方正仿宋_GBK" w:cs="方正仿宋_GBK"/>
          <w:color w:val="auto"/>
          <w:sz w:val="32"/>
          <w:szCs w:val="32"/>
          <w:lang w:val="en-US" w:eastAsia="zh-CN"/>
        </w:rPr>
        <w:t>主要</w:t>
      </w:r>
      <w:r>
        <w:rPr>
          <w:rFonts w:hint="eastAsia" w:ascii="Times New Roman" w:hAnsi="Times New Roman" w:eastAsia="方正仿宋_GBK" w:cs="方正仿宋_GBK"/>
          <w:color w:val="auto"/>
          <w:sz w:val="32"/>
          <w:szCs w:val="32"/>
          <w:highlight w:val="none"/>
        </w:rPr>
        <w:t>采用综合分析法</w:t>
      </w:r>
      <w:r>
        <w:rPr>
          <w:rFonts w:hint="eastAsia" w:ascii="Times New Roman" w:hAnsi="Times New Roman" w:eastAsia="方正仿宋_GBK" w:cs="方正仿宋_GBK"/>
          <w:color w:val="auto"/>
          <w:sz w:val="32"/>
          <w:szCs w:val="32"/>
        </w:rPr>
        <w:t>对项目的决策、实施、产出、效益进行综合评价分析，</w:t>
      </w:r>
      <w:r>
        <w:rPr>
          <w:rFonts w:hint="eastAsia" w:ascii="Times New Roman" w:hAnsi="Times New Roman" w:eastAsia="方正仿宋_GBK" w:cs="方正仿宋_GBK"/>
          <w:color w:val="auto"/>
          <w:sz w:val="32"/>
          <w:szCs w:val="32"/>
          <w:highlight w:val="none"/>
        </w:rPr>
        <w:t>最终评分</w:t>
      </w:r>
      <w:r>
        <w:rPr>
          <w:rFonts w:hint="eastAsia" w:eastAsia="方正仿宋_GBK" w:cs="方正仿宋_GBK"/>
          <w:color w:val="auto"/>
          <w:sz w:val="32"/>
          <w:szCs w:val="32"/>
          <w:highlight w:val="none"/>
          <w:lang w:val="en-US" w:eastAsia="zh-CN"/>
        </w:rPr>
        <w:t>99.72</w:t>
      </w:r>
      <w:r>
        <w:rPr>
          <w:rFonts w:hint="eastAsia" w:ascii="Times New Roman" w:hAnsi="Times New Roman" w:eastAsia="方正仿宋_GBK" w:cs="方正仿宋_GBK"/>
          <w:color w:val="auto"/>
          <w:sz w:val="32"/>
          <w:szCs w:val="32"/>
          <w:highlight w:val="none"/>
        </w:rPr>
        <w:t>分。</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伽师县中职2022年生均公用经费项目总体组织规范，完成了伽师县中职2022年生均公用经费项目的工作目标，有效规范了项目档案资料的整理。</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项目决策方面:</w:t>
      </w:r>
      <w:r>
        <w:rPr>
          <w:rFonts w:hint="eastAsia" w:ascii="方正仿宋_GBK" w:hAnsi="方正仿宋_GBK" w:eastAsia="方正仿宋_GBK" w:cs="方正仿宋_GBK"/>
          <w:color w:val="auto"/>
          <w:sz w:val="32"/>
          <w:szCs w:val="32"/>
          <w:lang w:val="en-US" w:eastAsia="zh-CN"/>
        </w:rPr>
        <w:t xml:space="preserve"> 本项目的立项符合相关法规政策及部门职责，依据充分；项目按照规定的程序申请设立；审批文件、材料符合相关要求；项目前期已经过必要的可行性研究、专家论证、风险评估、绩效评估、集体决策。 </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b/>
          <w:bCs/>
          <w:color w:val="auto"/>
          <w:kern w:val="0"/>
          <w:sz w:val="32"/>
          <w:szCs w:val="32"/>
          <w:lang w:val="en-US" w:eastAsia="zh-CN" w:bidi="ar-SA"/>
        </w:rPr>
        <w:t xml:space="preserve">项目管理方面: </w:t>
      </w:r>
      <w:r>
        <w:rPr>
          <w:rFonts w:hint="eastAsia" w:ascii="方正仿宋_GBK" w:hAnsi="方正仿宋_GBK" w:eastAsia="方正仿宋_GBK" w:cs="方正仿宋_GBK"/>
          <w:color w:val="auto"/>
          <w:kern w:val="0"/>
          <w:sz w:val="32"/>
          <w:szCs w:val="32"/>
          <w:lang w:val="en-US" w:eastAsia="zh-CN" w:bidi="ar-SA"/>
        </w:rPr>
        <w:t>2022年本项目预算安排557.40万元，本项目实际实际支出557.27万元，预算执行率99.98%。项目资金使用合规，项目财务管理制度健全，财务监控到位，所有资金支付均按照国库集中支付制度严格执行，现有项目管理制度执行情况良好。</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项目产出方面：</w:t>
      </w:r>
      <w:r>
        <w:rPr>
          <w:rFonts w:hint="eastAsia" w:ascii="方正仿宋_GBK" w:hAnsi="方正仿宋_GBK" w:eastAsia="方正仿宋_GBK" w:cs="方正仿宋_GBK"/>
          <w:color w:val="auto"/>
          <w:sz w:val="32"/>
          <w:szCs w:val="32"/>
          <w:lang w:val="en-US" w:eastAsia="zh-CN"/>
        </w:rPr>
        <w:t>中等职业教育各项国家资助按照规定得到落实，教育公平显著提升，满足家庭经济困难学生基本学习生活需要，缓解学生家庭经济困难，助力家庭脱贫；提升职业教育吸引力。生均公用经费项目补助项目覆盖2022年在籍学生人数5177人。</w:t>
      </w:r>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项目效益方面：</w:t>
      </w:r>
      <w:r>
        <w:rPr>
          <w:rFonts w:hint="eastAsia" w:ascii="方正仿宋_GBK" w:hAnsi="方正仿宋_GBK" w:eastAsia="方正仿宋_GBK" w:cs="方正仿宋_GBK"/>
          <w:color w:val="auto"/>
          <w:sz w:val="32"/>
          <w:szCs w:val="32"/>
          <w:lang w:val="en-US" w:eastAsia="zh-CN"/>
        </w:rPr>
        <w:t>教育公平显著提升，满足家庭经济困难学生基本学习生活需要，缓解学生家庭经济困难，助力家庭脱贫；提升职业教育吸引力。</w:t>
      </w:r>
    </w:p>
    <w:p>
      <w:pPr>
        <w:pStyle w:val="33"/>
        <w:pageBreakBefore w:val="0"/>
        <w:kinsoku/>
        <w:wordWrap/>
        <w:topLinePunct w:val="0"/>
        <w:autoSpaceDE/>
        <w:bidi w:val="0"/>
        <w:spacing w:line="560" w:lineRule="exact"/>
        <w:ind w:firstLine="64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（二）综合评价结论</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33"/>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lang w:eastAsia="zh-CN"/>
        </w:rPr>
      </w:pPr>
      <w:r>
        <w:rPr>
          <w:rFonts w:hint="eastAsia" w:ascii="方正仿宋简体" w:hAnsi="方正仿宋简体" w:eastAsia="方正仿宋简体" w:cs="方正仿宋简体"/>
          <w:color w:val="auto"/>
          <w:sz w:val="32"/>
          <w:szCs w:val="32"/>
          <w:lang w:eastAsia="zh-CN"/>
        </w:rPr>
        <w:t>已完成</w:t>
      </w:r>
      <w:r>
        <w:rPr>
          <w:rFonts w:hint="eastAsia" w:ascii="方正仿宋简体" w:hAnsi="方正仿宋简体" w:eastAsia="方正仿宋简体" w:cs="方正仿宋简体"/>
          <w:color w:val="auto"/>
          <w:sz w:val="32"/>
          <w:szCs w:val="32"/>
        </w:rPr>
        <w:t>2022年</w:t>
      </w:r>
      <w:r>
        <w:rPr>
          <w:rFonts w:hint="eastAsia" w:ascii="方正仿宋简体" w:hAnsi="方正仿宋简体" w:eastAsia="方正仿宋简体" w:cs="方正仿宋简体"/>
          <w:color w:val="auto"/>
          <w:sz w:val="32"/>
          <w:szCs w:val="32"/>
          <w:lang w:eastAsia="zh-CN"/>
        </w:rPr>
        <w:t>度</w:t>
      </w:r>
      <w:r>
        <w:rPr>
          <w:rFonts w:hint="eastAsia" w:ascii="方正仿宋_GBK" w:hAnsi="方正仿宋_GBK" w:eastAsia="方正仿宋_GBK" w:cs="方正仿宋_GBK"/>
          <w:color w:val="auto"/>
          <w:sz w:val="32"/>
          <w:szCs w:val="32"/>
          <w:lang w:val="en-US" w:eastAsia="zh-CN"/>
        </w:rPr>
        <w:t>生均公用经费支付</w:t>
      </w:r>
      <w:r>
        <w:rPr>
          <w:rFonts w:hint="eastAsia" w:ascii="方正仿宋_GBK" w:hAnsi="方正仿宋_GBK" w:eastAsia="方正仿宋_GBK" w:cs="方正仿宋_GBK"/>
          <w:color w:val="auto"/>
          <w:sz w:val="32"/>
          <w:szCs w:val="32"/>
          <w:lang w:eastAsia="zh-CN"/>
        </w:rPr>
        <w:t>，缓解</w:t>
      </w:r>
      <w:r>
        <w:rPr>
          <w:rFonts w:hint="eastAsia" w:ascii="方正仿宋_GBK" w:hAnsi="方正仿宋_GBK" w:eastAsia="方正仿宋_GBK" w:cs="方正仿宋_GBK"/>
          <w:color w:val="auto"/>
          <w:sz w:val="32"/>
          <w:szCs w:val="32"/>
          <w:lang w:val="en-US" w:eastAsia="zh-CN"/>
        </w:rPr>
        <w:t>5177名</w:t>
      </w:r>
      <w:r>
        <w:rPr>
          <w:rFonts w:hint="eastAsia" w:ascii="方正仿宋_GBK" w:hAnsi="方正仿宋_GBK" w:eastAsia="方正仿宋_GBK" w:cs="方正仿宋_GBK"/>
          <w:color w:val="auto"/>
          <w:sz w:val="32"/>
          <w:szCs w:val="32"/>
          <w:lang w:eastAsia="zh-CN"/>
        </w:rPr>
        <w:t>学生家庭经济困难，助力家庭脱贫；提升职业教育吸引力。</w:t>
      </w:r>
    </w:p>
    <w:p>
      <w:pPr>
        <w:pStyle w:val="4"/>
        <w:pageBreakBefore w:val="0"/>
        <w:kinsoku/>
        <w:wordWrap/>
        <w:topLinePunct w:val="0"/>
        <w:autoSpaceDE/>
        <w:bidi w:val="0"/>
        <w:spacing w:line="560" w:lineRule="exact"/>
        <w:rPr>
          <w:rFonts w:hint="eastAsia" w:ascii="方正仿宋简体" w:hAnsi="方正仿宋简体" w:eastAsia="方正仿宋简体" w:cs="方正仿宋简体"/>
          <w:bCs w:val="0"/>
          <w:color w:val="auto"/>
          <w:kern w:val="0"/>
          <w:sz w:val="32"/>
          <w:szCs w:val="32"/>
          <w:highlight w:val="none"/>
          <w:lang w:val="en-US" w:eastAsia="zh-CN" w:bidi="ar-SA"/>
        </w:rPr>
      </w:pPr>
      <w:r>
        <w:rPr>
          <w:rFonts w:hint="eastAsia" w:ascii="方正仿宋简体" w:hAnsi="方正仿宋简体" w:eastAsia="方正仿宋简体" w:cs="方正仿宋简体"/>
          <w:bCs w:val="0"/>
          <w:color w:val="auto"/>
          <w:kern w:val="0"/>
          <w:sz w:val="32"/>
          <w:szCs w:val="32"/>
          <w:highlight w:val="none"/>
          <w:lang w:val="en-US" w:eastAsia="zh-CN" w:bidi="ar-SA"/>
        </w:rPr>
        <w:t>该项目最终评分99.72分，绩效评级为“优”，具体得分情况为：项目决策20分、项目过程19.82分、项目产出39.98分、项目效益20分。</w:t>
      </w:r>
    </w:p>
    <w:p>
      <w:pPr>
        <w:pStyle w:val="33"/>
        <w:pageBreakBefore w:val="0"/>
        <w:kinsoku/>
        <w:wordWrap/>
        <w:topLinePunct w:val="0"/>
        <w:autoSpaceDE/>
        <w:autoSpaceDN/>
        <w:bidi w:val="0"/>
        <w:spacing w:line="560" w:lineRule="exact"/>
        <w:ind w:left="2238" w:leftChars="228" w:hanging="1600" w:hangingChars="500"/>
        <w:rPr>
          <w:rFonts w:hint="eastAsia" w:ascii="Times New Roman" w:hAnsi="Times New Roman" w:eastAsia="方正仿宋_GBK" w:cs="方正仿宋_GBK"/>
          <w:color w:val="auto"/>
          <w:sz w:val="32"/>
          <w:szCs w:val="32"/>
        </w:rPr>
      </w:pPr>
      <w:r>
        <w:rPr>
          <w:rFonts w:hint="eastAsia" w:ascii="方正仿宋_GBK" w:hAnsi="方正仿宋_GBK" w:eastAsia="方正仿宋_GBK" w:cs="方正仿宋_GBK"/>
          <w:color w:val="auto"/>
          <w:kern w:val="0"/>
          <w:sz w:val="32"/>
          <w:szCs w:val="32"/>
          <w:lang w:eastAsia="zh-CN" w:bidi="en-US"/>
        </w:rPr>
        <w:t>伽师县中职2022年免住宿费补助项目</w:t>
      </w:r>
      <w:r>
        <w:rPr>
          <w:rFonts w:hint="eastAsia" w:ascii="Times New Roman" w:hAnsi="Times New Roman" w:eastAsia="方正仿宋_GBK" w:cs="方正仿宋_GBK"/>
          <w:color w:val="auto"/>
          <w:sz w:val="32"/>
          <w:szCs w:val="32"/>
        </w:rPr>
        <w:t>得分情况表</w:t>
      </w:r>
    </w:p>
    <w:tbl>
      <w:tblPr>
        <w:tblStyle w:val="26"/>
        <w:tblW w:w="8325" w:type="dxa"/>
        <w:jc w:val="center"/>
        <w:tblInd w:w="0" w:type="dxa"/>
        <w:tblLayout w:type="fixed"/>
        <w:tblCellMar>
          <w:top w:w="0" w:type="dxa"/>
          <w:left w:w="0" w:type="dxa"/>
          <w:bottom w:w="0" w:type="dxa"/>
          <w:right w:w="0" w:type="dxa"/>
        </w:tblCellMar>
      </w:tblPr>
      <w:tblGrid>
        <w:gridCol w:w="2317"/>
        <w:gridCol w:w="1840"/>
        <w:gridCol w:w="2083"/>
        <w:gridCol w:w="2085"/>
      </w:tblGrid>
      <w:tr>
        <w:tblPrEx>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一级指标</w:t>
            </w:r>
          </w:p>
        </w:tc>
        <w:tc>
          <w:tcPr>
            <w:tcW w:w="18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权重</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得分率</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实际得分</w:t>
            </w:r>
          </w:p>
        </w:tc>
      </w:tr>
      <w:tr>
        <w:tblPrEx>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项目决策</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项目过程</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eastAsia="方正仿宋_GBK" w:cs="方正仿宋_GBK"/>
                <w:color w:val="auto"/>
                <w:lang w:val="en-US" w:eastAsia="zh-CN"/>
              </w:rPr>
              <w:t>99.1</w:t>
            </w:r>
            <w:r>
              <w:rPr>
                <w:rFonts w:hint="eastAsia" w:ascii="Times New Roman" w:hAnsi="Times New Roman" w:eastAsia="方正仿宋_GBK" w:cs="方正仿宋_GBK"/>
                <w:color w:val="auto"/>
              </w:rPr>
              <w:t>%</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lang w:val="en-US" w:eastAsia="zh-CN"/>
              </w:rPr>
            </w:pPr>
            <w:r>
              <w:rPr>
                <w:rFonts w:hint="eastAsia" w:eastAsia="方正仿宋_GBK" w:cs="方正仿宋_GBK"/>
                <w:color w:val="auto"/>
                <w:lang w:val="en-US" w:eastAsia="zh-CN"/>
              </w:rPr>
              <w:t>19.82</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项目产出</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eastAsia="方正仿宋_GBK" w:cs="方正仿宋_GBK"/>
                <w:color w:val="auto"/>
                <w:lang w:val="en-US" w:eastAsia="zh-CN"/>
              </w:rPr>
              <w:t>99.95</w:t>
            </w:r>
            <w:r>
              <w:rPr>
                <w:rFonts w:hint="eastAsia" w:ascii="Times New Roman" w:hAnsi="Times New Roman" w:eastAsia="方正仿宋_GBK" w:cs="方正仿宋_GBK"/>
                <w:color w:val="auto"/>
              </w:rPr>
              <w:t>%</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lang w:val="en-US" w:eastAsia="zh-CN"/>
              </w:rPr>
            </w:pPr>
            <w:r>
              <w:rPr>
                <w:rFonts w:hint="eastAsia" w:eastAsia="方正仿宋_GBK" w:cs="方正仿宋_GBK"/>
                <w:color w:val="auto"/>
                <w:lang w:val="en-US" w:eastAsia="zh-CN"/>
              </w:rPr>
              <w:t>39.98</w:t>
            </w:r>
          </w:p>
        </w:tc>
      </w:tr>
      <w:tr>
        <w:tblPrEx>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项目效益</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合计</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eastAsia="方正仿宋_GBK" w:cs="方正仿宋_GBK"/>
                <w:color w:val="auto"/>
                <w:lang w:val="en-US" w:eastAsia="zh-CN"/>
              </w:rPr>
              <w:t>99.72</w:t>
            </w:r>
            <w:r>
              <w:rPr>
                <w:rFonts w:hint="eastAsia" w:ascii="Times New Roman" w:hAnsi="Times New Roman" w:eastAsia="方正仿宋_GBK" w:cs="方正仿宋_GBK"/>
                <w:color w:val="auto"/>
              </w:rPr>
              <w:t>%</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lang w:val="en-US" w:eastAsia="zh-CN"/>
              </w:rPr>
            </w:pPr>
            <w:r>
              <w:rPr>
                <w:rFonts w:hint="eastAsia" w:eastAsia="方正仿宋_GBK" w:cs="方正仿宋_GBK"/>
                <w:color w:val="auto"/>
                <w:lang w:val="en-US" w:eastAsia="zh-CN"/>
              </w:rPr>
              <w:t>99.72</w:t>
            </w:r>
          </w:p>
        </w:tc>
      </w:tr>
    </w:tbl>
    <w:p>
      <w:pPr>
        <w:rPr>
          <w:rFonts w:hint="eastAsia"/>
          <w:color w:val="auto"/>
          <w:lang w:val="en-US" w:eastAsia="zh-CN"/>
        </w:rPr>
      </w:pPr>
    </w:p>
    <w:bookmarkEnd w:id="9"/>
    <w:p>
      <w:pPr>
        <w:pStyle w:val="37"/>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bCs w:val="0"/>
          <w:color w:val="auto"/>
          <w:sz w:val="32"/>
          <w:szCs w:val="32"/>
        </w:rPr>
      </w:pPr>
      <w:bookmarkStart w:id="10" w:name="_Toc68364667"/>
      <w:r>
        <w:rPr>
          <w:rFonts w:hint="eastAsia" w:ascii="方正黑体_GBK" w:hAnsi="方正黑体_GBK" w:eastAsia="方正黑体_GBK" w:cs="方正黑体_GBK"/>
          <w:b/>
          <w:bCs w:val="0"/>
          <w:color w:val="auto"/>
          <w:sz w:val="32"/>
          <w:szCs w:val="32"/>
        </w:rPr>
        <w:t>四、绩效评价指标分析</w:t>
      </w:r>
      <w:bookmarkEnd w:id="10"/>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bookmarkStart w:id="11" w:name="_Toc68364668"/>
      <w:r>
        <w:rPr>
          <w:rFonts w:hint="eastAsia" w:ascii="方正楷体_GBK" w:hAnsi="方正楷体_GBK" w:eastAsia="方正楷体_GBK" w:cs="方正楷体_GBK"/>
          <w:color w:val="auto"/>
          <w:sz w:val="32"/>
          <w:szCs w:val="32"/>
        </w:rPr>
        <w:t>（一）项目决策情况</w:t>
      </w:r>
    </w:p>
    <w:p>
      <w:pPr>
        <w:pageBreakBefore w:val="0"/>
        <w:kinsoku/>
        <w:wordWrap/>
        <w:overflowPunct w:val="0"/>
        <w:topLinePunct w:val="0"/>
        <w:autoSpaceDE/>
        <w:bidi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项目决策类指标包括项目立项、绩效目标和资金投入三方面的内容，由6个三级指标构成，权重分为20分，实际得分20分，得分率为100%。</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立项依据充分性：</w:t>
      </w:r>
      <w:r>
        <w:rPr>
          <w:rFonts w:hint="eastAsia" w:ascii="方正仿宋_GBK" w:hAnsi="方正仿宋_GBK" w:eastAsia="方正仿宋_GBK" w:cs="方正仿宋_GBK"/>
          <w:color w:val="auto"/>
          <w:sz w:val="32"/>
          <w:szCs w:val="32"/>
        </w:rPr>
        <w:t>结合《</w:t>
      </w:r>
      <w:r>
        <w:rPr>
          <w:rFonts w:hint="eastAsia" w:ascii="方正仿宋_GBK" w:hAnsi="方正仿宋_GBK" w:eastAsia="方正仿宋_GBK" w:cs="方正仿宋_GBK"/>
          <w:color w:val="auto"/>
          <w:kern w:val="0"/>
          <w:sz w:val="32"/>
          <w:szCs w:val="32"/>
          <w:lang w:bidi="en-US"/>
        </w:rPr>
        <w:t>关于提前下达2022年教育非直达资金的通知</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喀地财教[2022]5号、伽财教[2022]2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号</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并组织实施。围绕伽师县年度工作重点和工作计划制定经费预算，</w:t>
      </w:r>
      <w:r>
        <w:rPr>
          <w:rFonts w:hint="eastAsia" w:ascii="方正仿宋_GBK" w:hAnsi="方正仿宋_GBK" w:eastAsia="方正仿宋_GBK" w:cs="方正仿宋_GBK"/>
          <w:bCs w:val="0"/>
          <w:color w:val="auto"/>
          <w:kern w:val="0"/>
          <w:sz w:val="32"/>
          <w:szCs w:val="32"/>
          <w:highlight w:val="none"/>
          <w:lang w:val="en-US" w:eastAsia="zh-CN" w:bidi="ar-SA"/>
        </w:rPr>
        <w:t>项目立项符合伽师县中等职业技术学校职责范围，属于部门履职所需，项目属于公共财政支持范围，符合中央、地方事权支出责任，项目与相关部门同类项目或部门内部相关项目不重复，</w:t>
      </w:r>
      <w:r>
        <w:rPr>
          <w:rFonts w:hint="eastAsia" w:ascii="方正仿宋_GBK" w:hAnsi="方正仿宋_GBK" w:eastAsia="方正仿宋_GBK" w:cs="方正仿宋_GBK"/>
          <w:color w:val="auto"/>
          <w:sz w:val="32"/>
          <w:szCs w:val="32"/>
        </w:rPr>
        <w:t>根据评分标准，该指标不扣分，得3分。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（2）立项程序规范性：</w:t>
      </w:r>
      <w:r>
        <w:rPr>
          <w:rFonts w:hint="eastAsia" w:ascii="方正仿宋_GBK" w:hAnsi="方正仿宋_GBK" w:eastAsia="方正仿宋_GBK" w:cs="方正仿宋_GBK"/>
          <w:color w:val="auto"/>
          <w:sz w:val="32"/>
          <w:szCs w:val="32"/>
        </w:rPr>
        <w:t>根据决策依据编制工作计划和经费预算，经过与</w:t>
      </w:r>
      <w:r>
        <w:rPr>
          <w:rFonts w:hint="eastAsia" w:ascii="方正仿宋_GBK" w:hAnsi="方正仿宋_GBK" w:eastAsia="方正仿宋_GBK" w:cs="方正仿宋_GBK"/>
          <w:color w:val="auto"/>
          <w:sz w:val="32"/>
          <w:szCs w:val="32"/>
          <w:lang w:eastAsia="zh-CN"/>
        </w:rPr>
        <w:t>相关部门</w:t>
      </w:r>
      <w:r>
        <w:rPr>
          <w:rFonts w:hint="eastAsia" w:ascii="方正仿宋_GBK" w:hAnsi="方正仿宋_GBK" w:eastAsia="方正仿宋_GBK" w:cs="方正仿宋_GBK"/>
          <w:color w:val="auto"/>
          <w:sz w:val="32"/>
          <w:szCs w:val="32"/>
        </w:rPr>
        <w:t>进行沟通、筛选确定经费预算计划，上党委会研究确定最终预算方案，</w:t>
      </w:r>
      <w:r>
        <w:rPr>
          <w:rFonts w:hint="eastAsia" w:ascii="方正仿宋_GBK" w:hAnsi="方正仿宋_GBK" w:eastAsia="方正仿宋_GBK" w:cs="方正仿宋_GBK"/>
          <w:color w:val="auto"/>
          <w:kern w:val="0"/>
          <w:sz w:val="32"/>
          <w:szCs w:val="32"/>
          <w:highlight w:val="none"/>
          <w:lang w:val="en-US" w:eastAsia="zh-CN" w:bidi="ar-SA"/>
        </w:rPr>
        <w:t>严格按照规定的程序申请，项目审批文件、材料，事前已经过必要的可行性研究、专家论证、风险评估、绩效评估、集体决策</w:t>
      </w:r>
      <w:r>
        <w:rPr>
          <w:rFonts w:hint="eastAsia" w:ascii="方正仿宋_GBK" w:hAnsi="方正仿宋_GBK" w:eastAsia="方正仿宋_GBK" w:cs="方正仿宋_GBK"/>
          <w:color w:val="auto"/>
          <w:sz w:val="32"/>
          <w:szCs w:val="32"/>
        </w:rPr>
        <w:t>根据评分标准，该指标不扣分，得2分。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方正仿宋_GBK" w:hAnsi="方正仿宋_GBK" w:eastAsia="方正仿宋_GBK" w:cs="方正仿宋_GBK"/>
          <w:bCs w:val="0"/>
          <w:color w:val="auto"/>
          <w:kern w:val="0"/>
          <w:sz w:val="32"/>
          <w:szCs w:val="32"/>
          <w:highlight w:val="none"/>
          <w:lang w:val="en-US" w:eastAsia="zh-CN" w:bidi="ar-SA"/>
        </w:rPr>
      </w:pPr>
      <w:r>
        <w:rPr>
          <w:rFonts w:hint="eastAsia" w:ascii="方正仿宋_GBK" w:hAnsi="方正仿宋_GBK" w:eastAsia="方正仿宋_GBK" w:cs="方正仿宋_GBK"/>
          <w:b/>
          <w:bCs/>
          <w:color w:val="auto"/>
          <w:sz w:val="32"/>
          <w:szCs w:val="32"/>
        </w:rPr>
        <w:t>（3）绩效目标合理性</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项目严格</w:t>
      </w:r>
      <w:r>
        <w:rPr>
          <w:rFonts w:hint="eastAsia" w:ascii="方正仿宋_GBK" w:hAnsi="方正仿宋_GBK" w:eastAsia="方正仿宋_GBK" w:cs="方正仿宋_GBK"/>
          <w:bCs w:val="0"/>
          <w:color w:val="auto"/>
          <w:kern w:val="0"/>
          <w:sz w:val="32"/>
          <w:szCs w:val="32"/>
          <w:highlight w:val="none"/>
          <w:lang w:val="en-US" w:eastAsia="zh-CN" w:bidi="ar-SA"/>
        </w:rPr>
        <w:t>《2022年自治区分行业分领域绩效指标体系》，</w:t>
      </w:r>
      <w:r>
        <w:rPr>
          <w:rFonts w:hint="eastAsia" w:ascii="方正仿宋_GBK" w:hAnsi="方正仿宋_GBK" w:eastAsia="方正仿宋_GBK" w:cs="方正仿宋_GBK"/>
          <w:color w:val="auto"/>
          <w:sz w:val="30"/>
          <w:szCs w:val="30"/>
        </w:rPr>
        <w:t>《伽师县中职2022年生均公用经费项目</w:t>
      </w:r>
      <w:r>
        <w:rPr>
          <w:rFonts w:hint="eastAsia" w:ascii="方正仿宋_GBK" w:hAnsi="方正仿宋_GBK" w:eastAsia="方正仿宋_GBK" w:cs="方正仿宋_GBK"/>
          <w:color w:val="auto"/>
          <w:sz w:val="30"/>
          <w:szCs w:val="30"/>
          <w:lang w:eastAsia="zh-CN"/>
        </w:rPr>
        <w:t>实施方案</w:t>
      </w:r>
      <w:r>
        <w:rPr>
          <w:rFonts w:hint="eastAsia" w:ascii="方正仿宋_GBK" w:hAnsi="方正仿宋_GBK" w:eastAsia="方正仿宋_GBK" w:cs="方正仿宋_GBK"/>
          <w:color w:val="auto"/>
          <w:sz w:val="30"/>
          <w:szCs w:val="30"/>
        </w:rPr>
        <w:t>》，明确了总体思路及目标、并对任务进行了详细分解，对目标进行了细化，</w:t>
      </w:r>
      <w:r>
        <w:rPr>
          <w:rFonts w:hint="eastAsia" w:ascii="方正仿宋_GBK" w:hAnsi="方正仿宋_GBK" w:eastAsia="方正仿宋_GBK" w:cs="方正仿宋_GBK"/>
          <w:bCs w:val="0"/>
          <w:color w:val="auto"/>
          <w:kern w:val="0"/>
          <w:sz w:val="32"/>
          <w:szCs w:val="32"/>
          <w:highlight w:val="none"/>
          <w:lang w:val="en-US" w:eastAsia="zh-CN" w:bidi="ar-SA"/>
        </w:rPr>
        <w:t>预算确定金额、预算批复的项目投资额都为577.40万元，故绩效目标金额与预算确定的项目投资额或资金量相匹配，得3分。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（4）绩效指标明确性：</w:t>
      </w:r>
      <w:r>
        <w:rPr>
          <w:rFonts w:hint="eastAsia" w:ascii="方正仿宋_GBK" w:hAnsi="方正仿宋_GBK" w:eastAsia="方正仿宋_GBK" w:cs="方正仿宋_GBK"/>
          <w:bCs w:val="0"/>
          <w:color w:val="auto"/>
          <w:kern w:val="0"/>
          <w:sz w:val="32"/>
          <w:szCs w:val="32"/>
          <w:highlight w:val="none"/>
          <w:lang w:val="en-US" w:eastAsia="zh-CN" w:bidi="ar-SA"/>
        </w:rPr>
        <w:t>已</w:t>
      </w:r>
      <w:r>
        <w:rPr>
          <w:rFonts w:hint="eastAsia" w:ascii="方正仿宋_GBK" w:hAnsi="方正仿宋_GBK" w:eastAsia="方正仿宋_GBK" w:cs="方正仿宋_GBK"/>
          <w:color w:val="auto"/>
          <w:sz w:val="32"/>
          <w:szCs w:val="32"/>
        </w:rPr>
        <w:t>将项目绩效目标细化分解为具体的绩效指标，</w:t>
      </w:r>
      <w:r>
        <w:rPr>
          <w:rFonts w:hint="eastAsia" w:ascii="方正仿宋_GBK" w:hAnsi="方正仿宋_GBK" w:eastAsia="方正仿宋_GBK" w:cs="方正仿宋_GBK"/>
          <w:bCs w:val="0"/>
          <w:color w:val="auto"/>
          <w:kern w:val="0"/>
          <w:sz w:val="32"/>
          <w:szCs w:val="32"/>
          <w:highlight w:val="none"/>
          <w:lang w:val="en-US" w:eastAsia="zh-CN" w:bidi="ar-SA"/>
        </w:rPr>
        <w:t>绩效目标通过清晰、可衡量的指标值予以体现，与项目目标任务数或计划数相对应</w:t>
      </w:r>
      <w:r>
        <w:rPr>
          <w:rFonts w:hint="eastAsia" w:ascii="方正仿宋_GBK" w:hAnsi="方正仿宋_GBK" w:eastAsia="方正仿宋_GBK" w:cs="方正仿宋_GBK"/>
          <w:color w:val="auto"/>
          <w:sz w:val="32"/>
          <w:szCs w:val="32"/>
        </w:rPr>
        <w:t>根据评分标准，该指标不扣分，得2分。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（5）预算编制科学性：</w:t>
      </w:r>
      <w:r>
        <w:rPr>
          <w:rFonts w:hint="eastAsia" w:ascii="方正仿宋_GBK" w:hAnsi="方正仿宋_GBK" w:eastAsia="方正仿宋_GBK" w:cs="方正仿宋_GBK"/>
          <w:color w:val="auto"/>
          <w:sz w:val="32"/>
          <w:szCs w:val="32"/>
        </w:rPr>
        <w:t>预算编制经过科学论证，内容与项目内容匹配，</w:t>
      </w:r>
      <w:r>
        <w:rPr>
          <w:rFonts w:hint="eastAsia" w:ascii="方正仿宋_GBK" w:hAnsi="方正仿宋_GBK" w:eastAsia="方正仿宋_GBK" w:cs="方正仿宋_GBK"/>
          <w:bCs w:val="0"/>
          <w:color w:val="auto"/>
          <w:kern w:val="0"/>
          <w:sz w:val="32"/>
          <w:szCs w:val="32"/>
          <w:highlight w:val="none"/>
          <w:lang w:val="en-US" w:eastAsia="zh-CN" w:bidi="ar-SA"/>
        </w:rPr>
        <w:t>预算额度测算依据充分，预算确定的</w:t>
      </w:r>
      <w:r>
        <w:rPr>
          <w:rFonts w:hint="eastAsia" w:ascii="方正仿宋_GBK" w:hAnsi="方正仿宋_GBK" w:eastAsia="方正仿宋_GBK" w:cs="方正仿宋_GBK"/>
          <w:color w:val="auto"/>
          <w:sz w:val="32"/>
          <w:szCs w:val="32"/>
        </w:rPr>
        <w:t>项目投资额与工作任务相匹配，根据评分标准，该指标不扣分，得5分。</w:t>
      </w:r>
    </w:p>
    <w:p>
      <w:pPr>
        <w:pageBreakBefore w:val="0"/>
        <w:kinsoku/>
        <w:wordWrap/>
        <w:topLinePunct w:val="0"/>
        <w:autoSpaceDE/>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（6）资金分配合理性：</w:t>
      </w:r>
      <w:r>
        <w:rPr>
          <w:rFonts w:hint="eastAsia" w:ascii="方正仿宋_GBK" w:hAnsi="方正仿宋_GBK" w:eastAsia="方正仿宋_GBK" w:cs="方正仿宋_GBK"/>
          <w:color w:val="auto"/>
          <w:sz w:val="32"/>
          <w:szCs w:val="32"/>
        </w:rPr>
        <w:t>本项目以《</w:t>
      </w:r>
      <w:r>
        <w:rPr>
          <w:rFonts w:hint="eastAsia" w:ascii="方正仿宋_GBK" w:hAnsi="方正仿宋_GBK" w:eastAsia="方正仿宋_GBK" w:cs="方正仿宋_GBK"/>
          <w:color w:val="auto"/>
          <w:kern w:val="0"/>
          <w:sz w:val="32"/>
          <w:szCs w:val="32"/>
          <w:lang w:bidi="en-US"/>
        </w:rPr>
        <w:t>关于提前下达2022年教育非直达资金的通知</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喀地财教[2022]5号、伽财教[2022]2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号</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文件为依据进行资金分配，资金分配与实际相适应，资金分配额度合理，根据评分标准，该指标不扣分，得5分。</w:t>
      </w:r>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（二）项目过程情况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项目过程类指标包括资金管理和组织实施两方面的内容，由5个三级指标构成，权重分为20分，实际得分</w:t>
      </w:r>
      <w:r>
        <w:rPr>
          <w:rFonts w:hint="eastAsia" w:ascii="方正仿宋_GBK" w:hAnsi="方正仿宋_GBK" w:eastAsia="方正仿宋_GBK" w:cs="方正仿宋_GBK"/>
          <w:color w:val="auto"/>
          <w:sz w:val="32"/>
          <w:szCs w:val="32"/>
          <w:lang w:val="en-US" w:eastAsia="zh-CN"/>
        </w:rPr>
        <w:t>19.82</w:t>
      </w:r>
      <w:r>
        <w:rPr>
          <w:rFonts w:hint="eastAsia" w:ascii="方正仿宋_GBK" w:hAnsi="方正仿宋_GBK" w:eastAsia="方正仿宋_GBK" w:cs="方正仿宋_GBK"/>
          <w:color w:val="auto"/>
          <w:sz w:val="32"/>
          <w:szCs w:val="32"/>
        </w:rPr>
        <w:t>分，得分率为100%。</w:t>
      </w:r>
    </w:p>
    <w:p>
      <w:pPr>
        <w:pageBreakBefore w:val="0"/>
        <w:kinsoku/>
        <w:wordWrap/>
        <w:topLinePunct w:val="0"/>
        <w:autoSpaceDE/>
        <w:bidi w:val="0"/>
        <w:spacing w:line="560" w:lineRule="exact"/>
        <w:ind w:firstLine="643"/>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rPr>
        <w:t>（1）资金到位率：</w:t>
      </w:r>
      <w:r>
        <w:rPr>
          <w:rFonts w:hint="eastAsia" w:ascii="方正仿宋_GBK" w:hAnsi="方正仿宋_GBK" w:eastAsia="方正仿宋_GBK" w:cs="方正仿宋_GBK"/>
          <w:b w:val="0"/>
          <w:bCs w:val="0"/>
          <w:color w:val="auto"/>
          <w:sz w:val="32"/>
          <w:szCs w:val="32"/>
        </w:rPr>
        <w:t>本项目预算安排总额为</w:t>
      </w:r>
      <w:r>
        <w:rPr>
          <w:rFonts w:hint="eastAsia" w:ascii="方正仿宋_GBK" w:hAnsi="方正仿宋_GBK" w:eastAsia="方正仿宋_GBK" w:cs="方正仿宋_GBK"/>
          <w:b w:val="0"/>
          <w:bCs w:val="0"/>
          <w:color w:val="auto"/>
          <w:sz w:val="32"/>
          <w:szCs w:val="32"/>
          <w:lang w:val="en-US" w:eastAsia="zh-CN"/>
        </w:rPr>
        <w:t>577.40</w:t>
      </w:r>
      <w:r>
        <w:rPr>
          <w:rFonts w:hint="eastAsia" w:ascii="方正仿宋_GBK" w:hAnsi="方正仿宋_GBK" w:eastAsia="方正仿宋_GBK" w:cs="方正仿宋_GBK"/>
          <w:b w:val="0"/>
          <w:bCs w:val="0"/>
          <w:color w:val="auto"/>
          <w:sz w:val="32"/>
          <w:szCs w:val="32"/>
        </w:rPr>
        <w:t>万元，实际到位</w:t>
      </w:r>
      <w:r>
        <w:rPr>
          <w:rFonts w:hint="eastAsia" w:ascii="方正仿宋_GBK" w:hAnsi="方正仿宋_GBK" w:eastAsia="方正仿宋_GBK" w:cs="方正仿宋_GBK"/>
          <w:b w:val="0"/>
          <w:bCs w:val="0"/>
          <w:color w:val="auto"/>
          <w:sz w:val="32"/>
          <w:szCs w:val="32"/>
          <w:lang w:val="en-US" w:eastAsia="zh-CN"/>
        </w:rPr>
        <w:t>577.40</w:t>
      </w:r>
      <w:r>
        <w:rPr>
          <w:rFonts w:hint="eastAsia" w:ascii="方正仿宋_GBK" w:hAnsi="方正仿宋_GBK" w:eastAsia="方正仿宋_GBK" w:cs="方正仿宋_GBK"/>
          <w:b w:val="0"/>
          <w:bCs w:val="0"/>
          <w:color w:val="auto"/>
          <w:sz w:val="32"/>
          <w:szCs w:val="32"/>
        </w:rPr>
        <w:t>万元，资金到位率100%。</w:t>
      </w:r>
      <w:r>
        <w:rPr>
          <w:rFonts w:hint="eastAsia" w:ascii="方正仿宋_GBK" w:hAnsi="方正仿宋_GBK" w:eastAsia="方正仿宋_GBK" w:cs="方正仿宋_GBK"/>
          <w:bCs w:val="0"/>
          <w:color w:val="auto"/>
          <w:kern w:val="0"/>
          <w:sz w:val="32"/>
          <w:szCs w:val="32"/>
          <w:highlight w:val="none"/>
          <w:lang w:val="en-US" w:eastAsia="zh-CN" w:bidi="ar-SA"/>
        </w:rPr>
        <w:t>资金到位率=（实际到位资金/预算资金）×100%=（577.40万元/577.40万元）×100%=100%，</w:t>
      </w:r>
      <w:r>
        <w:rPr>
          <w:rFonts w:hint="eastAsia" w:ascii="方正仿宋_GBK" w:hAnsi="方正仿宋_GBK" w:eastAsia="方正仿宋_GBK" w:cs="方正仿宋_GBK"/>
          <w:color w:val="auto"/>
          <w:sz w:val="32"/>
          <w:szCs w:val="32"/>
        </w:rPr>
        <w:t>财政资金足额拨付到位，能够及时足额按照合同约定将专项资金拨付给联合体单位，根据评分标准，该指标不扣分，得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rPr>
        <w:t>（2）预算执行率：</w:t>
      </w:r>
      <w:r>
        <w:rPr>
          <w:rFonts w:hint="eastAsia" w:ascii="方正仿宋_GBK" w:hAnsi="方正仿宋_GBK" w:eastAsia="方正仿宋_GBK" w:cs="方正仿宋_GBK"/>
          <w:color w:val="auto"/>
          <w:sz w:val="32"/>
          <w:szCs w:val="32"/>
        </w:rPr>
        <w:t>本项目预算安排总额为</w:t>
      </w:r>
      <w:r>
        <w:rPr>
          <w:rFonts w:hint="eastAsia" w:ascii="方正仿宋_GBK" w:hAnsi="方正仿宋_GBK" w:eastAsia="方正仿宋_GBK" w:cs="方正仿宋_GBK"/>
          <w:color w:val="auto"/>
          <w:sz w:val="32"/>
          <w:szCs w:val="32"/>
          <w:lang w:val="en-US" w:eastAsia="zh-CN"/>
        </w:rPr>
        <w:t>577.40</w:t>
      </w:r>
      <w:r>
        <w:rPr>
          <w:rFonts w:hint="eastAsia" w:ascii="方正仿宋_GBK" w:hAnsi="方正仿宋_GBK" w:eastAsia="方正仿宋_GBK" w:cs="方正仿宋_GBK"/>
          <w:color w:val="auto"/>
          <w:sz w:val="32"/>
          <w:szCs w:val="32"/>
        </w:rPr>
        <w:t>万元，实际执行</w:t>
      </w:r>
      <w:r>
        <w:rPr>
          <w:rFonts w:hint="eastAsia" w:ascii="方正仿宋_GBK" w:hAnsi="方正仿宋_GBK" w:eastAsia="方正仿宋_GBK" w:cs="方正仿宋_GBK"/>
          <w:color w:val="auto"/>
          <w:sz w:val="32"/>
          <w:szCs w:val="32"/>
          <w:lang w:val="en-US" w:eastAsia="zh-CN"/>
        </w:rPr>
        <w:t>557.27</w:t>
      </w:r>
      <w:r>
        <w:rPr>
          <w:rFonts w:hint="eastAsia" w:ascii="方正仿宋_GBK" w:hAnsi="方正仿宋_GBK" w:eastAsia="方正仿宋_GBK" w:cs="方正仿宋_GBK"/>
          <w:color w:val="auto"/>
          <w:sz w:val="32"/>
          <w:szCs w:val="32"/>
        </w:rPr>
        <w:t>万元，资金执行率</w:t>
      </w:r>
      <w:r>
        <w:rPr>
          <w:rFonts w:hint="eastAsia" w:ascii="方正仿宋_GBK" w:hAnsi="方正仿宋_GBK" w:eastAsia="方正仿宋_GBK" w:cs="方正仿宋_GBK"/>
          <w:color w:val="auto"/>
          <w:sz w:val="32"/>
          <w:szCs w:val="32"/>
          <w:lang w:val="en-US" w:eastAsia="zh-CN"/>
        </w:rPr>
        <w:t>99.98</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bCs w:val="0"/>
          <w:color w:val="auto"/>
          <w:kern w:val="0"/>
          <w:sz w:val="32"/>
          <w:szCs w:val="32"/>
          <w:highlight w:val="none"/>
          <w:lang w:val="en-US" w:eastAsia="zh-CN" w:bidi="ar-SA"/>
        </w:rPr>
        <w:t>预算执行率=（实际支出资金/实际到位资金）×100%=（557.27万元/577.40万元）×100%=99.98%，</w:t>
      </w:r>
      <w:r>
        <w:rPr>
          <w:rFonts w:hint="eastAsia" w:ascii="方正仿宋_GBK" w:hAnsi="方正仿宋_GBK" w:eastAsia="方正仿宋_GBK" w:cs="方正仿宋_GBK"/>
          <w:color w:val="auto"/>
          <w:sz w:val="32"/>
          <w:szCs w:val="32"/>
        </w:rPr>
        <w:t>预算编制较为详细，项目资金</w:t>
      </w:r>
      <w:r>
        <w:rPr>
          <w:rFonts w:hint="eastAsia" w:ascii="方正仿宋_GBK" w:hAnsi="方正仿宋_GBK" w:eastAsia="方正仿宋_GBK" w:cs="方正仿宋_GBK"/>
          <w:color w:val="auto"/>
          <w:sz w:val="32"/>
          <w:szCs w:val="32"/>
          <w:highlight w:val="none"/>
        </w:rPr>
        <w:t>支出总体能够按照预算执行，根据评分标准，该指标扣分，得</w:t>
      </w:r>
      <w:r>
        <w:rPr>
          <w:rFonts w:hint="eastAsia" w:ascii="方正仿宋_GBK" w:hAnsi="方正仿宋_GBK" w:eastAsia="方正仿宋_GBK" w:cs="方正仿宋_GBK"/>
          <w:color w:val="auto"/>
          <w:sz w:val="32"/>
          <w:szCs w:val="32"/>
          <w:highlight w:val="none"/>
          <w:lang w:val="en-US" w:eastAsia="zh-CN"/>
        </w:rPr>
        <w:t>4.82</w:t>
      </w:r>
      <w:r>
        <w:rPr>
          <w:rFonts w:hint="eastAsia" w:ascii="方正仿宋_GBK" w:hAnsi="方正仿宋_GBK" w:eastAsia="方正仿宋_GBK" w:cs="方正仿宋_GBK"/>
          <w:color w:val="auto"/>
          <w:sz w:val="32"/>
          <w:szCs w:val="32"/>
          <w:highlight w:val="none"/>
        </w:rPr>
        <w:t>分。</w:t>
      </w:r>
    </w:p>
    <w:p>
      <w:pPr>
        <w:pStyle w:val="33"/>
        <w:pageBreakBefore w:val="0"/>
        <w:numPr>
          <w:ilvl w:val="0"/>
          <w:numId w:val="0"/>
        </w:numPr>
        <w:kinsoku/>
        <w:wordWrap/>
        <w:topLinePunct w:val="0"/>
        <w:autoSpaceDE/>
        <w:autoSpaceDN/>
        <w:bidi w:val="0"/>
        <w:adjustRightInd/>
        <w:snapToGrid/>
        <w:spacing w:line="570" w:lineRule="exact"/>
        <w:ind w:firstLine="640" w:firstLineChars="200"/>
        <w:rPr>
          <w:rFonts w:hint="eastAsia" w:ascii="方正仿宋_GBK" w:hAnsi="方正仿宋_GBK" w:eastAsia="方正仿宋_GBK" w:cs="方正仿宋_GBK"/>
          <w:b w:val="0"/>
          <w:bCs w:val="0"/>
          <w:color w:val="auto"/>
          <w:sz w:val="32"/>
          <w:szCs w:val="32"/>
          <w:highlight w:val="none"/>
        </w:rPr>
      </w:pPr>
      <w:r>
        <w:rPr>
          <w:rFonts w:hint="eastAsia" w:ascii="方正仿宋_GBK" w:hAnsi="方正仿宋_GBK" w:eastAsia="方正仿宋_GBK" w:cs="方正仿宋_GBK"/>
          <w:b/>
          <w:bCs/>
          <w:color w:val="auto"/>
          <w:sz w:val="32"/>
          <w:szCs w:val="32"/>
        </w:rPr>
        <w:t>（3）资金使用合规性：</w:t>
      </w:r>
      <w:r>
        <w:rPr>
          <w:rFonts w:hint="eastAsia" w:ascii="方正仿宋_GBK" w:hAnsi="方正仿宋_GBK" w:eastAsia="方正仿宋_GBK" w:cs="方正仿宋_GBK"/>
          <w:color w:val="auto"/>
          <w:sz w:val="32"/>
          <w:szCs w:val="32"/>
          <w:highlight w:val="none"/>
        </w:rPr>
        <w:t>经查证项目的支付凭证，项目资金的使用</w:t>
      </w:r>
      <w:r>
        <w:rPr>
          <w:rFonts w:hint="eastAsia" w:ascii="方正仿宋_GBK" w:hAnsi="方正仿宋_GBK" w:eastAsia="方正仿宋_GBK" w:cs="方正仿宋_GBK"/>
          <w:color w:val="auto"/>
          <w:sz w:val="32"/>
          <w:szCs w:val="32"/>
          <w:highlight w:val="none"/>
          <w:lang w:eastAsia="zh-CN"/>
        </w:rPr>
        <w:t>做到《伽师县中等职业技术学校单位管理制度》“专款专用的使用要求”，资金的拨付有较为完整的审批程序和手续，经查证项目合同文件、支付凭证等资料，项目资金使用符合项目预算批复和合同规定的用途，</w:t>
      </w:r>
      <w:r>
        <w:rPr>
          <w:rFonts w:hint="eastAsia" w:ascii="方正仿宋_GBK" w:hAnsi="方正仿宋_GBK" w:eastAsia="方正仿宋_GBK" w:cs="方正仿宋_GBK"/>
          <w:b w:val="0"/>
          <w:bCs w:val="0"/>
          <w:color w:val="auto"/>
          <w:sz w:val="32"/>
          <w:szCs w:val="32"/>
          <w:highlight w:val="none"/>
        </w:rPr>
        <w:t>经查证，项目资金使用不存在截留、挤占、挪用、虚列支出等情况。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资金支出符合财务管理制度规定，根据评分标准，该指标不扣分，得5分。</w:t>
      </w:r>
    </w:p>
    <w:p>
      <w:pPr>
        <w:pStyle w:val="33"/>
        <w:pageBreakBefore w:val="0"/>
        <w:numPr>
          <w:ilvl w:val="0"/>
          <w:numId w:val="0"/>
        </w:numPr>
        <w:kinsoku/>
        <w:wordWrap/>
        <w:topLinePunct w:val="0"/>
        <w:autoSpaceDE/>
        <w:autoSpaceDN/>
        <w:bidi w:val="0"/>
        <w:adjustRightInd/>
        <w:snapToGrid/>
        <w:spacing w:line="57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b/>
          <w:bCs/>
          <w:color w:val="auto"/>
          <w:sz w:val="32"/>
          <w:szCs w:val="32"/>
        </w:rPr>
        <w:t>（4）管理制度健全性：</w:t>
      </w:r>
      <w:r>
        <w:rPr>
          <w:rFonts w:hint="eastAsia" w:ascii="方正仿宋_GBK" w:hAnsi="方正仿宋_GBK" w:eastAsia="方正仿宋_GBK" w:cs="方正仿宋_GBK"/>
          <w:color w:val="auto"/>
          <w:sz w:val="32"/>
          <w:szCs w:val="32"/>
          <w:lang w:eastAsia="zh-CN"/>
        </w:rPr>
        <w:t>我单位制定了</w:t>
      </w:r>
      <w:r>
        <w:rPr>
          <w:rFonts w:hint="eastAsia" w:ascii="方正仿宋_GBK" w:hAnsi="方正仿宋_GBK" w:eastAsia="方正仿宋_GBK" w:cs="方正仿宋_GBK"/>
          <w:color w:val="auto"/>
          <w:sz w:val="32"/>
          <w:szCs w:val="32"/>
          <w:highlight w:val="none"/>
          <w:lang w:eastAsia="zh-CN"/>
        </w:rPr>
        <w:t>《伽师县中等职业技术学校部门单位预算绩效管理工作实施办法》，</w:t>
      </w:r>
      <w:r>
        <w:rPr>
          <w:rFonts w:hint="eastAsia" w:ascii="方正仿宋_GBK" w:hAnsi="方正仿宋_GBK" w:eastAsia="方正仿宋_GBK" w:cs="方正仿宋_GBK"/>
          <w:color w:val="auto"/>
          <w:sz w:val="32"/>
          <w:szCs w:val="32"/>
          <w:lang w:eastAsia="zh-CN"/>
        </w:rPr>
        <w:t>《伽师县中等职业技术学校财务管理制度》等健全完整的项目管理制度，资金管理办法，</w:t>
      </w:r>
      <w:r>
        <w:rPr>
          <w:rFonts w:hint="eastAsia" w:ascii="方正仿宋_GBK" w:hAnsi="方正仿宋_GBK" w:eastAsia="方正仿宋_GBK" w:cs="方正仿宋_GBK"/>
          <w:color w:val="auto"/>
          <w:sz w:val="32"/>
          <w:szCs w:val="32"/>
          <w:highlight w:val="none"/>
          <w:lang w:eastAsia="zh-CN"/>
        </w:rPr>
        <w:t>相关制度的制定依据《中华人民共和国会计法》、《基本建设财务规则》（财政部令第81号）、《中华人民共和国预算法》、《事业单位财务规则》、《会计基础工作规范》等国家法律法规文件，符合行政事业单位内控管理要求，财务和业务管理制度合法、合规、完整。</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highlight w:val="none"/>
          <w:lang w:eastAsia="zh-CN"/>
        </w:rPr>
        <w:t>综上，该指标满分</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eastAsia="zh-CN"/>
        </w:rPr>
        <w:t>分，根据评分标准得</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eastAsia="zh-CN"/>
        </w:rPr>
        <w:t>分。</w:t>
      </w:r>
    </w:p>
    <w:p>
      <w:pPr>
        <w:pStyle w:val="33"/>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rPr>
        <w:t>（5）制度执行有效性</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由部门提出经费预算支出伽师县中职2022年生均公用经费项目实施方案，经过与相关部门沟通后，报党支部会议研究执行，财务对资金的使用合法合规性进行监督，年底对资金使用效果进行自评，为加强对伽师县中职2022年生均公用经费项目的组织领导，确保项目保质保量的按照相关规定及程序完成，成立项目领导小组，具体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吾斯满江·塔依尔任组长，负责全盘工作。</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卡地尔江·艾力任副组长，对项目实施情况进行实地调查。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李艳琴为</w:t>
      </w:r>
      <w:r>
        <w:rPr>
          <w:rFonts w:hint="eastAsia" w:ascii="方正仿宋_GBK" w:hAnsi="方正仿宋_GBK" w:eastAsia="方正仿宋_GBK" w:cs="方正仿宋_GBK"/>
          <w:color w:val="auto"/>
          <w:sz w:val="32"/>
          <w:szCs w:val="32"/>
        </w:rPr>
        <w:t>组员，负责资料审核等工作。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根据评分标准，该指标不扣分，得3分。</w:t>
      </w:r>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（三）项目产出情况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项目产出类指标包括产出数量、产出质量、产出时效、产出成本四方面的内容，由</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个三级指标构成，权重分为</w:t>
      </w:r>
      <w:r>
        <w:rPr>
          <w:rFonts w:hint="eastAsia" w:ascii="方正仿宋_GBK" w:hAnsi="方正仿宋_GBK" w:eastAsia="方正仿宋_GBK" w:cs="方正仿宋_GBK"/>
          <w:color w:val="auto"/>
          <w:sz w:val="32"/>
          <w:szCs w:val="32"/>
          <w:lang w:val="en-US" w:eastAsia="zh-CN"/>
        </w:rPr>
        <w:t>40</w:t>
      </w:r>
      <w:r>
        <w:rPr>
          <w:rFonts w:hint="eastAsia" w:ascii="方正仿宋_GBK" w:hAnsi="方正仿宋_GBK" w:eastAsia="方正仿宋_GBK" w:cs="方正仿宋_GBK"/>
          <w:color w:val="auto"/>
          <w:sz w:val="32"/>
          <w:szCs w:val="32"/>
        </w:rPr>
        <w:t>分，实际得分</w:t>
      </w:r>
      <w:r>
        <w:rPr>
          <w:rFonts w:hint="eastAsia" w:ascii="方正仿宋_GBK" w:hAnsi="方正仿宋_GBK" w:eastAsia="方正仿宋_GBK" w:cs="方正仿宋_GBK"/>
          <w:color w:val="auto"/>
          <w:sz w:val="32"/>
          <w:szCs w:val="32"/>
          <w:lang w:val="en-US" w:eastAsia="zh-CN"/>
        </w:rPr>
        <w:t>39.99</w:t>
      </w:r>
      <w:r>
        <w:rPr>
          <w:rFonts w:hint="eastAsia" w:ascii="方正仿宋_GBK" w:hAnsi="方正仿宋_GBK" w:eastAsia="方正仿宋_GBK" w:cs="方正仿宋_GBK"/>
          <w:color w:val="auto"/>
          <w:sz w:val="32"/>
          <w:szCs w:val="32"/>
        </w:rPr>
        <w:t>分，得分率为</w:t>
      </w:r>
      <w:r>
        <w:rPr>
          <w:rFonts w:hint="eastAsia" w:ascii="方正仿宋_GBK" w:hAnsi="方正仿宋_GBK" w:eastAsia="方正仿宋_GBK" w:cs="方正仿宋_GBK"/>
          <w:color w:val="auto"/>
          <w:sz w:val="32"/>
          <w:szCs w:val="32"/>
          <w:lang w:val="en-US" w:eastAsia="zh-CN"/>
        </w:rPr>
        <w:t>99.97</w:t>
      </w:r>
      <w:r>
        <w:rPr>
          <w:rFonts w:hint="eastAsia" w:ascii="方正仿宋_GBK" w:hAnsi="方正仿宋_GBK" w:eastAsia="方正仿宋_GBK" w:cs="方正仿宋_GBK"/>
          <w:color w:val="auto"/>
          <w:sz w:val="32"/>
          <w:szCs w:val="32"/>
        </w:rPr>
        <w:t>%。</w:t>
      </w:r>
    </w:p>
    <w:p>
      <w:pPr>
        <w:pageBreakBefore w:val="0"/>
        <w:numPr>
          <w:ilvl w:val="0"/>
          <w:numId w:val="2"/>
        </w:numPr>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对于“产出数量”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eastAsia="zh-CN"/>
        </w:rPr>
        <w:t>受助学生人数（人）指标，预期指标值等于</w:t>
      </w:r>
      <w:r>
        <w:rPr>
          <w:rFonts w:hint="eastAsia" w:ascii="方正仿宋_GBK" w:hAnsi="方正仿宋_GBK" w:eastAsia="方正仿宋_GBK" w:cs="方正仿宋_GBK"/>
          <w:color w:val="auto"/>
          <w:sz w:val="32"/>
          <w:szCs w:val="32"/>
          <w:lang w:val="en-US" w:eastAsia="zh-CN"/>
        </w:rPr>
        <w:t>5177</w:t>
      </w:r>
      <w:r>
        <w:rPr>
          <w:rFonts w:hint="eastAsia" w:ascii="方正仿宋_GBK" w:hAnsi="方正仿宋_GBK" w:eastAsia="方正仿宋_GBK" w:cs="方正仿宋_GBK"/>
          <w:color w:val="auto"/>
          <w:sz w:val="32"/>
          <w:szCs w:val="32"/>
        </w:rPr>
        <w:t>人，实际完成值为</w:t>
      </w:r>
      <w:r>
        <w:rPr>
          <w:rFonts w:hint="eastAsia" w:ascii="方正仿宋_GBK" w:hAnsi="方正仿宋_GBK" w:eastAsia="方正仿宋_GBK" w:cs="方正仿宋_GBK"/>
          <w:color w:val="auto"/>
          <w:sz w:val="32"/>
          <w:szCs w:val="32"/>
          <w:lang w:val="en-US" w:eastAsia="zh-CN"/>
        </w:rPr>
        <w:t>5177</w:t>
      </w:r>
      <w:r>
        <w:rPr>
          <w:rFonts w:hint="eastAsia" w:ascii="方正仿宋_GBK" w:hAnsi="方正仿宋_GBK" w:eastAsia="方正仿宋_GBK" w:cs="方正仿宋_GBK"/>
          <w:color w:val="auto"/>
          <w:sz w:val="32"/>
          <w:szCs w:val="32"/>
        </w:rPr>
        <w:t>人，与预期目标一致，根据评分标准，该指标不扣分，得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合计得分10分。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对于“产出质量”：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享受学生覆盖率（%）</w:t>
      </w:r>
      <w:r>
        <w:rPr>
          <w:rFonts w:hint="eastAsia" w:ascii="方正仿宋_GBK" w:hAnsi="方正仿宋_GBK" w:eastAsia="方正仿宋_GBK" w:cs="方正仿宋_GBK"/>
          <w:color w:val="auto"/>
          <w:sz w:val="32"/>
          <w:szCs w:val="32"/>
          <w:lang w:eastAsia="zh-CN"/>
        </w:rPr>
        <w:t>，预期指标值等于</w:t>
      </w:r>
      <w:r>
        <w:rPr>
          <w:rFonts w:hint="eastAsia" w:ascii="方正仿宋_GBK" w:hAnsi="方正仿宋_GBK" w:eastAsia="方正仿宋_GBK" w:cs="方正仿宋_GBK"/>
          <w:color w:val="auto"/>
          <w:sz w:val="32"/>
          <w:szCs w:val="32"/>
          <w:lang w:val="en-US" w:eastAsia="zh-CN"/>
        </w:rPr>
        <w:t xml:space="preserve">100%, </w:t>
      </w:r>
      <w:r>
        <w:rPr>
          <w:rFonts w:hint="eastAsia" w:ascii="方正仿宋_GBK" w:hAnsi="方正仿宋_GBK" w:eastAsia="方正仿宋_GBK" w:cs="方正仿宋_GBK"/>
          <w:color w:val="auto"/>
          <w:sz w:val="32"/>
          <w:szCs w:val="32"/>
        </w:rPr>
        <w:t>实际完成值为100%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与预期目标一致，根据评分标准，该指标不扣分，得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rPr>
        <w:t>公用经费享受比例（%）</w:t>
      </w:r>
      <w:r>
        <w:rPr>
          <w:rFonts w:hint="eastAsia" w:ascii="方正仿宋_GBK" w:hAnsi="方正仿宋_GBK" w:eastAsia="方正仿宋_GBK" w:cs="方正仿宋_GBK"/>
          <w:color w:val="auto"/>
          <w:sz w:val="32"/>
          <w:szCs w:val="32"/>
          <w:lang w:eastAsia="zh-CN"/>
        </w:rPr>
        <w:t>，预期指标值等于</w:t>
      </w:r>
      <w:r>
        <w:rPr>
          <w:rFonts w:hint="eastAsia" w:ascii="方正仿宋_GBK" w:hAnsi="方正仿宋_GBK" w:eastAsia="方正仿宋_GBK" w:cs="方正仿宋_GBK"/>
          <w:color w:val="auto"/>
          <w:sz w:val="32"/>
          <w:szCs w:val="32"/>
          <w:lang w:val="en-US" w:eastAsia="zh-CN"/>
        </w:rPr>
        <w:t xml:space="preserve">100%, </w:t>
      </w:r>
      <w:r>
        <w:rPr>
          <w:rFonts w:hint="eastAsia" w:ascii="方正仿宋_GBK" w:hAnsi="方正仿宋_GBK" w:eastAsia="方正仿宋_GBK" w:cs="方正仿宋_GBK"/>
          <w:color w:val="auto"/>
          <w:sz w:val="32"/>
          <w:szCs w:val="32"/>
        </w:rPr>
        <w:t>实际完成值为100%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highlight w:val="none"/>
        </w:rPr>
        <w:t>指标完成情况为100%，与预期目标一致，根据评分标准，该指标不扣分，得</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合计得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Style w:val="9"/>
        <w:pageBreakBefore w:val="0"/>
        <w:numPr>
          <w:ilvl w:val="0"/>
          <w:numId w:val="0"/>
        </w:numPr>
        <w:kinsoku/>
        <w:wordWrap/>
        <w:topLinePunct w:val="0"/>
        <w:autoSpaceDE/>
        <w:bidi w:val="0"/>
        <w:spacing w:before="0" w:after="0" w:line="560" w:lineRule="exact"/>
        <w:ind w:firstLine="320" w:firstLineChars="100"/>
        <w:jc w:val="both"/>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3</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Cs/>
          <w:color w:val="auto"/>
          <w:sz w:val="32"/>
          <w:szCs w:val="32"/>
        </w:rPr>
        <w:t>对于“产出时效”：</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项目完成时间202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年12月，实际完成值为202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年12月，指标完成情况为100%，与预期目标一致，根据评分标准，该指标不扣分，得</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资金按时拨付率（%）指标，预期指标值等于</w:t>
      </w:r>
      <w:r>
        <w:rPr>
          <w:rFonts w:hint="eastAsia" w:ascii="方正仿宋_GBK" w:hAnsi="方正仿宋_GBK" w:eastAsia="方正仿宋_GBK" w:cs="方正仿宋_GBK"/>
          <w:color w:val="auto"/>
          <w:sz w:val="32"/>
          <w:szCs w:val="32"/>
        </w:rPr>
        <w:t>100%，实际完成值为100%，与预期目标一致，根据评分标准，该指标不扣分，得</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color w:val="auto"/>
        </w:rPr>
      </w:pPr>
      <w:r>
        <w:rPr>
          <w:rFonts w:hint="eastAsia" w:ascii="方正仿宋_GBK" w:hAnsi="方正仿宋_GBK" w:eastAsia="方正仿宋_GBK" w:cs="方正仿宋_GBK"/>
          <w:color w:val="auto"/>
          <w:sz w:val="32"/>
          <w:szCs w:val="32"/>
          <w:lang w:eastAsia="zh-CN"/>
        </w:rPr>
        <w:t>年度任务按时完成率（%）指标，预期指标值等于</w:t>
      </w:r>
      <w:r>
        <w:rPr>
          <w:rFonts w:hint="eastAsia" w:ascii="方正仿宋_GBK" w:hAnsi="方正仿宋_GBK" w:eastAsia="方正仿宋_GBK" w:cs="方正仿宋_GBK"/>
          <w:color w:val="auto"/>
          <w:sz w:val="32"/>
          <w:szCs w:val="32"/>
        </w:rPr>
        <w:t>100%，实际完成值为100%，与预期目标一致，根据评分标准，该指标不扣分，得</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rPr>
      </w:pPr>
      <w:r>
        <w:rPr>
          <w:rFonts w:hint="eastAsia" w:ascii="方正仿宋_GBK" w:hAnsi="方正仿宋_GBK" w:eastAsia="方正仿宋_GBK" w:cs="方正仿宋_GBK"/>
          <w:b w:val="0"/>
          <w:bCs/>
          <w:color w:val="auto"/>
          <w:sz w:val="32"/>
          <w:szCs w:val="32"/>
        </w:rPr>
        <w:t>合计得</w:t>
      </w:r>
      <w:r>
        <w:rPr>
          <w:rFonts w:hint="eastAsia" w:ascii="方正仿宋_GBK" w:hAnsi="方正仿宋_GBK" w:eastAsia="方正仿宋_GBK" w:cs="方正仿宋_GBK"/>
          <w:b w:val="0"/>
          <w:bCs/>
          <w:color w:val="auto"/>
          <w:sz w:val="32"/>
          <w:szCs w:val="32"/>
          <w:lang w:val="en-US" w:eastAsia="zh-CN"/>
        </w:rPr>
        <w:t>10</w:t>
      </w:r>
      <w:r>
        <w:rPr>
          <w:rFonts w:hint="eastAsia" w:ascii="方正仿宋_GBK" w:hAnsi="方正仿宋_GBK" w:eastAsia="方正仿宋_GBK" w:cs="方正仿宋_GBK"/>
          <w:b w:val="0"/>
          <w:bCs/>
          <w:color w:val="auto"/>
          <w:sz w:val="32"/>
          <w:szCs w:val="32"/>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（4）对于“产出成本”：</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中等职业教育学生平均补助（元/人/年）</w:t>
      </w:r>
      <w:r>
        <w:rPr>
          <w:rFonts w:hint="eastAsia" w:ascii="方正仿宋_GBK" w:hAnsi="方正仿宋_GBK" w:eastAsia="方正仿宋_GBK" w:cs="方正仿宋_GBK"/>
          <w:color w:val="auto"/>
          <w:sz w:val="32"/>
          <w:szCs w:val="32"/>
          <w:lang w:eastAsia="zh-CN"/>
        </w:rPr>
        <w:t>指标</w:t>
      </w:r>
      <w:r>
        <w:rPr>
          <w:rFonts w:hint="eastAsia" w:ascii="方正仿宋_GBK" w:hAnsi="方正仿宋_GBK" w:eastAsia="方正仿宋_GBK" w:cs="方正仿宋_GBK"/>
          <w:color w:val="auto"/>
          <w:sz w:val="32"/>
          <w:szCs w:val="32"/>
        </w:rPr>
        <w:t>，预期指标值小于等于</w:t>
      </w:r>
      <w:r>
        <w:rPr>
          <w:rFonts w:hint="eastAsia" w:ascii="方正仿宋_GBK" w:hAnsi="方正仿宋_GBK" w:eastAsia="方正仿宋_GBK" w:cs="方正仿宋_GBK"/>
          <w:color w:val="auto"/>
          <w:sz w:val="32"/>
          <w:szCs w:val="32"/>
          <w:lang w:val="en-US" w:eastAsia="zh-CN"/>
        </w:rPr>
        <w:t>1076.68</w:t>
      </w:r>
      <w:r>
        <w:rPr>
          <w:rFonts w:hint="eastAsia" w:ascii="方正仿宋_GBK" w:hAnsi="方正仿宋_GBK" w:eastAsia="方正仿宋_GBK" w:cs="方正仿宋_GBK"/>
          <w:color w:val="auto"/>
          <w:sz w:val="32"/>
          <w:szCs w:val="32"/>
        </w:rPr>
        <w:t>元/人/年</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实际完成值为1</w:t>
      </w:r>
      <w:r>
        <w:rPr>
          <w:rFonts w:hint="eastAsia" w:ascii="方正仿宋_GBK" w:hAnsi="方正仿宋_GBK" w:eastAsia="方正仿宋_GBK" w:cs="方正仿宋_GBK"/>
          <w:color w:val="auto"/>
          <w:sz w:val="32"/>
          <w:szCs w:val="32"/>
          <w:lang w:val="en-US" w:eastAsia="zh-CN"/>
        </w:rPr>
        <w:t>076.43</w:t>
      </w:r>
      <w:r>
        <w:rPr>
          <w:rFonts w:hint="eastAsia" w:ascii="方正仿宋_GBK" w:hAnsi="方正仿宋_GBK" w:eastAsia="方正仿宋_GBK" w:cs="方正仿宋_GBK"/>
          <w:color w:val="auto"/>
          <w:sz w:val="32"/>
          <w:szCs w:val="32"/>
        </w:rPr>
        <w:t>元/人/年，指标完成情况为</w:t>
      </w:r>
      <w:r>
        <w:rPr>
          <w:rFonts w:hint="eastAsia" w:ascii="方正仿宋_GBK" w:hAnsi="方正仿宋_GBK" w:eastAsia="方正仿宋_GBK" w:cs="方正仿宋_GBK"/>
          <w:color w:val="auto"/>
          <w:sz w:val="32"/>
          <w:szCs w:val="32"/>
          <w:lang w:val="en-US" w:eastAsia="zh-CN"/>
        </w:rPr>
        <w:t>99.98</w:t>
      </w:r>
      <w:r>
        <w:rPr>
          <w:rFonts w:hint="eastAsia" w:ascii="方正仿宋_GBK" w:hAnsi="方正仿宋_GBK" w:eastAsia="方正仿宋_GBK" w:cs="方正仿宋_GBK"/>
          <w:color w:val="auto"/>
          <w:sz w:val="32"/>
          <w:szCs w:val="32"/>
        </w:rPr>
        <w:t>%，与预期目标</w:t>
      </w:r>
      <w:r>
        <w:rPr>
          <w:rFonts w:hint="eastAsia" w:ascii="方正仿宋_GBK" w:hAnsi="方正仿宋_GBK" w:eastAsia="方正仿宋_GBK" w:cs="方正仿宋_GBK"/>
          <w:color w:val="auto"/>
          <w:sz w:val="32"/>
          <w:szCs w:val="32"/>
          <w:lang w:eastAsia="zh-CN"/>
        </w:rPr>
        <w:t>不</w:t>
      </w:r>
      <w:r>
        <w:rPr>
          <w:rFonts w:hint="eastAsia" w:ascii="方正仿宋_GBK" w:hAnsi="方正仿宋_GBK" w:eastAsia="方正仿宋_GBK" w:cs="方正仿宋_GBK"/>
          <w:color w:val="auto"/>
          <w:sz w:val="32"/>
          <w:szCs w:val="32"/>
        </w:rPr>
        <w:t>一致，根据评分标准，该指标扣分，得</w:t>
      </w:r>
      <w:r>
        <w:rPr>
          <w:rFonts w:hint="eastAsia" w:ascii="方正仿宋_GBK" w:hAnsi="方正仿宋_GBK" w:eastAsia="方正仿宋_GBK" w:cs="方正仿宋_GBK"/>
          <w:color w:val="auto"/>
          <w:sz w:val="32"/>
          <w:szCs w:val="32"/>
          <w:lang w:val="en-US" w:eastAsia="zh-CN"/>
        </w:rPr>
        <w:t>9.99</w:t>
      </w:r>
      <w:r>
        <w:rPr>
          <w:rFonts w:hint="eastAsia" w:ascii="方正仿宋_GBK" w:hAnsi="方正仿宋_GBK" w:eastAsia="方正仿宋_GBK" w:cs="方正仿宋_GBK"/>
          <w:color w:val="auto"/>
          <w:sz w:val="32"/>
          <w:szCs w:val="32"/>
        </w:rPr>
        <w:t>分。主要原因：年底供货方账户异常导致挂账，资金未能及时支付；改进措施：项目负责人及时同供货方联系，待对方银行账户正常后立即支付。</w:t>
      </w:r>
    </w:p>
    <w:p>
      <w:pPr>
        <w:pStyle w:val="9"/>
        <w:pageBreakBefore w:val="0"/>
        <w:kinsoku/>
        <w:wordWrap/>
        <w:topLinePunct w:val="0"/>
        <w:autoSpaceDE/>
        <w:bidi w:val="0"/>
        <w:spacing w:before="0" w:after="0" w:line="560" w:lineRule="exact"/>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val="0"/>
          <w:bCs/>
          <w:color w:val="auto"/>
          <w:sz w:val="32"/>
          <w:szCs w:val="32"/>
        </w:rPr>
        <w:t>合计得</w:t>
      </w:r>
      <w:r>
        <w:rPr>
          <w:rFonts w:hint="eastAsia" w:ascii="方正仿宋_GBK" w:hAnsi="方正仿宋_GBK" w:eastAsia="方正仿宋_GBK" w:cs="方正仿宋_GBK"/>
          <w:b w:val="0"/>
          <w:bCs/>
          <w:color w:val="auto"/>
          <w:sz w:val="32"/>
          <w:szCs w:val="32"/>
          <w:lang w:val="en-US" w:eastAsia="zh-CN"/>
        </w:rPr>
        <w:t>9.99</w:t>
      </w:r>
      <w:r>
        <w:rPr>
          <w:rFonts w:hint="eastAsia" w:ascii="方正仿宋_GBK" w:hAnsi="方正仿宋_GBK" w:eastAsia="方正仿宋_GBK" w:cs="方正仿宋_GBK"/>
          <w:b w:val="0"/>
          <w:bCs/>
          <w:color w:val="auto"/>
          <w:sz w:val="32"/>
          <w:szCs w:val="32"/>
        </w:rPr>
        <w:t>分。</w:t>
      </w:r>
    </w:p>
    <w:p>
      <w:pPr>
        <w:pageBreakBefore w:val="0"/>
        <w:kinsoku/>
        <w:wordWrap/>
        <w:topLinePunct w:val="0"/>
        <w:autoSpaceDE/>
        <w:bidi w:val="0"/>
        <w:spacing w:line="560" w:lineRule="exact"/>
        <w:ind w:firstLine="64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（四）项目效益情况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项目效益类指标包括项目效益1个方面的内容，由</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highlight w:val="none"/>
        </w:rPr>
        <w:t>个</w:t>
      </w:r>
      <w:r>
        <w:rPr>
          <w:rFonts w:hint="eastAsia" w:ascii="方正仿宋_GBK" w:hAnsi="方正仿宋_GBK" w:eastAsia="方正仿宋_GBK" w:cs="方正仿宋_GBK"/>
          <w:color w:val="auto"/>
          <w:sz w:val="32"/>
          <w:szCs w:val="32"/>
        </w:rPr>
        <w:t>三级指标构成，权重分为</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0分，实际得分</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0分，得分率为100%。</w:t>
      </w:r>
    </w:p>
    <w:p>
      <w:pPr>
        <w:pageBreakBefore w:val="0"/>
        <w:kinsoku/>
        <w:wordWrap/>
        <w:overflowPunct w:val="0"/>
        <w:topLinePunct w:val="0"/>
        <w:autoSpaceDE/>
        <w:bidi w:val="0"/>
        <w:spacing w:line="560" w:lineRule="exact"/>
        <w:ind w:firstLine="643"/>
        <w:contextualSpacing/>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1.实施效益指标：</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1</w:t>
      </w:r>
      <w:r>
        <w:rPr>
          <w:rFonts w:hint="eastAsia" w:ascii="Times New Roman" w:hAnsi="Times New Roman"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对于“社会效益指标”：</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Cs/>
          <w:color w:val="auto"/>
          <w:kern w:val="0"/>
          <w:sz w:val="32"/>
          <w:szCs w:val="32"/>
          <w:lang w:val="en-US" w:eastAsia="zh-CN" w:bidi="ar-SA"/>
        </w:rPr>
        <w:t>减轻学生家庭经济负担，预期指标值有效减轻，实际完成值有效减轻，与预期目标一致，根据评分标准，该指标不扣分，得5分。</w:t>
      </w:r>
    </w:p>
    <w:p>
      <w:pPr>
        <w:pageBreakBefore w:val="0"/>
        <w:numPr>
          <w:ilvl w:val="0"/>
          <w:numId w:val="2"/>
        </w:numPr>
        <w:kinsoku/>
        <w:wordWrap/>
        <w:topLinePunct w:val="0"/>
        <w:autoSpaceDE/>
        <w:autoSpaceDN/>
        <w:bidi w:val="0"/>
        <w:spacing w:line="560" w:lineRule="exact"/>
        <w:ind w:left="0" w:leftChars="0" w:firstLine="640" w:firstLineChars="200"/>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对于“可持续影响指标”：</w:t>
      </w:r>
    </w:p>
    <w:p>
      <w:pPr>
        <w:pageBreakBefore w:val="0"/>
        <w:numPr>
          <w:ilvl w:val="0"/>
          <w:numId w:val="0"/>
        </w:numPr>
        <w:kinsoku/>
        <w:wordWrap/>
        <w:topLinePunct w:val="0"/>
        <w:autoSpaceDE/>
        <w:autoSpaceDN/>
        <w:bidi w:val="0"/>
        <w:spacing w:line="560" w:lineRule="exact"/>
        <w:ind w:leftChars="200" w:firstLine="640" w:firstLineChars="200"/>
        <w:rPr>
          <w:rFonts w:hint="eastAsia" w:ascii="Times New Roman" w:hAnsi="Times New Roman" w:eastAsia="方正仿宋_GBK" w:cs="方正仿宋_GBK"/>
          <w:b w:val="0"/>
          <w:color w:val="auto"/>
          <w:sz w:val="32"/>
          <w:szCs w:val="32"/>
        </w:rPr>
      </w:pPr>
      <w:r>
        <w:rPr>
          <w:rFonts w:hint="eastAsia" w:ascii="方正仿宋_GBK" w:hAnsi="方正仿宋_GBK" w:eastAsia="方正仿宋_GBK" w:cs="方正仿宋_GBK"/>
          <w:b w:val="0"/>
          <w:color w:val="auto"/>
          <w:sz w:val="32"/>
          <w:szCs w:val="32"/>
          <w:highlight w:val="none"/>
          <w:lang w:val="en-US" w:eastAsia="zh-CN"/>
        </w:rPr>
        <w:t>保障学校正常教育教学指标，预期指标长期，实际完成值长期指标</w:t>
      </w:r>
      <w:r>
        <w:rPr>
          <w:rFonts w:hint="eastAsia" w:ascii="方正仿宋_GBK" w:hAnsi="方正仿宋_GBK" w:eastAsia="方正仿宋_GBK" w:cs="方正仿宋_GBK"/>
          <w:b w:val="0"/>
          <w:color w:val="auto"/>
          <w:sz w:val="32"/>
          <w:szCs w:val="32"/>
          <w:highlight w:val="none"/>
        </w:rPr>
        <w:t>，</w:t>
      </w:r>
      <w:r>
        <w:rPr>
          <w:rFonts w:hint="eastAsia" w:ascii="方正仿宋_GBK" w:hAnsi="方正仿宋_GBK" w:eastAsia="方正仿宋_GBK" w:cs="方正仿宋_GBK"/>
          <w:b w:val="0"/>
          <w:color w:val="auto"/>
          <w:sz w:val="32"/>
          <w:szCs w:val="32"/>
          <w:highlight w:val="none"/>
          <w:lang w:eastAsia="zh-CN"/>
        </w:rPr>
        <w:t>实际完成值</w:t>
      </w:r>
      <w:r>
        <w:rPr>
          <w:rFonts w:hint="eastAsia" w:ascii="方正仿宋_GBK" w:hAnsi="方正仿宋_GBK" w:eastAsia="方正仿宋_GBK" w:cs="方正仿宋_GBK"/>
          <w:b w:val="0"/>
          <w:color w:val="auto"/>
          <w:sz w:val="32"/>
          <w:szCs w:val="32"/>
          <w:highlight w:val="none"/>
          <w:lang w:val="en-US" w:eastAsia="zh-CN"/>
        </w:rPr>
        <w:t xml:space="preserve">100%, </w:t>
      </w:r>
      <w:r>
        <w:rPr>
          <w:rFonts w:hint="eastAsia" w:ascii="Times New Roman" w:hAnsi="Times New Roman" w:eastAsia="方正仿宋_GBK" w:cs="方正仿宋_GBK"/>
          <w:b w:val="0"/>
          <w:color w:val="auto"/>
          <w:sz w:val="32"/>
          <w:szCs w:val="32"/>
        </w:rPr>
        <w:t>根据评分标准，该指标不扣分，得</w:t>
      </w:r>
      <w:r>
        <w:rPr>
          <w:rFonts w:hint="eastAsia" w:ascii="Times New Roman" w:hAnsi="Times New Roman" w:eastAsia="方正仿宋_GBK" w:cs="方正仿宋_GBK"/>
          <w:b w:val="0"/>
          <w:color w:val="auto"/>
          <w:sz w:val="32"/>
          <w:szCs w:val="32"/>
          <w:lang w:val="en-US" w:eastAsia="zh-CN"/>
        </w:rPr>
        <w:t>5</w:t>
      </w:r>
      <w:r>
        <w:rPr>
          <w:rFonts w:hint="eastAsia" w:ascii="Times New Roman" w:hAnsi="Times New Roman" w:eastAsia="方正仿宋_GBK" w:cs="方正仿宋_GBK"/>
          <w:b w:val="0"/>
          <w:color w:val="auto"/>
          <w:sz w:val="32"/>
          <w:szCs w:val="32"/>
        </w:rPr>
        <w:t>分。</w:t>
      </w:r>
    </w:p>
    <w:p>
      <w:pPr>
        <w:pStyle w:val="4"/>
        <w:pageBreakBefore w:val="0"/>
        <w:widowControl w:val="0"/>
        <w:kinsoku/>
        <w:wordWrap/>
        <w:overflowPunct/>
        <w:topLinePunct w:val="0"/>
        <w:autoSpaceDE/>
        <w:autoSpaceDN/>
        <w:bidi w:val="0"/>
        <w:adjustRightInd/>
        <w:snapToGrid/>
        <w:spacing w:line="560" w:lineRule="exact"/>
        <w:textAlignment w:val="auto"/>
        <w:rPr>
          <w:rFonts w:hint="eastAsia"/>
          <w:color w:val="auto"/>
        </w:rPr>
      </w:pPr>
      <w:r>
        <w:rPr>
          <w:rFonts w:hint="eastAsia" w:ascii="Times New Roman" w:hAnsi="Times New Roman" w:eastAsia="方正仿宋_GBK" w:cs="方正仿宋_GBK"/>
          <w:b w:val="0"/>
          <w:color w:val="auto"/>
          <w:sz w:val="32"/>
          <w:szCs w:val="32"/>
        </w:rPr>
        <w:t>实施效益指标合计得</w:t>
      </w:r>
      <w:r>
        <w:rPr>
          <w:rFonts w:hint="eastAsia" w:ascii="Times New Roman" w:hAnsi="Times New Roman" w:eastAsia="方正仿宋_GBK" w:cs="方正仿宋_GBK"/>
          <w:b w:val="0"/>
          <w:color w:val="auto"/>
          <w:sz w:val="32"/>
          <w:szCs w:val="32"/>
          <w:lang w:val="en-US" w:eastAsia="zh-CN"/>
        </w:rPr>
        <w:t>10</w:t>
      </w:r>
      <w:r>
        <w:rPr>
          <w:rFonts w:hint="eastAsia" w:ascii="Times New Roman" w:hAnsi="Times New Roman" w:eastAsia="方正仿宋_GBK" w:cs="方正仿宋_GBK"/>
          <w:b w:val="0"/>
          <w:color w:val="auto"/>
          <w:sz w:val="32"/>
          <w:szCs w:val="32"/>
        </w:rPr>
        <w:t>分。</w:t>
      </w:r>
    </w:p>
    <w:p>
      <w:pPr>
        <w:pageBreakBefore w:val="0"/>
        <w:widowControl w:val="0"/>
        <w:kinsoku/>
        <w:wordWrap/>
        <w:overflowPunct/>
        <w:topLinePunct w:val="0"/>
        <w:autoSpaceDE/>
        <w:autoSpaceDN/>
        <w:bidi w:val="0"/>
        <w:adjustRightInd/>
        <w:snapToGrid/>
        <w:spacing w:line="560" w:lineRule="exact"/>
        <w:ind w:firstLine="643"/>
        <w:textAlignment w:val="auto"/>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2.满意度指标:</w:t>
      </w:r>
    </w:p>
    <w:bookmarkEnd w:id="11"/>
    <w:p>
      <w:pPr>
        <w:pStyle w:val="9"/>
        <w:pageBreakBefore w:val="0"/>
        <w:widowControl w:val="0"/>
        <w:kinsoku/>
        <w:wordWrap/>
        <w:overflowPunct/>
        <w:topLinePunct w:val="0"/>
        <w:autoSpaceDE/>
        <w:autoSpaceDN/>
        <w:bidi w:val="0"/>
        <w:adjustRightInd/>
        <w:snapToGrid/>
        <w:spacing w:before="0" w:after="0" w:line="560" w:lineRule="exact"/>
        <w:ind w:firstLine="640"/>
        <w:jc w:val="both"/>
        <w:textAlignment w:val="auto"/>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家长满意度（%）指标，预期指标值大于等于</w:t>
      </w:r>
      <w:r>
        <w:rPr>
          <w:rFonts w:hint="eastAsia" w:ascii="方正仿宋_GBK" w:hAnsi="方正仿宋_GBK" w:eastAsia="方正仿宋_GBK" w:cs="方正仿宋_GBK"/>
          <w:b w:val="0"/>
          <w:bCs/>
          <w:color w:val="auto"/>
          <w:sz w:val="32"/>
          <w:szCs w:val="32"/>
          <w:lang w:val="en-US" w:eastAsia="zh-CN"/>
        </w:rPr>
        <w:t>95%</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val="en-US" w:eastAsia="zh-CN"/>
        </w:rPr>
        <w:t>实际满意度100%，与预期目标一致，根据评分标准，该指标不扣分，得5分。</w:t>
      </w:r>
    </w:p>
    <w:p>
      <w:pPr>
        <w:pStyle w:val="9"/>
        <w:pageBreakBefore w:val="0"/>
        <w:widowControl w:val="0"/>
        <w:kinsoku/>
        <w:wordWrap/>
        <w:overflowPunct/>
        <w:topLinePunct w:val="0"/>
        <w:autoSpaceDE/>
        <w:autoSpaceDN/>
        <w:bidi w:val="0"/>
        <w:adjustRightInd/>
        <w:snapToGrid/>
        <w:spacing w:before="0" w:after="0" w:line="560" w:lineRule="exact"/>
        <w:ind w:firstLine="640"/>
        <w:jc w:val="both"/>
        <w:textAlignment w:val="auto"/>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学生满意度（%）指标，</w:t>
      </w:r>
      <w:r>
        <w:rPr>
          <w:rFonts w:hint="eastAsia" w:ascii="方正仿宋_GBK" w:hAnsi="方正仿宋_GBK" w:eastAsia="方正仿宋_GBK" w:cs="方正仿宋_GBK"/>
          <w:b w:val="0"/>
          <w:bCs/>
          <w:color w:val="auto"/>
          <w:sz w:val="32"/>
          <w:szCs w:val="32"/>
          <w:lang w:val="en-US" w:eastAsia="zh-CN"/>
        </w:rPr>
        <w:t>预期指标值大于等于95%，实际满意度100%，与预期目标一致，根据评分标准，该指标不扣分，得5分。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val="en-US" w:eastAsia="zh-CN"/>
        </w:rPr>
        <w:t>本次计划采取全覆盖问卷调查的方式，对学生及家长进行网络问卷调查；组织安排了问卷调研工作，本次回收有效问卷共计210份。根据附件中问卷调查结果显示受益群众210人进行网络问卷调查；本次回收有效问卷共计210份。被调查者中100%的学生及家长对伽师县中职2022年生均公用经费项目非常满意。</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Style w:val="29"/>
          <w:rFonts w:hint="eastAsia" w:ascii="方正仿宋_GBK" w:hAnsi="方正仿宋_GBK" w:eastAsia="方正仿宋_GBK" w:cs="方正仿宋_GBK"/>
          <w:b w:val="0"/>
          <w:color w:val="auto"/>
          <w:spacing w:val="-4"/>
          <w:sz w:val="32"/>
          <w:szCs w:val="32"/>
          <w:highlight w:val="none"/>
          <w:lang w:val="en-US" w:eastAsia="zh-CN"/>
        </w:rPr>
        <w:t>满意度指标合计得10分。</w:t>
      </w:r>
    </w:p>
    <w:p>
      <w:pPr>
        <w:pStyle w:val="37"/>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五、预算执行进度与绩效指标偏差情况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color w:val="auto"/>
          <w:sz w:val="32"/>
          <w:szCs w:val="32"/>
        </w:rPr>
        <w:t>伽师县</w:t>
      </w:r>
      <w:r>
        <w:rPr>
          <w:rFonts w:hint="eastAsia" w:ascii="方正仿宋_GBK" w:hAnsi="方正仿宋_GBK" w:eastAsia="方正仿宋_GBK" w:cs="方正仿宋_GBK"/>
          <w:color w:val="auto"/>
          <w:sz w:val="32"/>
          <w:szCs w:val="32"/>
          <w:lang w:eastAsia="zh-CN"/>
        </w:rPr>
        <w:t>生均公用经费项目</w:t>
      </w:r>
      <w:r>
        <w:rPr>
          <w:rFonts w:hint="eastAsia" w:ascii="方正仿宋_GBK" w:hAnsi="方正仿宋_GBK" w:eastAsia="方正仿宋_GBK" w:cs="方正仿宋_GBK"/>
          <w:color w:val="auto"/>
          <w:sz w:val="32"/>
          <w:szCs w:val="32"/>
        </w:rPr>
        <w:t>补助项目预算</w:t>
      </w:r>
      <w:r>
        <w:rPr>
          <w:rFonts w:hint="eastAsia" w:ascii="方正仿宋_GBK" w:hAnsi="方正仿宋_GBK" w:eastAsia="方正仿宋_GBK" w:cs="方正仿宋_GBK"/>
          <w:color w:val="auto"/>
          <w:sz w:val="32"/>
          <w:szCs w:val="32"/>
          <w:lang w:val="en-US" w:eastAsia="zh-CN"/>
        </w:rPr>
        <w:t>577.40</w:t>
      </w:r>
      <w:r>
        <w:rPr>
          <w:rFonts w:hint="eastAsia" w:ascii="方正仿宋_GBK" w:hAnsi="方正仿宋_GBK" w:eastAsia="方正仿宋_GBK" w:cs="方正仿宋_GBK"/>
          <w:color w:val="auto"/>
          <w:sz w:val="32"/>
          <w:szCs w:val="32"/>
        </w:rPr>
        <w:t>万元，到位</w:t>
      </w:r>
      <w:r>
        <w:rPr>
          <w:rFonts w:hint="eastAsia" w:ascii="方正仿宋_GBK" w:hAnsi="方正仿宋_GBK" w:eastAsia="方正仿宋_GBK" w:cs="方正仿宋_GBK"/>
          <w:color w:val="auto"/>
          <w:sz w:val="32"/>
          <w:szCs w:val="32"/>
          <w:lang w:val="en-US" w:eastAsia="zh-CN"/>
        </w:rPr>
        <w:t>577.40</w:t>
      </w:r>
      <w:r>
        <w:rPr>
          <w:rFonts w:hint="eastAsia" w:ascii="方正仿宋_GBK" w:hAnsi="方正仿宋_GBK" w:eastAsia="方正仿宋_GBK" w:cs="方正仿宋_GBK"/>
          <w:color w:val="auto"/>
          <w:sz w:val="32"/>
          <w:szCs w:val="32"/>
        </w:rPr>
        <w:t>万元，实际支出</w:t>
      </w:r>
      <w:r>
        <w:rPr>
          <w:rFonts w:hint="eastAsia" w:ascii="方正仿宋_GBK" w:hAnsi="方正仿宋_GBK" w:eastAsia="方正仿宋_GBK" w:cs="方正仿宋_GBK"/>
          <w:color w:val="auto"/>
          <w:sz w:val="32"/>
          <w:szCs w:val="32"/>
          <w:lang w:val="en-US" w:eastAsia="zh-CN"/>
        </w:rPr>
        <w:t>577.27</w:t>
      </w:r>
      <w:r>
        <w:rPr>
          <w:rFonts w:hint="eastAsia" w:ascii="方正仿宋_GBK" w:hAnsi="方正仿宋_GBK" w:eastAsia="方正仿宋_GBK" w:cs="方正仿宋_GBK"/>
          <w:color w:val="auto"/>
          <w:sz w:val="32"/>
          <w:szCs w:val="32"/>
        </w:rPr>
        <w:t>万元，预算执行率为</w:t>
      </w:r>
      <w:r>
        <w:rPr>
          <w:rFonts w:hint="eastAsia" w:ascii="方正仿宋_GBK" w:hAnsi="方正仿宋_GBK" w:eastAsia="方正仿宋_GBK" w:cs="方正仿宋_GBK"/>
          <w:color w:val="auto"/>
          <w:sz w:val="32"/>
          <w:szCs w:val="32"/>
          <w:lang w:val="en-US" w:eastAsia="zh-CN"/>
        </w:rPr>
        <w:t>99.98</w:t>
      </w:r>
      <w:r>
        <w:rPr>
          <w:rFonts w:hint="eastAsia" w:ascii="方正仿宋_GBK" w:hAnsi="方正仿宋_GBK" w:eastAsia="方正仿宋_GBK" w:cs="方正仿宋_GBK"/>
          <w:color w:val="auto"/>
          <w:sz w:val="32"/>
          <w:szCs w:val="32"/>
        </w:rPr>
        <w:t>%，项</w:t>
      </w:r>
      <w:r>
        <w:rPr>
          <w:rFonts w:hint="eastAsia" w:ascii="方正仿宋_GBK" w:hAnsi="方正仿宋_GBK" w:eastAsia="方正仿宋_GBK" w:cs="方正仿宋_GBK"/>
          <w:color w:val="auto"/>
          <w:sz w:val="32"/>
          <w:szCs w:val="32"/>
          <w:highlight w:val="none"/>
        </w:rPr>
        <w:t>目绩效指标总体完成率为</w:t>
      </w:r>
      <w:r>
        <w:rPr>
          <w:rFonts w:hint="eastAsia" w:ascii="方正仿宋_GBK" w:hAnsi="方正仿宋_GBK" w:eastAsia="方正仿宋_GBK" w:cs="方正仿宋_GBK"/>
          <w:color w:val="auto"/>
          <w:sz w:val="32"/>
          <w:szCs w:val="32"/>
          <w:highlight w:val="none"/>
          <w:lang w:val="en-US" w:eastAsia="zh-CN"/>
        </w:rPr>
        <w:t>100</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lang w:eastAsia="zh-CN"/>
        </w:rPr>
        <w:t>无偏差</w:t>
      </w:r>
      <w:r>
        <w:rPr>
          <w:rFonts w:hint="eastAsia" w:ascii="方正仿宋_GBK" w:hAnsi="方正仿宋_GBK" w:eastAsia="方正仿宋_GBK" w:cs="方正仿宋_GBK"/>
          <w:color w:val="auto"/>
          <w:sz w:val="32"/>
          <w:szCs w:val="32"/>
        </w:rPr>
        <w:t>。</w:t>
      </w:r>
    </w:p>
    <w:p>
      <w:pPr>
        <w:pStyle w:val="37"/>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sz w:val="32"/>
          <w:szCs w:val="32"/>
        </w:rPr>
      </w:pPr>
      <w:bookmarkStart w:id="12" w:name="_Toc68364673"/>
      <w:r>
        <w:rPr>
          <w:rFonts w:hint="eastAsia" w:ascii="方正黑体_GBK" w:hAnsi="方正黑体_GBK" w:eastAsia="方正黑体_GBK" w:cs="方正黑体_GBK"/>
          <w:b w:val="0"/>
          <w:bCs w:val="0"/>
          <w:color w:val="auto"/>
          <w:sz w:val="32"/>
          <w:szCs w:val="32"/>
        </w:rPr>
        <w:t>六、主要经验及做法、存在的问题及原因分析</w:t>
      </w:r>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（一）主要经验及做法</w:t>
      </w:r>
      <w:bookmarkEnd w:id="1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一是加强</w:t>
      </w:r>
      <w:r>
        <w:rPr>
          <w:rFonts w:hint="eastAsia" w:ascii="方正仿宋_GBK" w:hAnsi="方正仿宋_GBK" w:eastAsia="方正仿宋_GBK" w:cs="方正仿宋_GBK"/>
          <w:color w:val="auto"/>
          <w:sz w:val="32"/>
          <w:szCs w:val="32"/>
          <w:lang w:val="en-US" w:eastAsia="zh-CN"/>
        </w:rPr>
        <w:t>项目</w:t>
      </w:r>
      <w:r>
        <w:rPr>
          <w:rFonts w:hint="eastAsia" w:ascii="方正仿宋_GBK" w:hAnsi="方正仿宋_GBK" w:eastAsia="方正仿宋_GBK" w:cs="方正仿宋_GBK"/>
          <w:color w:val="auto"/>
          <w:sz w:val="32"/>
          <w:szCs w:val="32"/>
        </w:rPr>
        <w:t>监督体系建设</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重点是要坚持公开透明的原则</w:t>
      </w:r>
      <w:r>
        <w:rPr>
          <w:rFonts w:hint="eastAsia" w:ascii="方正仿宋_GBK" w:hAnsi="方正仿宋_GBK" w:eastAsia="方正仿宋_GBK" w:cs="方正仿宋_GBK"/>
          <w:color w:val="auto"/>
          <w:sz w:val="32"/>
          <w:szCs w:val="32"/>
          <w:lang w:val="en-US" w:eastAsia="zh-CN"/>
        </w:rPr>
        <w:t>实施项目</w:t>
      </w:r>
      <w:r>
        <w:rPr>
          <w:rFonts w:hint="eastAsia" w:ascii="方正仿宋_GBK" w:hAnsi="方正仿宋_GBK" w:eastAsia="方正仿宋_GBK" w:cs="方正仿宋_GBK"/>
          <w:color w:val="auto"/>
          <w:sz w:val="32"/>
          <w:szCs w:val="32"/>
        </w:rPr>
        <w:t>，拓展监督平台，一方面强化各部门协同监督，打破分工界限，做到协同督导，特别是发挥民主监督作用，畅通监督渠道，对不合理、不规范采购</w:t>
      </w:r>
      <w:r>
        <w:rPr>
          <w:rFonts w:hint="eastAsia" w:ascii="方正仿宋_GBK" w:hAnsi="方正仿宋_GBK" w:eastAsia="方正仿宋_GBK" w:cs="方正仿宋_GBK"/>
          <w:color w:val="auto"/>
          <w:sz w:val="32"/>
          <w:szCs w:val="32"/>
          <w:lang w:val="en-US" w:eastAsia="zh-CN"/>
        </w:rPr>
        <w:t>及</w:t>
      </w:r>
      <w:r>
        <w:rPr>
          <w:rFonts w:hint="eastAsia" w:ascii="方正仿宋_GBK" w:hAnsi="方正仿宋_GBK" w:eastAsia="方正仿宋_GBK" w:cs="方正仿宋_GBK"/>
          <w:color w:val="auto"/>
          <w:sz w:val="32"/>
          <w:szCs w:val="32"/>
        </w:rPr>
        <w:t>招标现象或情况，</w:t>
      </w:r>
      <w:r>
        <w:rPr>
          <w:rFonts w:hint="eastAsia" w:ascii="方正仿宋_GBK" w:hAnsi="方正仿宋_GBK" w:eastAsia="方正仿宋_GBK" w:cs="方正仿宋_GBK"/>
          <w:color w:val="auto"/>
          <w:sz w:val="32"/>
          <w:szCs w:val="32"/>
          <w:lang w:val="en-US" w:eastAsia="zh-CN"/>
        </w:rPr>
        <w:t>项目执行中</w:t>
      </w:r>
      <w:r>
        <w:rPr>
          <w:rFonts w:hint="eastAsia" w:ascii="方正仿宋_GBK" w:hAnsi="方正仿宋_GBK" w:eastAsia="方正仿宋_GBK" w:cs="方正仿宋_GBK"/>
          <w:color w:val="auto"/>
          <w:sz w:val="32"/>
          <w:szCs w:val="32"/>
        </w:rPr>
        <w:t>随时接受群众或其他部门监督。二是要搞好科学化评估。加强评估人员素质提升，尤其是积极聘请资深专家参与招标</w:t>
      </w:r>
      <w:r>
        <w:rPr>
          <w:rFonts w:hint="eastAsia" w:ascii="方正仿宋_GBK" w:hAnsi="方正仿宋_GBK" w:eastAsia="方正仿宋_GBK" w:cs="方正仿宋_GBK"/>
          <w:color w:val="auto"/>
          <w:sz w:val="32"/>
          <w:szCs w:val="32"/>
          <w:lang w:val="en-US" w:eastAsia="zh-CN"/>
        </w:rPr>
        <w:t>及</w:t>
      </w:r>
      <w:r>
        <w:rPr>
          <w:rFonts w:hint="eastAsia" w:ascii="方正仿宋_GBK" w:hAnsi="方正仿宋_GBK" w:eastAsia="方正仿宋_GBK" w:cs="方正仿宋_GBK"/>
          <w:color w:val="auto"/>
          <w:sz w:val="32"/>
          <w:szCs w:val="32"/>
        </w:rPr>
        <w:t>评估，通过不同角度，不同层次的专业化评估，确保物资采购</w:t>
      </w:r>
      <w:r>
        <w:rPr>
          <w:rFonts w:hint="eastAsia" w:ascii="方正仿宋_GBK" w:hAnsi="方正仿宋_GBK" w:eastAsia="方正仿宋_GBK" w:cs="方正仿宋_GBK"/>
          <w:color w:val="auto"/>
          <w:sz w:val="32"/>
          <w:szCs w:val="32"/>
          <w:lang w:val="en-US" w:eastAsia="zh-CN"/>
        </w:rPr>
        <w:t>及</w:t>
      </w:r>
      <w:r>
        <w:rPr>
          <w:rFonts w:hint="eastAsia" w:ascii="方正仿宋_GBK" w:hAnsi="方正仿宋_GBK" w:eastAsia="方正仿宋_GBK" w:cs="方正仿宋_GBK"/>
          <w:color w:val="auto"/>
          <w:sz w:val="32"/>
          <w:szCs w:val="32"/>
        </w:rPr>
        <w:t>招标的合理性和科学性，从而提高</w:t>
      </w:r>
      <w:r>
        <w:rPr>
          <w:rFonts w:hint="eastAsia" w:ascii="方正仿宋_GBK" w:hAnsi="方正仿宋_GBK" w:eastAsia="方正仿宋_GBK" w:cs="方正仿宋_GBK"/>
          <w:color w:val="auto"/>
          <w:sz w:val="32"/>
          <w:szCs w:val="32"/>
          <w:lang w:val="en-US" w:eastAsia="zh-CN"/>
        </w:rPr>
        <w:t>项目</w:t>
      </w:r>
      <w:r>
        <w:rPr>
          <w:rFonts w:hint="eastAsia" w:ascii="方正仿宋_GBK" w:hAnsi="方正仿宋_GBK" w:eastAsia="方正仿宋_GBK" w:cs="方正仿宋_GBK"/>
          <w:color w:val="auto"/>
          <w:sz w:val="32"/>
          <w:szCs w:val="32"/>
        </w:rPr>
        <w:t>整体管理水平。</w:t>
      </w:r>
    </w:p>
    <w:p>
      <w:pPr>
        <w:pStyle w:val="38"/>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szCs w:val="32"/>
        </w:rPr>
      </w:pPr>
      <w:bookmarkStart w:id="13" w:name="_Toc68364674"/>
      <w:r>
        <w:rPr>
          <w:rFonts w:hint="eastAsia" w:ascii="方正楷体_GBK" w:hAnsi="方正楷体_GBK" w:eastAsia="方正楷体_GBK" w:cs="方正楷体_GBK"/>
          <w:color w:val="auto"/>
          <w:sz w:val="32"/>
          <w:szCs w:val="32"/>
        </w:rPr>
        <w:t>（二）存在问题及原因分析</w:t>
      </w:r>
      <w:bookmarkEnd w:id="13"/>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color w:val="auto"/>
          <w:kern w:val="0"/>
          <w:sz w:val="32"/>
          <w:szCs w:val="32"/>
          <w:lang w:val="en-US" w:eastAsia="zh-CN" w:bidi="ar"/>
        </w:rPr>
      </w:pPr>
      <w:bookmarkStart w:id="14" w:name="_Toc68364675"/>
      <w:r>
        <w:rPr>
          <w:rFonts w:hint="eastAsia" w:ascii="方正仿宋_GBK" w:hAnsi="方正仿宋_GBK" w:eastAsia="方正仿宋_GBK" w:cs="方正仿宋_GBK"/>
          <w:b w:val="0"/>
          <w:bCs w:val="0"/>
          <w:color w:val="auto"/>
          <w:kern w:val="0"/>
          <w:sz w:val="32"/>
          <w:szCs w:val="32"/>
          <w:lang w:val="en-US" w:eastAsia="zh-CN" w:bidi="ar"/>
        </w:rPr>
        <w:t>1.学校</w:t>
      </w:r>
      <w:r>
        <w:rPr>
          <w:rFonts w:hint="eastAsia" w:ascii="方正仿宋_GBK" w:hAnsi="方正仿宋_GBK" w:eastAsia="方正仿宋_GBK" w:cs="方正仿宋_GBK"/>
          <w:color w:val="auto"/>
          <w:kern w:val="0"/>
          <w:sz w:val="32"/>
          <w:szCs w:val="32"/>
          <w:lang w:val="en-US" w:eastAsia="zh-CN" w:bidi="ar"/>
        </w:rPr>
        <w:t>项目工作人员自身的专业知识比较缺乏、综合素养较低，而且不能对现代先进的科学技术和手段进行很好的把握和运用。</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eastAsiaTheme="minorEastAsia"/>
          <w:color w:val="auto"/>
          <w:sz w:val="32"/>
          <w:szCs w:val="32"/>
          <w:lang w:val="en-US" w:eastAsia="zh-CN"/>
        </w:rPr>
      </w:pPr>
      <w:r>
        <w:rPr>
          <w:rFonts w:hint="eastAsia" w:ascii="方正仿宋_GBK" w:hAnsi="方正仿宋_GBK" w:eastAsia="方正仿宋_GBK" w:cs="方正仿宋_GBK"/>
          <w:b w:val="0"/>
          <w:bCs w:val="0"/>
          <w:color w:val="auto"/>
          <w:kern w:val="0"/>
          <w:sz w:val="32"/>
          <w:szCs w:val="32"/>
          <w:lang w:val="en-US" w:eastAsia="zh-CN" w:bidi="ar"/>
        </w:rPr>
        <w:t>2.学校未能定期开展项目工作人员专业培训工作</w:t>
      </w:r>
      <w:r>
        <w:rPr>
          <w:rFonts w:hint="eastAsia" w:ascii="方正仿宋_GBK" w:hAnsi="方正仿宋_GBK" w:eastAsia="方正仿宋_GBK" w:cs="方正仿宋_GBK"/>
          <w:color w:val="auto"/>
          <w:kern w:val="0"/>
          <w:sz w:val="32"/>
          <w:szCs w:val="32"/>
          <w:lang w:val="en-US" w:eastAsia="zh-CN" w:bidi="ar"/>
        </w:rPr>
        <w:t>，</w:t>
      </w:r>
      <w:r>
        <w:rPr>
          <w:rFonts w:hint="eastAsia" w:ascii="方正仿宋_GBK" w:hAnsi="方正仿宋_GBK" w:eastAsia="方正仿宋_GBK" w:cs="方正仿宋_GBK"/>
          <w:b w:val="0"/>
          <w:bCs w:val="0"/>
          <w:color w:val="auto"/>
          <w:kern w:val="0"/>
          <w:sz w:val="32"/>
          <w:szCs w:val="32"/>
          <w:lang w:val="en-US" w:eastAsia="zh-CN" w:bidi="ar"/>
        </w:rPr>
        <w:t xml:space="preserve">一般情况下，由于学校项目办等科室人员流转比较快，因此要进一步加大项目负责人员专业知识培训和法规流程等培训，提高项目工作人员综合素质。 </w:t>
      </w:r>
    </w:p>
    <w:p>
      <w:pPr>
        <w:pStyle w:val="37"/>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七、有关建议</w:t>
      </w:r>
      <w:bookmarkEnd w:id="14"/>
    </w:p>
    <w:p>
      <w:pPr>
        <w:pageBreakBefore w:val="0"/>
        <w:kinsoku/>
        <w:wordWrap/>
        <w:topLinePunct w:val="0"/>
        <w:autoSpaceDN/>
        <w:bidi w:val="0"/>
        <w:adjustRightInd/>
        <w:snapToGrid/>
        <w:spacing w:line="570" w:lineRule="exact"/>
        <w:rPr>
          <w:rFonts w:hint="eastAsia" w:ascii="方正仿宋_GBK" w:hAnsi="方正仿宋_GBK" w:eastAsia="方正仿宋_GBK" w:cs="方正仿宋_GBK"/>
          <w:color w:val="auto"/>
          <w:kern w:val="0"/>
          <w:sz w:val="32"/>
          <w:szCs w:val="32"/>
          <w:lang w:val="en-US" w:eastAsia="zh-CN" w:bidi="ar-SA"/>
        </w:rPr>
      </w:pPr>
      <w:bookmarkStart w:id="15" w:name="_Toc68364676"/>
      <w:r>
        <w:rPr>
          <w:rFonts w:hint="eastAsia" w:ascii="方正仿宋_GBK" w:hAnsi="方正仿宋_GBK" w:eastAsia="方正仿宋_GBK" w:cs="方正仿宋_GBK"/>
          <w:color w:val="auto"/>
          <w:kern w:val="0"/>
          <w:sz w:val="32"/>
          <w:szCs w:val="32"/>
          <w:lang w:val="en-US" w:eastAsia="zh-CN" w:bidi="ar-SA"/>
        </w:rPr>
        <w:t>绩效管理工作是一个持续、系统、周期性强的工作，行业部门从事绩效管理工作的绩效专干人员应设置固定专人负责，压实责任；并且项目建设的程序进一步规范。项目前期更加细化实施方案，严格执行资金管理办法和财政资金管理制度，严格按照项目实施方案等稳步推进工作，各部门单位根据自己项目的特点进行总结；积极参加财政局组织的绩效业务培训，认真学习绩效理论及实操，进一步增强我单位绩效管理意识，推动落实主体责任，促进我单位绩效管理各项工作高校开展，加快部门预算绩效改革步伐。</w:t>
      </w:r>
    </w:p>
    <w:p>
      <w:pPr>
        <w:pStyle w:val="37"/>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八、其他需要说明的问题</w:t>
      </w:r>
      <w:bookmarkEnd w:id="15"/>
    </w:p>
    <w:p>
      <w:pPr>
        <w:pStyle w:val="33"/>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我单位对上述项目支出绩效评价报告内反映内容的真实性、完整性负责，接受上级部门及社会公众监督。</w:t>
      </w:r>
    </w:p>
    <w:p>
      <w:pPr>
        <w:pStyle w:val="37"/>
        <w:pageBreakBefore w:val="0"/>
        <w:kinsoku/>
        <w:wordWrap/>
        <w:topLinePunct w:val="0"/>
        <w:autoSpaceDE/>
        <w:bidi w:val="0"/>
        <w:spacing w:line="560" w:lineRule="exact"/>
        <w:ind w:firstLine="640"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附件1.综合评分表</w:t>
      </w:r>
    </w:p>
    <w:p>
      <w:pPr>
        <w:pStyle w:val="37"/>
        <w:pageBreakBefore w:val="0"/>
        <w:kinsoku/>
        <w:wordWrap/>
        <w:topLinePunct w:val="0"/>
        <w:autoSpaceDE/>
        <w:bidi w:val="0"/>
        <w:spacing w:line="560" w:lineRule="exact"/>
        <w:ind w:firstLine="1281" w:firstLineChars="4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2.满意度调查问卷</w:t>
      </w:r>
    </w:p>
    <w:p>
      <w:pPr>
        <w:pageBreakBefore w:val="0"/>
        <w:kinsoku/>
        <w:wordWrap/>
        <w:topLinePunct w:val="0"/>
        <w:autoSpaceDE/>
        <w:bidi w:val="0"/>
        <w:spacing w:line="560" w:lineRule="exact"/>
        <w:ind w:firstLine="560"/>
        <w:rPr>
          <w:rFonts w:hint="eastAsia" w:ascii="方正仿宋_GBK" w:hAnsi="方正仿宋_GBK" w:eastAsia="方正仿宋_GBK" w:cs="方正仿宋_GBK"/>
          <w:color w:val="auto"/>
          <w:sz w:val="32"/>
          <w:szCs w:val="32"/>
        </w:rPr>
      </w:pPr>
    </w:p>
    <w:p>
      <w:pPr>
        <w:pageBreakBefore w:val="0"/>
        <w:kinsoku/>
        <w:wordWrap/>
        <w:topLinePunct w:val="0"/>
        <w:autoSpaceDE/>
        <w:bidi w:val="0"/>
        <w:spacing w:line="560" w:lineRule="exact"/>
        <w:ind w:firstLine="560"/>
        <w:rPr>
          <w:rFonts w:hint="eastAsia" w:ascii="方正仿宋_GBK" w:hAnsi="方正仿宋_GBK" w:eastAsia="方正仿宋_GBK" w:cs="方正仿宋_GBK"/>
          <w:color w:val="auto"/>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4" w:right="1531" w:bottom="1701" w:left="1531" w:header="851" w:footer="992" w:gutter="0"/>
          <w:cols w:space="720" w:num="1"/>
          <w:docGrid w:type="lines" w:linePitch="312" w:charSpace="0"/>
        </w:sectPr>
      </w:pPr>
    </w:p>
    <w:p>
      <w:pPr>
        <w:pageBreakBefore w:val="0"/>
        <w:kinsoku/>
        <w:wordWrap/>
        <w:overflowPunct w:val="0"/>
        <w:topLinePunct w:val="0"/>
        <w:autoSpaceDE/>
        <w:autoSpaceDN/>
        <w:bidi w:val="0"/>
        <w:spacing w:line="560" w:lineRule="exact"/>
        <w:ind w:firstLine="643"/>
        <w:contextualSpacing/>
        <w:rPr>
          <w:rFonts w:hint="eastAsia" w:ascii="Times New Roman" w:hAnsi="Times New Roman" w:eastAsia="方正仿宋_GBK" w:cs="方正仿宋_GBK"/>
          <w:b/>
          <w:bCs/>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附件1：综合评分表</w:t>
      </w:r>
    </w:p>
    <w:p>
      <w:pPr>
        <w:pageBreakBefore w:val="0"/>
        <w:kinsoku/>
        <w:wordWrap/>
        <w:topLinePunct w:val="0"/>
        <w:autoSpaceDE/>
        <w:autoSpaceDN/>
        <w:bidi w:val="0"/>
        <w:spacing w:line="560" w:lineRule="exact"/>
        <w:ind w:left="0" w:leftChars="0" w:firstLine="560" w:firstLineChars="200"/>
        <w:jc w:val="both"/>
        <w:rPr>
          <w:rFonts w:hint="eastAsia" w:ascii="Times New Roman" w:hAnsi="Times New Roman" w:eastAsia="方正仿宋_GBK" w:cs="方正仿宋_GBK"/>
          <w:color w:val="auto"/>
          <w:kern w:val="0"/>
          <w:szCs w:val="28"/>
        </w:rPr>
      </w:pPr>
      <w:r>
        <w:rPr>
          <w:rFonts w:hint="eastAsia" w:ascii="Times New Roman" w:hAnsi="Times New Roman" w:eastAsia="方正仿宋_GBK" w:cs="方正仿宋_GBK"/>
          <w:color w:val="auto"/>
          <w:kern w:val="0"/>
          <w:szCs w:val="28"/>
          <w:lang w:eastAsia="zh-CN"/>
        </w:rPr>
        <w:t>伽师县中职2022年生均公用经费项目</w:t>
      </w:r>
      <w:r>
        <w:rPr>
          <w:rFonts w:hint="eastAsia" w:ascii="Times New Roman" w:hAnsi="Times New Roman" w:eastAsia="方正仿宋_GBK" w:cs="方正仿宋_GBK"/>
          <w:color w:val="auto"/>
          <w:kern w:val="0"/>
          <w:szCs w:val="28"/>
        </w:rPr>
        <w:t>绩效评价指标体系及评分标准</w:t>
      </w:r>
    </w:p>
    <w:tbl>
      <w:tblPr>
        <w:tblStyle w:val="26"/>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firstLine="0" w:firstLineChars="0"/>
              <w:jc w:val="both"/>
              <w:textAlignment w:val="auto"/>
              <w:rPr>
                <w:rFonts w:hint="default" w:ascii="宋体" w:hAnsi="宋体" w:eastAsia="宋体" w:cs="宋体"/>
                <w:color w:val="auto"/>
                <w:kern w:val="2"/>
                <w:sz w:val="18"/>
                <w:szCs w:val="18"/>
                <w:lang w:val="en-US" w:eastAsia="zh-CN" w:bidi="ar-SA"/>
              </w:rPr>
            </w:pPr>
            <w:r>
              <w:rPr>
                <w:rFonts w:hint="eastAsia" w:ascii="方正仿宋_GBK" w:hAnsi="方正仿宋_GBK" w:eastAsia="方正仿宋_GBK" w:cs="方正仿宋_GBK"/>
                <w:i w:val="0"/>
                <w:iCs w:val="0"/>
                <w:color w:val="auto"/>
                <w:kern w:val="0"/>
                <w:sz w:val="24"/>
                <w:szCs w:val="24"/>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⑤项目是否与相关部门同类项目或部门内部相关项目重复</w:t>
            </w:r>
            <w:r>
              <w:rPr>
                <w:rFonts w:hint="eastAsia" w:ascii="方正仿宋_GBK" w:hAnsi="方正仿宋_GBK" w:eastAsia="方正仿宋_GBK" w:cs="方正仿宋_GBK"/>
                <w:i w:val="0"/>
                <w:iCs w:val="0"/>
                <w:color w:val="auto"/>
                <w:kern w:val="0"/>
                <w:sz w:val="24"/>
                <w:szCs w:val="24"/>
                <w:lang w:val="en-US" w:eastAsia="zh-CN" w:bidi="ar"/>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①项目是否按照规定的程序申请设立</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②审批文件、材料是否符合相关要求</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③事前是否已经过必要的可行性研究、专家论证、风险评估、绩效评估、集体决策</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①项目是否有绩效目标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②项目绩效目标与实际工作内容是否具有相关性</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③项目预期产出效益和效果是否符合正常的业绩水平</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④是否与预算确定的项目投资额或资金量相匹配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①是否将项目绩效目标细化分解为具体的绩效指标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②是否通过清晰、可衡量的指标值予以体现</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③是否与项目目标任务数或计划数相对应</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①预算编制是否经过科学论证</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②预算内容与项目内容是否匹配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③预算额度测算依据是否充分，是否按照标准编制</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④预算确定的项目投资额或资金量是否与工作任务相匹配</w:t>
            </w:r>
            <w:r>
              <w:rPr>
                <w:rFonts w:hint="eastAsia" w:ascii="方正仿宋_GBK" w:hAnsi="方正仿宋_GBK" w:eastAsia="方正仿宋_GBK" w:cs="方正仿宋_GBK"/>
                <w:i w:val="0"/>
                <w:iCs w:val="0"/>
                <w:color w:val="auto"/>
                <w:kern w:val="0"/>
                <w:sz w:val="24"/>
                <w:szCs w:val="24"/>
                <w:lang w:val="en-US" w:eastAsia="zh-CN" w:bidi="ar"/>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①预算资金分配依据是否充分</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②资金分配额度是否合理，与项目单位或地方实际是否相适应</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资金到位率=（实际到位资金/预算资金）×100%，实际到位资金：一定时期（本年度或项目期）内落实到具体项目的资金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预算资金：一定时期（本年度或项目期）内预算安排到具体项目的资金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w:t>
            </w:r>
            <w:r>
              <w:rPr>
                <w:rStyle w:val="46"/>
                <w:rFonts w:eastAsia="方正仿宋_GBK"/>
                <w:color w:val="auto"/>
                <w:highlight w:val="none"/>
                <w:lang w:val="en-US" w:eastAsia="zh-CN" w:bidi="ar"/>
              </w:rPr>
              <w:t>=</w:t>
            </w:r>
            <w:r>
              <w:rPr>
                <w:rStyle w:val="54"/>
                <w:color w:val="auto"/>
                <w:highlight w:val="none"/>
                <w:lang w:val="en-US" w:eastAsia="zh-CN" w:bidi="ar"/>
              </w:rPr>
              <w:t>（实际支出资金</w:t>
            </w:r>
            <w:r>
              <w:rPr>
                <w:rStyle w:val="46"/>
                <w:rFonts w:eastAsia="方正仿宋_GBK"/>
                <w:color w:val="auto"/>
                <w:highlight w:val="none"/>
                <w:lang w:val="en-US" w:eastAsia="zh-CN" w:bidi="ar"/>
              </w:rPr>
              <w:t>/</w:t>
            </w:r>
            <w:r>
              <w:rPr>
                <w:rStyle w:val="54"/>
                <w:color w:val="auto"/>
                <w:highlight w:val="none"/>
                <w:lang w:val="en-US" w:eastAsia="zh-CN" w:bidi="ar"/>
              </w:rPr>
              <w:t>实际到位资金）×</w:t>
            </w:r>
            <w:r>
              <w:rPr>
                <w:rStyle w:val="46"/>
                <w:rFonts w:eastAsia="方正仿宋_GBK"/>
                <w:color w:val="auto"/>
                <w:highlight w:val="none"/>
                <w:lang w:val="en-US" w:eastAsia="zh-CN" w:bidi="ar"/>
              </w:rPr>
              <w:t>100%</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Style w:val="54"/>
                <w:color w:val="auto"/>
                <w:highlight w:val="none"/>
                <w:lang w:val="en-US" w:eastAsia="zh-CN" w:bidi="ar"/>
              </w:rPr>
              <w:t>实际支出资金：一定时期（本年度或项目期）内项目实际拨付的资金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①是否符合国家财经法规和财务管理制度以及有关专项资金管理办法的规定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；②资金的拨付是否有完整的审批程序和手续</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；③是否符合项目预算批复或合同规定的用途</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；④是否存在截留、挤占、挪用、虚列支出等情况</w:t>
            </w:r>
            <w:r>
              <w:rPr>
                <w:rFonts w:hint="eastAsia" w:ascii="方正仿宋_GBK" w:hAnsi="方正仿宋_GBK" w:eastAsia="方正仿宋_GBK" w:cs="方正仿宋_GBK"/>
                <w:i w:val="0"/>
                <w:iCs w:val="0"/>
                <w:color w:val="auto"/>
                <w:kern w:val="0"/>
                <w:sz w:val="24"/>
                <w:szCs w:val="24"/>
                <w:lang w:val="en-US" w:eastAsia="zh-CN" w:bidi="ar"/>
              </w:rPr>
              <w:t>得2分，否则不得分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①是否已制定或具有相应的财务和业务管理制度</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；②财务和业务管理制度是否合法、合规、完整</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①是否遵守相关法律法规和相关管理规定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；；②项目调整及支出调整手续是否完备</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；③项目合同书、验收报告、技术鉴定等资料是否齐全并及时归档</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；；④项目实施的人员条件、场地设备、信息支撑等是否落实到位</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产出数量（</w:t>
            </w:r>
            <w:r>
              <w:rPr>
                <w:rStyle w:val="46"/>
                <w:rFonts w:eastAsia="方正仿宋_GBK"/>
                <w:color w:val="auto"/>
                <w:highlight w:val="none"/>
                <w:lang w:val="en-US" w:eastAsia="zh-CN" w:bidi="ar"/>
              </w:rPr>
              <w:t>10</w:t>
            </w:r>
            <w:r>
              <w:rPr>
                <w:rStyle w:val="54"/>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①受助学生人数（人）</w:t>
            </w:r>
            <w:r>
              <w:rPr>
                <w:rFonts w:hint="eastAsia" w:ascii="方正仿宋_GBK" w:hAnsi="方正仿宋_GBK" w:eastAsia="方正仿宋_GBK" w:cs="方正仿宋_GBK"/>
                <w:color w:val="auto"/>
                <w:kern w:val="0"/>
                <w:sz w:val="24"/>
                <w:szCs w:val="24"/>
                <w:lang w:val="en-US" w:eastAsia="zh-CN" w:bidi="ar"/>
              </w:rPr>
              <w:t>,</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 xml:space="preserve">实际完成率=（实际产出数/计划产出数）×100% 。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实际产出数：一定时期（本年度或项目期）内项目实际产出的产品或提供的服务数量。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①受助学生覆盖率（%）完成该指标得满分（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分）；②公用经费享受比例（%）完成该指标得满分（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 xml:space="preserve">质量达标率=（质量达标产出数/实际产出数）×100%。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①项目完成时间2022年12月完成该指标得满分（</w:t>
            </w:r>
            <w:r>
              <w:rPr>
                <w:rFonts w:hint="eastAsia" w:ascii="方正仿宋_GBK" w:hAnsi="方正仿宋_GBK" w:eastAsia="方正仿宋_GBK" w:cs="方正仿宋_GBK"/>
                <w:color w:val="auto"/>
                <w:kern w:val="0"/>
                <w:sz w:val="24"/>
                <w:szCs w:val="24"/>
                <w:lang w:val="en-US" w:eastAsia="zh-CN" w:bidi="ar"/>
              </w:rPr>
              <w:t>3</w:t>
            </w:r>
            <w:r>
              <w:rPr>
                <w:rFonts w:hint="eastAsia" w:ascii="方正仿宋_GBK" w:hAnsi="方正仿宋_GBK" w:eastAsia="方正仿宋_GBK" w:cs="方正仿宋_GBK"/>
                <w:color w:val="auto"/>
                <w:kern w:val="0"/>
                <w:sz w:val="24"/>
                <w:szCs w:val="24"/>
                <w:lang w:bidi="ar"/>
              </w:rPr>
              <w:t>）否则不得分；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②资金按时拨付率（%）完成该指标得满分（</w:t>
            </w:r>
            <w:r>
              <w:rPr>
                <w:rFonts w:hint="eastAsia" w:ascii="方正仿宋_GBK" w:hAnsi="方正仿宋_GBK" w:eastAsia="方正仿宋_GBK" w:cs="方正仿宋_GBK"/>
                <w:color w:val="auto"/>
                <w:kern w:val="0"/>
                <w:sz w:val="24"/>
                <w:szCs w:val="24"/>
                <w:lang w:val="en-US" w:eastAsia="zh-CN" w:bidi="ar"/>
              </w:rPr>
              <w:t>3</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年度任务按时完成率（%）</w:t>
            </w:r>
            <w:r>
              <w:rPr>
                <w:rFonts w:hint="eastAsia" w:ascii="方正仿宋_GBK" w:hAnsi="方正仿宋_GBK" w:eastAsia="方正仿宋_GBK" w:cs="方正仿宋_GBK"/>
                <w:color w:val="auto"/>
                <w:kern w:val="0"/>
                <w:sz w:val="24"/>
                <w:szCs w:val="24"/>
                <w:lang w:bidi="ar"/>
              </w:rPr>
              <w:tab/>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4</w:t>
            </w:r>
            <w:r>
              <w:rPr>
                <w:rFonts w:hint="eastAsia" w:ascii="方正仿宋_GBK" w:hAnsi="方正仿宋_GBK" w:eastAsia="方正仿宋_GBK" w:cs="方正仿宋_GBK"/>
                <w:color w:val="auto"/>
                <w:kern w:val="0"/>
                <w:sz w:val="24"/>
                <w:szCs w:val="24"/>
                <w:lang w:bidi="ar"/>
              </w:rPr>
              <w:t>分）否则不得分；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实际完成时间：项目实施单位完成该项目实际所耗用的时间。                                                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50"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产出成本（10</w:t>
            </w:r>
            <w:r>
              <w:rPr>
                <w:rStyle w:val="54"/>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①中等职业教育学生平均补助（元/人/年）完成该指标得满分（</w:t>
            </w:r>
            <w:r>
              <w:rPr>
                <w:rFonts w:hint="eastAsia" w:ascii="方正仿宋_GBK" w:hAnsi="方正仿宋_GBK" w:eastAsia="方正仿宋_GBK" w:cs="方正仿宋_GBK"/>
                <w:color w:val="auto"/>
                <w:kern w:val="0"/>
                <w:sz w:val="24"/>
                <w:szCs w:val="24"/>
                <w:lang w:val="en-US" w:eastAsia="zh-CN" w:bidi="ar"/>
              </w:rPr>
              <w:t>9.99</w:t>
            </w:r>
            <w:r>
              <w:rPr>
                <w:rFonts w:hint="eastAsia" w:ascii="方正仿宋_GBK" w:hAnsi="方正仿宋_GBK" w:eastAsia="方正仿宋_GBK" w:cs="方正仿宋_GBK"/>
                <w:color w:val="auto"/>
                <w:kern w:val="0"/>
                <w:sz w:val="24"/>
                <w:szCs w:val="24"/>
                <w:lang w:bidi="ar"/>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①经济效益：</w:t>
            </w:r>
            <w:r>
              <w:rPr>
                <w:rFonts w:hint="eastAsia" w:ascii="方正仿宋_GBK" w:hAnsi="方正仿宋_GBK" w:eastAsia="方正仿宋_GBK" w:cs="方正仿宋_GBK"/>
                <w:color w:val="auto"/>
                <w:kern w:val="0"/>
                <w:sz w:val="24"/>
                <w:szCs w:val="24"/>
                <w:lang w:eastAsia="zh-CN" w:bidi="ar"/>
              </w:rPr>
              <w:t>无</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default" w:ascii="Calibri" w:hAnsi="Calibri" w:eastAsia="方正仿宋_GBK" w:cs="Calibri"/>
                <w:color w:val="auto"/>
                <w:kern w:val="0"/>
                <w:sz w:val="24"/>
                <w:szCs w:val="24"/>
                <w:lang w:eastAsia="zh-CN" w:bidi="ar"/>
              </w:rPr>
              <w:t>②</w:t>
            </w:r>
            <w:r>
              <w:rPr>
                <w:rFonts w:hint="eastAsia" w:ascii="方正仿宋_GBK" w:hAnsi="方正仿宋_GBK" w:eastAsia="方正仿宋_GBK" w:cs="方正仿宋_GBK"/>
                <w:color w:val="auto"/>
                <w:kern w:val="0"/>
                <w:sz w:val="24"/>
                <w:szCs w:val="24"/>
                <w:lang w:eastAsia="zh-CN" w:bidi="ar"/>
              </w:rPr>
              <w:t>社会效益</w:t>
            </w:r>
            <w:r>
              <w:rPr>
                <w:rFonts w:hint="eastAsia" w:ascii="方正仿宋_GBK" w:hAnsi="方正仿宋_GBK" w:eastAsia="方正仿宋_GBK" w:cs="方正仿宋_GBK"/>
                <w:color w:val="auto"/>
                <w:kern w:val="0"/>
                <w:sz w:val="24"/>
                <w:szCs w:val="24"/>
                <w:lang w:bidi="ar"/>
              </w:rPr>
              <w:t>：减轻学生家庭经济负担完成该指标得满分（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default" w:ascii="Calibri" w:hAnsi="Calibri" w:eastAsia="方正仿宋_GBK" w:cs="Calibri"/>
                <w:color w:val="auto"/>
                <w:kern w:val="0"/>
                <w:sz w:val="24"/>
                <w:szCs w:val="24"/>
                <w:lang w:bidi="ar"/>
              </w:rPr>
              <w:t>③</w:t>
            </w:r>
            <w:r>
              <w:rPr>
                <w:rFonts w:hint="eastAsia" w:ascii="方正仿宋_GBK" w:hAnsi="方正仿宋_GBK" w:eastAsia="方正仿宋_GBK" w:cs="方正仿宋_GBK"/>
                <w:color w:val="auto"/>
                <w:kern w:val="0"/>
                <w:sz w:val="24"/>
                <w:szCs w:val="24"/>
                <w:lang w:bidi="ar"/>
              </w:rPr>
              <w:t>生态效益：</w:t>
            </w:r>
            <w:r>
              <w:rPr>
                <w:rFonts w:hint="eastAsia" w:ascii="方正仿宋_GBK" w:hAnsi="方正仿宋_GBK" w:eastAsia="方正仿宋_GBK" w:cs="方正仿宋_GBK"/>
                <w:color w:val="auto"/>
                <w:kern w:val="0"/>
                <w:sz w:val="24"/>
                <w:szCs w:val="24"/>
                <w:lang w:eastAsia="zh-CN" w:bidi="ar"/>
              </w:rPr>
              <w:t>无</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④</w:t>
            </w:r>
            <w:r>
              <w:rPr>
                <w:rFonts w:hint="eastAsia" w:ascii="方正仿宋_GBK" w:hAnsi="方正仿宋_GBK" w:eastAsia="方正仿宋_GBK" w:cs="方正仿宋_GBK"/>
                <w:color w:val="auto"/>
                <w:kern w:val="0"/>
                <w:sz w:val="24"/>
                <w:szCs w:val="24"/>
                <w:lang w:eastAsia="zh-CN" w:bidi="ar"/>
              </w:rPr>
              <w:t>可持续影响</w:t>
            </w:r>
            <w:r>
              <w:rPr>
                <w:rFonts w:hint="eastAsia" w:ascii="方正仿宋_GBK" w:hAnsi="方正仿宋_GBK" w:eastAsia="方正仿宋_GBK" w:cs="方正仿宋_GBK"/>
                <w:color w:val="auto"/>
                <w:kern w:val="0"/>
                <w:sz w:val="24"/>
                <w:szCs w:val="24"/>
                <w:lang w:bidi="ar"/>
              </w:rPr>
              <w:t>：保障学校正常教育教学</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 xml:space="preserve">分）否则不得分；                       </w:t>
            </w:r>
            <w:r>
              <w:rPr>
                <w:rFonts w:hint="eastAsia" w:ascii="方正仿宋_GBK" w:hAnsi="方正仿宋_GBK" w:eastAsia="方正仿宋_GBK" w:cs="方正仿宋_GBK"/>
                <w:color w:val="auto"/>
                <w:kern w:val="0"/>
                <w:sz w:val="24"/>
                <w:szCs w:val="24"/>
                <w:lang w:bidi="ar"/>
              </w:rPr>
              <w:br w:type="textWrapping"/>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 xml:space="preserve">根据问卷调查，受益群众满意度达到满意的人数：                                      </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2"/>
                <w:sz w:val="24"/>
                <w:szCs w:val="24"/>
                <w:lang w:val="en-US" w:eastAsia="zh-CN" w:bidi="ar-SA"/>
              </w:rPr>
            </w:pPr>
            <w:r>
              <w:rPr>
                <w:rFonts w:hint="eastAsia" w:ascii="方正仿宋_GBK" w:hAnsi="方正仿宋_GBK" w:eastAsia="方正仿宋_GBK" w:cs="方正仿宋_GBK"/>
                <w:color w:val="auto"/>
                <w:kern w:val="0"/>
                <w:sz w:val="24"/>
                <w:szCs w:val="24"/>
                <w:lang w:bidi="ar"/>
              </w:rPr>
              <w:t>①人数大于等于95%，得10分；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②人数小于95%大于等于85%，得8分；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③人数小于85%大于等于70%，得5分；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④人数小于等于70%，不得分。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default" w:ascii="Times New Roman" w:hAnsi="Times New Roman" w:eastAsia="等线" w:cs="Times New Roman"/>
                <w:i w:val="0"/>
                <w:iCs w:val="0"/>
                <w:color w:val="auto"/>
                <w:sz w:val="24"/>
                <w:szCs w:val="24"/>
                <w:highlight w:val="none"/>
                <w:u w:val="none"/>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99.72</w:t>
            </w:r>
          </w:p>
        </w:tc>
      </w:tr>
    </w:tbl>
    <w:p>
      <w:pPr>
        <w:pStyle w:val="33"/>
        <w:pageBreakBefore w:val="0"/>
        <w:kinsoku/>
        <w:wordWrap/>
        <w:topLinePunct w:val="0"/>
        <w:autoSpaceDE/>
        <w:bidi w:val="0"/>
        <w:spacing w:line="560" w:lineRule="exact"/>
        <w:ind w:firstLine="0" w:firstLineChars="0"/>
        <w:rPr>
          <w:rFonts w:hint="eastAsia" w:ascii="方正仿宋_GBK" w:hAnsi="方正仿宋_GBK" w:eastAsia="方正仿宋_GBK" w:cs="方正仿宋_GBK"/>
          <w:color w:val="auto"/>
          <w:sz w:val="32"/>
          <w:szCs w:val="32"/>
        </w:rPr>
        <w:sectPr>
          <w:pgSz w:w="11906" w:h="16838"/>
          <w:pgMar w:top="1531" w:right="1701" w:bottom="1531" w:left="1984" w:header="851" w:footer="992" w:gutter="0"/>
          <w:cols w:space="720" w:num="1"/>
          <w:docGrid w:type="lines" w:linePitch="312" w:charSpace="0"/>
        </w:sectPr>
      </w:pPr>
    </w:p>
    <w:p>
      <w:pPr>
        <w:pageBreakBefore w:val="0"/>
        <w:kinsoku/>
        <w:wordWrap/>
        <w:overflowPunct w:val="0"/>
        <w:topLinePunct w:val="0"/>
        <w:autoSpaceDE/>
        <w:autoSpaceDN/>
        <w:bidi w:val="0"/>
        <w:spacing w:line="560" w:lineRule="exact"/>
        <w:ind w:firstLine="643"/>
        <w:contextualSpacing/>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kern w:val="2"/>
          <w:sz w:val="32"/>
          <w:szCs w:val="32"/>
          <w:lang w:val="en-US" w:eastAsia="zh-CN" w:bidi="ar-SA"/>
        </w:rPr>
        <w:t>附件2：满意度调查问卷</w:t>
      </w:r>
    </w:p>
    <w:p>
      <w:pPr>
        <w:keepLines w:val="0"/>
        <w:pageBreakBefore w:val="0"/>
        <w:kinsoku/>
        <w:wordWrap/>
        <w:topLinePunct w:val="0"/>
        <w:autoSpaceDE/>
        <w:bidi w:val="0"/>
        <w:spacing w:after="400" w:line="560" w:lineRule="exact"/>
        <w:ind w:firstLine="160"/>
        <w:jc w:val="center"/>
        <w:rPr>
          <w:color w:val="auto"/>
        </w:rPr>
      </w:pPr>
      <w:r>
        <w:rPr>
          <w:b/>
          <w:color w:val="auto"/>
          <w:sz w:val="32"/>
        </w:rPr>
        <w:t>伽师县</w:t>
      </w:r>
      <w:r>
        <w:rPr>
          <w:rFonts w:hint="eastAsia" w:eastAsia="宋体"/>
          <w:b/>
          <w:color w:val="auto"/>
          <w:sz w:val="32"/>
          <w:lang w:val="en-US" w:eastAsia="zh-CN"/>
        </w:rPr>
        <w:t>中职</w:t>
      </w:r>
      <w:r>
        <w:rPr>
          <w:b/>
          <w:color w:val="auto"/>
          <w:sz w:val="32"/>
        </w:rPr>
        <w:t>学校202</w:t>
      </w:r>
      <w:r>
        <w:rPr>
          <w:rFonts w:hint="eastAsia" w:eastAsia="宋体"/>
          <w:b/>
          <w:color w:val="auto"/>
          <w:sz w:val="32"/>
          <w:lang w:val="en-US" w:eastAsia="zh-CN"/>
        </w:rPr>
        <w:t>2</w:t>
      </w:r>
      <w:r>
        <w:rPr>
          <w:b/>
          <w:color w:val="auto"/>
          <w:sz w:val="32"/>
        </w:rPr>
        <w:t>年生均公用经费项目</w:t>
      </w:r>
    </w:p>
    <w:p>
      <w:pPr>
        <w:pageBreakBefore w:val="0"/>
        <w:kinsoku/>
        <w:wordWrap/>
        <w:topLinePunct w:val="0"/>
        <w:autoSpaceDE/>
        <w:bidi w:val="0"/>
        <w:spacing w:line="560" w:lineRule="exact"/>
        <w:jc w:val="left"/>
        <w:rPr>
          <w:b/>
          <w:bCs/>
          <w:color w:val="auto"/>
          <w:sz w:val="24"/>
        </w:rPr>
      </w:pPr>
      <w:r>
        <w:rPr>
          <w:b/>
          <w:bCs/>
          <w:color w:val="auto"/>
          <w:sz w:val="18"/>
          <w:szCs w:val="18"/>
        </w:rPr>
        <w:t xml:space="preserve">第1题   </w:t>
      </w:r>
      <w:r>
        <w:rPr>
          <w:rFonts w:hint="eastAsia" w:eastAsia="宋体"/>
          <w:b/>
          <w:bCs/>
          <w:color w:val="auto"/>
          <w:sz w:val="18"/>
          <w:szCs w:val="18"/>
          <w:lang w:val="en-US" w:eastAsia="zh-CN"/>
        </w:rPr>
        <w:t>你认为</w:t>
      </w:r>
      <w:r>
        <w:rPr>
          <w:b/>
          <w:bCs/>
          <w:color w:val="auto"/>
          <w:sz w:val="18"/>
          <w:szCs w:val="18"/>
        </w:rPr>
        <w:t>该项目资金使用合格吗？      [单选题]</w:t>
      </w:r>
    </w:p>
    <w:tbl>
      <w:tblPr>
        <w:tblStyle w:val="26"/>
        <w:tblW w:w="825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4"/>
        <w:gridCol w:w="1515"/>
        <w:gridCol w:w="200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82" w:hRule="atLeast"/>
        </w:trPr>
        <w:tc>
          <w:tcPr>
            <w:tcW w:w="4734"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选项</w:t>
            </w:r>
          </w:p>
        </w:tc>
        <w:tc>
          <w:tcPr>
            <w:tcW w:w="1515" w:type="dxa"/>
            <w:shd w:val="clear" w:color="auto" w:fill="F5F5F5"/>
            <w:vAlign w:val="center"/>
          </w:tcPr>
          <w:p>
            <w:pPr>
              <w:pageBreakBefore w:val="0"/>
              <w:kinsoku/>
              <w:wordWrap/>
              <w:topLinePunct w:val="0"/>
              <w:autoSpaceDE/>
              <w:bidi w:val="0"/>
              <w:spacing w:line="560" w:lineRule="exact"/>
              <w:jc w:val="center"/>
              <w:rPr>
                <w:color w:val="auto"/>
                <w:sz w:val="18"/>
                <w:szCs w:val="18"/>
              </w:rPr>
            </w:pPr>
            <w:r>
              <w:rPr>
                <w:color w:val="auto"/>
                <w:sz w:val="18"/>
                <w:szCs w:val="18"/>
              </w:rPr>
              <w:t>小计</w:t>
            </w:r>
          </w:p>
        </w:tc>
        <w:tc>
          <w:tcPr>
            <w:tcW w:w="2009"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82" w:hRule="atLeast"/>
        </w:trPr>
        <w:tc>
          <w:tcPr>
            <w:tcW w:w="4734"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合格</w:t>
            </w:r>
          </w:p>
        </w:tc>
        <w:tc>
          <w:tcPr>
            <w:tcW w:w="1515" w:type="dxa"/>
            <w:shd w:val="clear" w:color="auto" w:fill="FFFFFF"/>
            <w:vAlign w:val="center"/>
          </w:tcPr>
          <w:p>
            <w:pPr>
              <w:pageBreakBefore w:val="0"/>
              <w:kinsoku/>
              <w:wordWrap/>
              <w:topLinePunct w:val="0"/>
              <w:autoSpaceDE/>
              <w:bidi w:val="0"/>
              <w:spacing w:line="560" w:lineRule="exact"/>
              <w:jc w:val="center"/>
              <w:rPr>
                <w:rFonts w:hint="default" w:eastAsia="宋体"/>
                <w:color w:val="auto"/>
                <w:sz w:val="18"/>
                <w:szCs w:val="18"/>
                <w:lang w:val="en-US" w:eastAsia="zh-CN"/>
              </w:rPr>
            </w:pPr>
            <w:r>
              <w:rPr>
                <w:rFonts w:hint="eastAsia" w:eastAsia="宋体"/>
                <w:color w:val="auto"/>
                <w:sz w:val="18"/>
                <w:szCs w:val="18"/>
                <w:lang w:val="en-US" w:eastAsia="zh-CN"/>
              </w:rPr>
              <w:t>11</w:t>
            </w:r>
          </w:p>
        </w:tc>
        <w:tc>
          <w:tcPr>
            <w:tcW w:w="2009" w:type="dxa"/>
            <w:shd w:val="clear" w:color="auto" w:fill="FFFFFF"/>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82" w:hRule="atLeast"/>
        </w:trPr>
        <w:tc>
          <w:tcPr>
            <w:tcW w:w="4734" w:type="dxa"/>
            <w:shd w:val="clear" w:color="auto" w:fill="FAFAFA"/>
            <w:vAlign w:val="center"/>
          </w:tcPr>
          <w:p>
            <w:pPr>
              <w:pageBreakBefore w:val="0"/>
              <w:kinsoku/>
              <w:wordWrap/>
              <w:topLinePunct w:val="0"/>
              <w:autoSpaceDE/>
              <w:bidi w:val="0"/>
              <w:spacing w:line="560" w:lineRule="exact"/>
              <w:jc w:val="left"/>
              <w:rPr>
                <w:color w:val="auto"/>
                <w:sz w:val="18"/>
                <w:szCs w:val="18"/>
              </w:rPr>
            </w:pPr>
            <w:r>
              <w:rPr>
                <w:color w:val="auto"/>
                <w:sz w:val="18"/>
                <w:szCs w:val="18"/>
              </w:rPr>
              <w:t>非常合格</w:t>
            </w:r>
          </w:p>
        </w:tc>
        <w:tc>
          <w:tcPr>
            <w:tcW w:w="1515" w:type="dxa"/>
            <w:shd w:val="clear" w:color="auto" w:fill="FAFAFA"/>
            <w:vAlign w:val="center"/>
          </w:tcPr>
          <w:p>
            <w:pPr>
              <w:pageBreakBefore w:val="0"/>
              <w:kinsoku/>
              <w:wordWrap/>
              <w:topLinePunct w:val="0"/>
              <w:autoSpaceDE/>
              <w:bidi w:val="0"/>
              <w:spacing w:line="560" w:lineRule="exact"/>
              <w:jc w:val="center"/>
              <w:rPr>
                <w:rFonts w:hint="default" w:eastAsia="宋体"/>
                <w:color w:val="auto"/>
                <w:sz w:val="18"/>
                <w:szCs w:val="18"/>
                <w:lang w:val="en-US" w:eastAsia="zh-CN"/>
              </w:rPr>
            </w:pPr>
            <w:r>
              <w:rPr>
                <w:rFonts w:hint="eastAsia" w:eastAsia="宋体"/>
                <w:color w:val="auto"/>
                <w:sz w:val="18"/>
                <w:szCs w:val="18"/>
                <w:lang w:val="en-US" w:eastAsia="zh-CN"/>
              </w:rPr>
              <w:t>199</w:t>
            </w:r>
          </w:p>
        </w:tc>
        <w:tc>
          <w:tcPr>
            <w:tcW w:w="2009" w:type="dxa"/>
            <w:shd w:val="clear" w:color="auto" w:fill="FAFAFA"/>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95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96" w:hRule="atLeast"/>
        </w:trPr>
        <w:tc>
          <w:tcPr>
            <w:tcW w:w="4734"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本题有效填写人次</w:t>
            </w:r>
          </w:p>
        </w:tc>
        <w:tc>
          <w:tcPr>
            <w:tcW w:w="1515" w:type="dxa"/>
            <w:shd w:val="clear" w:color="auto" w:fill="F5F5F5"/>
            <w:vAlign w:val="center"/>
          </w:tcPr>
          <w:p>
            <w:pPr>
              <w:pageBreakBefore w:val="0"/>
              <w:kinsoku/>
              <w:wordWrap/>
              <w:topLinePunct w:val="0"/>
              <w:autoSpaceDE/>
              <w:bidi w:val="0"/>
              <w:spacing w:line="560" w:lineRule="exact"/>
              <w:jc w:val="center"/>
              <w:rPr>
                <w:rFonts w:hint="default" w:eastAsia="宋体"/>
                <w:color w:val="auto"/>
                <w:sz w:val="18"/>
                <w:szCs w:val="18"/>
                <w:lang w:val="en-US" w:eastAsia="zh-CN"/>
              </w:rPr>
            </w:pPr>
            <w:r>
              <w:rPr>
                <w:rFonts w:hint="eastAsia" w:eastAsia="宋体"/>
                <w:color w:val="auto"/>
                <w:sz w:val="18"/>
                <w:szCs w:val="18"/>
                <w:lang w:val="en-US" w:eastAsia="zh-CN"/>
              </w:rPr>
              <w:t>210</w:t>
            </w:r>
          </w:p>
        </w:tc>
        <w:tc>
          <w:tcPr>
            <w:tcW w:w="2009" w:type="dxa"/>
            <w:shd w:val="clear" w:color="auto" w:fill="F5F5F5"/>
            <w:vAlign w:val="center"/>
          </w:tcPr>
          <w:p>
            <w:pPr>
              <w:pageBreakBefore w:val="0"/>
              <w:kinsoku/>
              <w:wordWrap/>
              <w:topLinePunct w:val="0"/>
              <w:autoSpaceDE/>
              <w:bidi w:val="0"/>
              <w:spacing w:line="560" w:lineRule="exact"/>
              <w:jc w:val="left"/>
              <w:rPr>
                <w:color w:val="auto"/>
                <w:sz w:val="18"/>
                <w:szCs w:val="18"/>
              </w:rPr>
            </w:pPr>
          </w:p>
        </w:tc>
      </w:tr>
    </w:tbl>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jc w:val="left"/>
        <w:rPr>
          <w:b/>
          <w:bCs/>
          <w:color w:val="auto"/>
          <w:sz w:val="18"/>
          <w:szCs w:val="18"/>
        </w:rPr>
      </w:pPr>
      <w:r>
        <w:rPr>
          <w:b/>
          <w:bCs/>
          <w:color w:val="auto"/>
          <w:sz w:val="18"/>
          <w:szCs w:val="18"/>
        </w:rPr>
        <w:t xml:space="preserve">第2题   </w:t>
      </w:r>
      <w:r>
        <w:rPr>
          <w:rFonts w:hint="eastAsia" w:eastAsia="宋体"/>
          <w:b/>
          <w:bCs/>
          <w:color w:val="auto"/>
          <w:sz w:val="18"/>
          <w:szCs w:val="18"/>
          <w:lang w:val="en-US" w:eastAsia="zh-CN"/>
        </w:rPr>
        <w:t>你认为</w:t>
      </w:r>
      <w:r>
        <w:rPr>
          <w:b/>
          <w:bCs/>
          <w:color w:val="auto"/>
          <w:sz w:val="18"/>
          <w:szCs w:val="18"/>
        </w:rPr>
        <w:t>该项目补助标准达标吗？      [单选题]</w:t>
      </w:r>
    </w:p>
    <w:tbl>
      <w:tblPr>
        <w:tblStyle w:val="26"/>
        <w:tblW w:w="833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01"/>
        <w:gridCol w:w="1532"/>
        <w:gridCol w:w="210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4" w:hRule="atLeast"/>
        </w:trPr>
        <w:tc>
          <w:tcPr>
            <w:tcW w:w="4701"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选项</w:t>
            </w:r>
          </w:p>
        </w:tc>
        <w:tc>
          <w:tcPr>
            <w:tcW w:w="1532"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小计</w:t>
            </w:r>
          </w:p>
        </w:tc>
        <w:tc>
          <w:tcPr>
            <w:tcW w:w="2105"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4" w:hRule="atLeast"/>
        </w:trPr>
        <w:tc>
          <w:tcPr>
            <w:tcW w:w="4701"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达标</w:t>
            </w:r>
          </w:p>
        </w:tc>
        <w:tc>
          <w:tcPr>
            <w:tcW w:w="1532" w:type="dxa"/>
            <w:shd w:val="clear" w:color="auto" w:fill="FFFFFF"/>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11</w:t>
            </w:r>
          </w:p>
        </w:tc>
        <w:tc>
          <w:tcPr>
            <w:tcW w:w="2105" w:type="dxa"/>
            <w:shd w:val="clear" w:color="auto" w:fill="FFFFFF"/>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4" w:hRule="atLeast"/>
        </w:trPr>
        <w:tc>
          <w:tcPr>
            <w:tcW w:w="4701" w:type="dxa"/>
            <w:shd w:val="clear" w:color="auto" w:fill="FAFAFA"/>
            <w:vAlign w:val="center"/>
          </w:tcPr>
          <w:p>
            <w:pPr>
              <w:pageBreakBefore w:val="0"/>
              <w:kinsoku/>
              <w:wordWrap/>
              <w:topLinePunct w:val="0"/>
              <w:autoSpaceDE/>
              <w:bidi w:val="0"/>
              <w:spacing w:line="560" w:lineRule="exact"/>
              <w:jc w:val="left"/>
              <w:rPr>
                <w:color w:val="auto"/>
                <w:sz w:val="18"/>
                <w:szCs w:val="18"/>
              </w:rPr>
            </w:pPr>
            <w:r>
              <w:rPr>
                <w:color w:val="auto"/>
                <w:sz w:val="18"/>
                <w:szCs w:val="18"/>
              </w:rPr>
              <w:t>都达标</w:t>
            </w:r>
          </w:p>
        </w:tc>
        <w:tc>
          <w:tcPr>
            <w:tcW w:w="1532" w:type="dxa"/>
            <w:shd w:val="clear" w:color="auto" w:fill="FAFAFA"/>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199</w:t>
            </w:r>
          </w:p>
        </w:tc>
        <w:tc>
          <w:tcPr>
            <w:tcW w:w="2105" w:type="dxa"/>
            <w:shd w:val="clear" w:color="auto" w:fill="FAFAFA"/>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95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78" w:hRule="atLeast"/>
        </w:trPr>
        <w:tc>
          <w:tcPr>
            <w:tcW w:w="4701"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本题有效填写人次</w:t>
            </w:r>
          </w:p>
        </w:tc>
        <w:tc>
          <w:tcPr>
            <w:tcW w:w="1532" w:type="dxa"/>
            <w:shd w:val="clear" w:color="auto" w:fill="F5F5F5"/>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210</w:t>
            </w:r>
          </w:p>
        </w:tc>
        <w:tc>
          <w:tcPr>
            <w:tcW w:w="2105" w:type="dxa"/>
            <w:shd w:val="clear" w:color="auto" w:fill="F5F5F5"/>
            <w:vAlign w:val="center"/>
          </w:tcPr>
          <w:p>
            <w:pPr>
              <w:pageBreakBefore w:val="0"/>
              <w:kinsoku/>
              <w:wordWrap/>
              <w:topLinePunct w:val="0"/>
              <w:autoSpaceDE/>
              <w:bidi w:val="0"/>
              <w:spacing w:line="560" w:lineRule="exact"/>
              <w:jc w:val="left"/>
              <w:rPr>
                <w:color w:val="auto"/>
                <w:sz w:val="18"/>
                <w:szCs w:val="18"/>
              </w:rPr>
            </w:pPr>
          </w:p>
        </w:tc>
      </w:tr>
    </w:tbl>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jc w:val="left"/>
        <w:rPr>
          <w:b/>
          <w:bCs/>
          <w:color w:val="auto"/>
          <w:sz w:val="18"/>
          <w:szCs w:val="18"/>
        </w:rPr>
      </w:pPr>
      <w:r>
        <w:rPr>
          <w:b/>
          <w:bCs/>
          <w:color w:val="auto"/>
          <w:sz w:val="18"/>
          <w:szCs w:val="18"/>
        </w:rPr>
        <w:t xml:space="preserve">第3题  </w:t>
      </w:r>
      <w:r>
        <w:rPr>
          <w:rFonts w:hint="eastAsia" w:eastAsia="宋体"/>
          <w:b/>
          <w:bCs/>
          <w:color w:val="auto"/>
          <w:sz w:val="18"/>
          <w:szCs w:val="18"/>
          <w:lang w:val="en-US" w:eastAsia="zh-CN"/>
        </w:rPr>
        <w:t>你认为</w:t>
      </w:r>
      <w:r>
        <w:rPr>
          <w:b/>
          <w:bCs/>
          <w:color w:val="auto"/>
          <w:sz w:val="18"/>
          <w:szCs w:val="18"/>
        </w:rPr>
        <w:t>该项目发放及时吗？      [单选题]</w:t>
      </w:r>
    </w:p>
    <w:tbl>
      <w:tblPr>
        <w:tblStyle w:val="26"/>
        <w:tblW w:w="829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678"/>
        <w:gridCol w:w="1525"/>
        <w:gridCol w:w="209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3" w:hRule="atLeast"/>
        </w:trPr>
        <w:tc>
          <w:tcPr>
            <w:tcW w:w="4678"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选项</w:t>
            </w:r>
          </w:p>
        </w:tc>
        <w:tc>
          <w:tcPr>
            <w:tcW w:w="1525"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小计</w:t>
            </w:r>
          </w:p>
        </w:tc>
        <w:tc>
          <w:tcPr>
            <w:tcW w:w="2094"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3" w:hRule="atLeast"/>
        </w:trPr>
        <w:tc>
          <w:tcPr>
            <w:tcW w:w="4678"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及时</w:t>
            </w:r>
          </w:p>
        </w:tc>
        <w:tc>
          <w:tcPr>
            <w:tcW w:w="1525" w:type="dxa"/>
            <w:shd w:val="clear" w:color="auto" w:fill="FFFFFF"/>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11</w:t>
            </w:r>
          </w:p>
        </w:tc>
        <w:tc>
          <w:tcPr>
            <w:tcW w:w="2094" w:type="dxa"/>
            <w:shd w:val="clear" w:color="auto" w:fill="FFFFFF"/>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3" w:hRule="atLeast"/>
        </w:trPr>
        <w:tc>
          <w:tcPr>
            <w:tcW w:w="4678" w:type="dxa"/>
            <w:shd w:val="clear" w:color="auto" w:fill="FAFAFA"/>
            <w:vAlign w:val="center"/>
          </w:tcPr>
          <w:p>
            <w:pPr>
              <w:pageBreakBefore w:val="0"/>
              <w:kinsoku/>
              <w:wordWrap/>
              <w:topLinePunct w:val="0"/>
              <w:autoSpaceDE/>
              <w:bidi w:val="0"/>
              <w:spacing w:line="560" w:lineRule="exact"/>
              <w:jc w:val="left"/>
              <w:rPr>
                <w:color w:val="auto"/>
                <w:sz w:val="18"/>
                <w:szCs w:val="18"/>
              </w:rPr>
            </w:pPr>
            <w:r>
              <w:rPr>
                <w:color w:val="auto"/>
                <w:sz w:val="18"/>
                <w:szCs w:val="18"/>
              </w:rPr>
              <w:t>非常及时</w:t>
            </w:r>
          </w:p>
        </w:tc>
        <w:tc>
          <w:tcPr>
            <w:tcW w:w="1525" w:type="dxa"/>
            <w:shd w:val="clear" w:color="auto" w:fill="FAFAFA"/>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199</w:t>
            </w:r>
          </w:p>
        </w:tc>
        <w:tc>
          <w:tcPr>
            <w:tcW w:w="2094" w:type="dxa"/>
            <w:shd w:val="clear" w:color="auto" w:fill="FAFAFA"/>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95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8" w:hRule="atLeast"/>
        </w:trPr>
        <w:tc>
          <w:tcPr>
            <w:tcW w:w="4678"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本题有效填写人次</w:t>
            </w:r>
          </w:p>
        </w:tc>
        <w:tc>
          <w:tcPr>
            <w:tcW w:w="1525" w:type="dxa"/>
            <w:shd w:val="clear" w:color="auto" w:fill="F5F5F5"/>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210</w:t>
            </w:r>
          </w:p>
        </w:tc>
        <w:tc>
          <w:tcPr>
            <w:tcW w:w="2094" w:type="dxa"/>
            <w:shd w:val="clear" w:color="auto" w:fill="F5F5F5"/>
            <w:vAlign w:val="center"/>
          </w:tcPr>
          <w:p>
            <w:pPr>
              <w:pageBreakBefore w:val="0"/>
              <w:kinsoku/>
              <w:wordWrap/>
              <w:topLinePunct w:val="0"/>
              <w:autoSpaceDE/>
              <w:bidi w:val="0"/>
              <w:spacing w:line="560" w:lineRule="exact"/>
              <w:jc w:val="left"/>
              <w:rPr>
                <w:color w:val="auto"/>
                <w:sz w:val="18"/>
                <w:szCs w:val="18"/>
              </w:rPr>
            </w:pPr>
          </w:p>
        </w:tc>
      </w:tr>
    </w:tbl>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jc w:val="left"/>
        <w:rPr>
          <w:b/>
          <w:bCs/>
          <w:color w:val="auto"/>
          <w:sz w:val="18"/>
          <w:szCs w:val="18"/>
        </w:rPr>
      </w:pPr>
      <w:r>
        <w:rPr>
          <w:b/>
          <w:bCs/>
          <w:color w:val="auto"/>
          <w:sz w:val="18"/>
          <w:szCs w:val="18"/>
        </w:rPr>
        <w:t xml:space="preserve">第4题   </w:t>
      </w:r>
      <w:r>
        <w:rPr>
          <w:rFonts w:hint="eastAsia" w:eastAsia="宋体"/>
          <w:b/>
          <w:bCs/>
          <w:color w:val="auto"/>
          <w:sz w:val="18"/>
          <w:szCs w:val="18"/>
          <w:lang w:val="en-US" w:eastAsia="zh-CN"/>
        </w:rPr>
        <w:t>你认为</w:t>
      </w:r>
      <w:r>
        <w:rPr>
          <w:b/>
          <w:bCs/>
          <w:color w:val="auto"/>
          <w:sz w:val="18"/>
          <w:szCs w:val="18"/>
        </w:rPr>
        <w:t>该项目补助标准合格吗？      [单选题]</w:t>
      </w: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5"/>
        <w:gridCol w:w="1543"/>
        <w:gridCol w:w="212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选项</w:t>
            </w:r>
          </w:p>
        </w:tc>
        <w:tc>
          <w:tcPr>
            <w:tcW w:w="1543"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小计</w:t>
            </w:r>
          </w:p>
        </w:tc>
        <w:tc>
          <w:tcPr>
            <w:tcW w:w="2120"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合格</w:t>
            </w:r>
          </w:p>
        </w:tc>
        <w:tc>
          <w:tcPr>
            <w:tcW w:w="1543" w:type="dxa"/>
            <w:shd w:val="clear" w:color="auto" w:fill="FFFFFF"/>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11</w:t>
            </w:r>
          </w:p>
        </w:tc>
        <w:tc>
          <w:tcPr>
            <w:tcW w:w="2120" w:type="dxa"/>
            <w:shd w:val="clear" w:color="auto" w:fill="FFFFFF"/>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AFAFA"/>
            <w:vAlign w:val="center"/>
          </w:tcPr>
          <w:p>
            <w:pPr>
              <w:pageBreakBefore w:val="0"/>
              <w:kinsoku/>
              <w:wordWrap/>
              <w:topLinePunct w:val="0"/>
              <w:autoSpaceDE/>
              <w:bidi w:val="0"/>
              <w:spacing w:line="560" w:lineRule="exact"/>
              <w:jc w:val="left"/>
              <w:rPr>
                <w:color w:val="auto"/>
                <w:sz w:val="18"/>
                <w:szCs w:val="18"/>
              </w:rPr>
            </w:pPr>
            <w:r>
              <w:rPr>
                <w:color w:val="auto"/>
                <w:sz w:val="18"/>
                <w:szCs w:val="18"/>
              </w:rPr>
              <w:t>非常合格</w:t>
            </w:r>
          </w:p>
        </w:tc>
        <w:tc>
          <w:tcPr>
            <w:tcW w:w="1543" w:type="dxa"/>
            <w:shd w:val="clear" w:color="auto" w:fill="FAFAFA"/>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199</w:t>
            </w:r>
          </w:p>
        </w:tc>
        <w:tc>
          <w:tcPr>
            <w:tcW w:w="2120" w:type="dxa"/>
            <w:shd w:val="clear" w:color="auto" w:fill="FAFAFA"/>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95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735"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本题有效填写人次</w:t>
            </w:r>
          </w:p>
        </w:tc>
        <w:tc>
          <w:tcPr>
            <w:tcW w:w="1543" w:type="dxa"/>
            <w:shd w:val="clear" w:color="auto" w:fill="F5F5F5"/>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210</w:t>
            </w:r>
          </w:p>
        </w:tc>
        <w:tc>
          <w:tcPr>
            <w:tcW w:w="2120" w:type="dxa"/>
            <w:shd w:val="clear" w:color="auto" w:fill="F5F5F5"/>
            <w:vAlign w:val="center"/>
          </w:tcPr>
          <w:p>
            <w:pPr>
              <w:pageBreakBefore w:val="0"/>
              <w:kinsoku/>
              <w:wordWrap/>
              <w:topLinePunct w:val="0"/>
              <w:autoSpaceDE/>
              <w:bidi w:val="0"/>
              <w:spacing w:line="560" w:lineRule="exact"/>
              <w:jc w:val="left"/>
              <w:rPr>
                <w:color w:val="auto"/>
                <w:sz w:val="18"/>
                <w:szCs w:val="18"/>
              </w:rPr>
            </w:pPr>
          </w:p>
        </w:tc>
      </w:tr>
    </w:tbl>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jc w:val="left"/>
        <w:rPr>
          <w:b/>
          <w:bCs/>
          <w:color w:val="auto"/>
          <w:sz w:val="18"/>
          <w:szCs w:val="18"/>
        </w:rPr>
      </w:pPr>
      <w:r>
        <w:rPr>
          <w:b/>
          <w:bCs/>
          <w:color w:val="auto"/>
          <w:sz w:val="18"/>
          <w:szCs w:val="18"/>
        </w:rPr>
        <w:t xml:space="preserve">第5题   </w:t>
      </w:r>
      <w:r>
        <w:rPr>
          <w:rFonts w:hint="eastAsia" w:eastAsia="宋体"/>
          <w:b/>
          <w:bCs/>
          <w:color w:val="auto"/>
          <w:sz w:val="18"/>
          <w:szCs w:val="18"/>
          <w:lang w:val="en-US" w:eastAsia="zh-CN"/>
        </w:rPr>
        <w:t>你认为</w:t>
      </w:r>
      <w:r>
        <w:rPr>
          <w:b/>
          <w:bCs/>
          <w:color w:val="auto"/>
          <w:sz w:val="18"/>
          <w:szCs w:val="18"/>
        </w:rPr>
        <w:t>该项目社会效益有改善吗？      [单选题]</w:t>
      </w:r>
    </w:p>
    <w:tbl>
      <w:tblPr>
        <w:tblStyle w:val="26"/>
        <w:tblW w:w="8459"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70"/>
        <w:gridCol w:w="1554"/>
        <w:gridCol w:w="213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3" w:hRule="atLeast"/>
        </w:trPr>
        <w:tc>
          <w:tcPr>
            <w:tcW w:w="4770"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选项</w:t>
            </w:r>
          </w:p>
        </w:tc>
        <w:tc>
          <w:tcPr>
            <w:tcW w:w="1554"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小计</w:t>
            </w:r>
          </w:p>
        </w:tc>
        <w:tc>
          <w:tcPr>
            <w:tcW w:w="2135"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3" w:hRule="atLeast"/>
        </w:trPr>
        <w:tc>
          <w:tcPr>
            <w:tcW w:w="4770"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有改善</w:t>
            </w:r>
          </w:p>
        </w:tc>
        <w:tc>
          <w:tcPr>
            <w:tcW w:w="1554" w:type="dxa"/>
            <w:shd w:val="clear" w:color="auto" w:fill="FFFFFF"/>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11</w:t>
            </w:r>
          </w:p>
        </w:tc>
        <w:tc>
          <w:tcPr>
            <w:tcW w:w="2135" w:type="dxa"/>
            <w:shd w:val="clear" w:color="auto" w:fill="FFFFFF"/>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3" w:hRule="atLeast"/>
        </w:trPr>
        <w:tc>
          <w:tcPr>
            <w:tcW w:w="4770" w:type="dxa"/>
            <w:shd w:val="clear" w:color="auto" w:fill="FAFAFA"/>
            <w:vAlign w:val="center"/>
          </w:tcPr>
          <w:p>
            <w:pPr>
              <w:pageBreakBefore w:val="0"/>
              <w:kinsoku/>
              <w:wordWrap/>
              <w:topLinePunct w:val="0"/>
              <w:autoSpaceDE/>
              <w:bidi w:val="0"/>
              <w:spacing w:line="560" w:lineRule="exact"/>
              <w:jc w:val="left"/>
              <w:rPr>
                <w:color w:val="auto"/>
                <w:sz w:val="18"/>
                <w:szCs w:val="18"/>
              </w:rPr>
            </w:pPr>
            <w:r>
              <w:rPr>
                <w:color w:val="auto"/>
                <w:sz w:val="18"/>
                <w:szCs w:val="18"/>
              </w:rPr>
              <w:t>改善很大</w:t>
            </w:r>
          </w:p>
        </w:tc>
        <w:tc>
          <w:tcPr>
            <w:tcW w:w="1554" w:type="dxa"/>
            <w:shd w:val="clear" w:color="auto" w:fill="FAFAFA"/>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199</w:t>
            </w:r>
          </w:p>
        </w:tc>
        <w:tc>
          <w:tcPr>
            <w:tcW w:w="2135" w:type="dxa"/>
            <w:shd w:val="clear" w:color="auto" w:fill="FAFAFA"/>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95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8" w:hRule="atLeast"/>
        </w:trPr>
        <w:tc>
          <w:tcPr>
            <w:tcW w:w="4770"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本题有效填写人次</w:t>
            </w:r>
          </w:p>
        </w:tc>
        <w:tc>
          <w:tcPr>
            <w:tcW w:w="1554" w:type="dxa"/>
            <w:shd w:val="clear" w:color="auto" w:fill="F5F5F5"/>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210</w:t>
            </w:r>
          </w:p>
        </w:tc>
        <w:tc>
          <w:tcPr>
            <w:tcW w:w="2135" w:type="dxa"/>
            <w:shd w:val="clear" w:color="auto" w:fill="F5F5F5"/>
            <w:vAlign w:val="center"/>
          </w:tcPr>
          <w:p>
            <w:pPr>
              <w:pageBreakBefore w:val="0"/>
              <w:kinsoku/>
              <w:wordWrap/>
              <w:topLinePunct w:val="0"/>
              <w:autoSpaceDE/>
              <w:bidi w:val="0"/>
              <w:spacing w:line="560" w:lineRule="exact"/>
              <w:jc w:val="left"/>
              <w:rPr>
                <w:color w:val="auto"/>
                <w:sz w:val="18"/>
                <w:szCs w:val="18"/>
              </w:rPr>
            </w:pPr>
          </w:p>
        </w:tc>
      </w:tr>
    </w:tbl>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jc w:val="left"/>
        <w:rPr>
          <w:b/>
          <w:bCs/>
          <w:color w:val="auto"/>
          <w:sz w:val="18"/>
          <w:szCs w:val="18"/>
        </w:rPr>
      </w:pPr>
      <w:r>
        <w:rPr>
          <w:b/>
          <w:bCs/>
          <w:color w:val="auto"/>
          <w:sz w:val="18"/>
          <w:szCs w:val="18"/>
        </w:rPr>
        <w:t xml:space="preserve">第6题   </w:t>
      </w:r>
      <w:r>
        <w:rPr>
          <w:rFonts w:hint="eastAsia" w:eastAsia="宋体"/>
          <w:b/>
          <w:bCs/>
          <w:color w:val="auto"/>
          <w:sz w:val="18"/>
          <w:szCs w:val="18"/>
          <w:lang w:val="en-US" w:eastAsia="zh-CN"/>
        </w:rPr>
        <w:t>你认为</w:t>
      </w:r>
      <w:r>
        <w:rPr>
          <w:b/>
          <w:bCs/>
          <w:color w:val="auto"/>
          <w:sz w:val="18"/>
          <w:szCs w:val="18"/>
        </w:rPr>
        <w:t>该项目对学生长期有帮助吗？      [单选题]</w:t>
      </w:r>
    </w:p>
    <w:tbl>
      <w:tblPr>
        <w:tblStyle w:val="26"/>
        <w:tblW w:w="851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802"/>
        <w:gridCol w:w="1565"/>
        <w:gridCol w:w="215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802"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选项</w:t>
            </w:r>
          </w:p>
        </w:tc>
        <w:tc>
          <w:tcPr>
            <w:tcW w:w="1565"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小计</w:t>
            </w:r>
          </w:p>
        </w:tc>
        <w:tc>
          <w:tcPr>
            <w:tcW w:w="2150"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802"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有帮助</w:t>
            </w:r>
          </w:p>
        </w:tc>
        <w:tc>
          <w:tcPr>
            <w:tcW w:w="1565" w:type="dxa"/>
            <w:shd w:val="clear" w:color="auto" w:fill="FFFFFF"/>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11</w:t>
            </w:r>
          </w:p>
        </w:tc>
        <w:tc>
          <w:tcPr>
            <w:tcW w:w="2150" w:type="dxa"/>
            <w:shd w:val="clear" w:color="auto" w:fill="FFFFFF"/>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802" w:type="dxa"/>
            <w:shd w:val="clear" w:color="auto" w:fill="FAFAFA"/>
            <w:vAlign w:val="center"/>
          </w:tcPr>
          <w:p>
            <w:pPr>
              <w:pageBreakBefore w:val="0"/>
              <w:kinsoku/>
              <w:wordWrap/>
              <w:topLinePunct w:val="0"/>
              <w:autoSpaceDE/>
              <w:bidi w:val="0"/>
              <w:spacing w:line="560" w:lineRule="exact"/>
              <w:jc w:val="left"/>
              <w:rPr>
                <w:color w:val="auto"/>
                <w:sz w:val="18"/>
                <w:szCs w:val="18"/>
              </w:rPr>
            </w:pPr>
            <w:r>
              <w:rPr>
                <w:color w:val="auto"/>
                <w:sz w:val="18"/>
                <w:szCs w:val="18"/>
              </w:rPr>
              <w:t>非常有帮助</w:t>
            </w:r>
          </w:p>
        </w:tc>
        <w:tc>
          <w:tcPr>
            <w:tcW w:w="1565" w:type="dxa"/>
            <w:shd w:val="clear" w:color="auto" w:fill="FAFAFA"/>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199</w:t>
            </w:r>
          </w:p>
        </w:tc>
        <w:tc>
          <w:tcPr>
            <w:tcW w:w="2150" w:type="dxa"/>
            <w:shd w:val="clear" w:color="auto" w:fill="FAFAFA"/>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95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73" w:hRule="atLeast"/>
        </w:trPr>
        <w:tc>
          <w:tcPr>
            <w:tcW w:w="4802"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本题有效填写人次</w:t>
            </w:r>
          </w:p>
        </w:tc>
        <w:tc>
          <w:tcPr>
            <w:tcW w:w="1565" w:type="dxa"/>
            <w:shd w:val="clear" w:color="auto" w:fill="F5F5F5"/>
            <w:vAlign w:val="center"/>
          </w:tcPr>
          <w:p>
            <w:pPr>
              <w:pageBreakBefore w:val="0"/>
              <w:kinsoku/>
              <w:wordWrap/>
              <w:topLinePunct w:val="0"/>
              <w:autoSpaceDE/>
              <w:bidi w:val="0"/>
              <w:spacing w:line="560" w:lineRule="exact"/>
              <w:jc w:val="center"/>
              <w:rPr>
                <w:color w:val="auto"/>
                <w:sz w:val="18"/>
                <w:szCs w:val="18"/>
              </w:rPr>
            </w:pPr>
            <w:r>
              <w:rPr>
                <w:rFonts w:hint="eastAsia" w:eastAsia="宋体"/>
                <w:color w:val="auto"/>
                <w:sz w:val="18"/>
                <w:szCs w:val="18"/>
                <w:lang w:val="en-US" w:eastAsia="zh-CN"/>
              </w:rPr>
              <w:t>210</w:t>
            </w:r>
          </w:p>
        </w:tc>
        <w:tc>
          <w:tcPr>
            <w:tcW w:w="2150" w:type="dxa"/>
            <w:shd w:val="clear" w:color="auto" w:fill="F5F5F5"/>
            <w:vAlign w:val="center"/>
          </w:tcPr>
          <w:p>
            <w:pPr>
              <w:pageBreakBefore w:val="0"/>
              <w:kinsoku/>
              <w:wordWrap/>
              <w:topLinePunct w:val="0"/>
              <w:autoSpaceDE/>
              <w:bidi w:val="0"/>
              <w:spacing w:line="560" w:lineRule="exact"/>
              <w:jc w:val="left"/>
              <w:rPr>
                <w:color w:val="auto"/>
                <w:sz w:val="18"/>
                <w:szCs w:val="18"/>
              </w:rPr>
            </w:pPr>
          </w:p>
        </w:tc>
      </w:tr>
    </w:tbl>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jc w:val="left"/>
        <w:rPr>
          <w:b/>
          <w:bCs/>
          <w:color w:val="auto"/>
          <w:sz w:val="18"/>
          <w:szCs w:val="18"/>
        </w:rPr>
      </w:pPr>
      <w:r>
        <w:rPr>
          <w:b/>
          <w:bCs/>
          <w:color w:val="auto"/>
          <w:sz w:val="18"/>
          <w:szCs w:val="18"/>
        </w:rPr>
        <w:t xml:space="preserve">第7题   </w:t>
      </w:r>
      <w:r>
        <w:rPr>
          <w:rFonts w:hint="eastAsia" w:eastAsia="宋体"/>
          <w:b/>
          <w:bCs/>
          <w:color w:val="auto"/>
          <w:sz w:val="18"/>
          <w:szCs w:val="18"/>
          <w:lang w:val="en-US" w:eastAsia="zh-CN"/>
        </w:rPr>
        <w:t>你</w:t>
      </w:r>
      <w:r>
        <w:rPr>
          <w:b/>
          <w:bCs/>
          <w:color w:val="auto"/>
          <w:sz w:val="18"/>
          <w:szCs w:val="18"/>
        </w:rPr>
        <w:t>对该项目满意吗？      [单选题]</w:t>
      </w:r>
    </w:p>
    <w:tbl>
      <w:tblPr>
        <w:tblStyle w:val="26"/>
        <w:tblW w:w="851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803"/>
        <w:gridCol w:w="1564"/>
        <w:gridCol w:w="215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7" w:hRule="atLeast"/>
        </w:trPr>
        <w:tc>
          <w:tcPr>
            <w:tcW w:w="4803"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选项</w:t>
            </w:r>
          </w:p>
        </w:tc>
        <w:tc>
          <w:tcPr>
            <w:tcW w:w="1564"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小计</w:t>
            </w:r>
          </w:p>
        </w:tc>
        <w:tc>
          <w:tcPr>
            <w:tcW w:w="2150"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7" w:hRule="atLeast"/>
        </w:trPr>
        <w:tc>
          <w:tcPr>
            <w:tcW w:w="4803"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非常满意</w:t>
            </w:r>
          </w:p>
        </w:tc>
        <w:tc>
          <w:tcPr>
            <w:tcW w:w="1564" w:type="dxa"/>
            <w:shd w:val="clear" w:color="auto" w:fill="FFFFFF"/>
            <w:vAlign w:val="center"/>
          </w:tcPr>
          <w:p>
            <w:pPr>
              <w:pageBreakBefore w:val="0"/>
              <w:kinsoku/>
              <w:wordWrap/>
              <w:topLinePunct w:val="0"/>
              <w:autoSpaceDE/>
              <w:bidi w:val="0"/>
              <w:spacing w:line="560" w:lineRule="exact"/>
              <w:jc w:val="left"/>
              <w:rPr>
                <w:rFonts w:hint="default" w:eastAsia="宋体"/>
                <w:color w:val="auto"/>
                <w:sz w:val="18"/>
                <w:szCs w:val="18"/>
                <w:lang w:val="en-US" w:eastAsia="zh-CN"/>
              </w:rPr>
            </w:pPr>
            <w:r>
              <w:rPr>
                <w:rFonts w:hint="eastAsia" w:eastAsia="宋体"/>
                <w:color w:val="auto"/>
                <w:sz w:val="18"/>
                <w:szCs w:val="18"/>
                <w:lang w:val="en-US" w:eastAsia="zh-CN"/>
              </w:rPr>
              <w:t>10</w:t>
            </w:r>
          </w:p>
        </w:tc>
        <w:tc>
          <w:tcPr>
            <w:tcW w:w="2150" w:type="dxa"/>
            <w:shd w:val="clear" w:color="auto" w:fill="FFFFFF"/>
            <w:vAlign w:val="center"/>
          </w:tcPr>
          <w:p>
            <w:pPr>
              <w:pageBreakBefore w:val="0"/>
              <w:kinsoku/>
              <w:wordWrap/>
              <w:topLinePunct w:val="0"/>
              <w:autoSpaceDE/>
              <w:bidi w:val="0"/>
              <w:spacing w:line="560" w:lineRule="exact"/>
              <w:jc w:val="left"/>
              <w:rPr>
                <w:color w:val="auto"/>
                <w:sz w:val="18"/>
                <w:szCs w:val="18"/>
              </w:rPr>
            </w:pPr>
            <w:r>
              <w:rPr>
                <w:color w:val="auto"/>
                <w:sz w:val="18"/>
                <w:szCs w:val="18"/>
              </w:rPr>
              <w:t>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7" w:hRule="atLeast"/>
        </w:trPr>
        <w:tc>
          <w:tcPr>
            <w:tcW w:w="4803" w:type="dxa"/>
            <w:shd w:val="clear" w:color="auto" w:fill="FAFAFA"/>
            <w:vAlign w:val="center"/>
          </w:tcPr>
          <w:p>
            <w:pPr>
              <w:pageBreakBefore w:val="0"/>
              <w:kinsoku/>
              <w:wordWrap/>
              <w:topLinePunct w:val="0"/>
              <w:autoSpaceDE/>
              <w:bidi w:val="0"/>
              <w:spacing w:line="560" w:lineRule="exact"/>
              <w:jc w:val="left"/>
              <w:rPr>
                <w:color w:val="auto"/>
                <w:sz w:val="18"/>
                <w:szCs w:val="18"/>
              </w:rPr>
            </w:pPr>
            <w:r>
              <w:rPr>
                <w:color w:val="auto"/>
                <w:sz w:val="18"/>
                <w:szCs w:val="18"/>
              </w:rPr>
              <w:t>都非常满意</w:t>
            </w:r>
          </w:p>
        </w:tc>
        <w:tc>
          <w:tcPr>
            <w:tcW w:w="1564" w:type="dxa"/>
            <w:shd w:val="clear" w:color="auto" w:fill="FAFAFA"/>
            <w:vAlign w:val="center"/>
          </w:tcPr>
          <w:p>
            <w:pPr>
              <w:pageBreakBefore w:val="0"/>
              <w:kinsoku/>
              <w:wordWrap/>
              <w:topLinePunct w:val="0"/>
              <w:autoSpaceDE/>
              <w:bidi w:val="0"/>
              <w:spacing w:line="560" w:lineRule="exact"/>
              <w:jc w:val="left"/>
              <w:rPr>
                <w:rFonts w:hint="default" w:eastAsia="宋体"/>
                <w:color w:val="auto"/>
                <w:sz w:val="18"/>
                <w:szCs w:val="18"/>
                <w:lang w:val="en-US" w:eastAsia="zh-CN"/>
              </w:rPr>
            </w:pPr>
            <w:r>
              <w:rPr>
                <w:rFonts w:hint="eastAsia" w:eastAsia="宋体"/>
                <w:color w:val="auto"/>
                <w:sz w:val="18"/>
                <w:szCs w:val="18"/>
                <w:lang w:val="en-US" w:eastAsia="zh-CN"/>
              </w:rPr>
              <w:t>200</w:t>
            </w:r>
          </w:p>
        </w:tc>
        <w:tc>
          <w:tcPr>
            <w:tcW w:w="2150" w:type="dxa"/>
            <w:shd w:val="clear" w:color="auto" w:fill="FAFAFA"/>
            <w:vAlign w:val="center"/>
          </w:tcPr>
          <w:p>
            <w:pPr>
              <w:pageBreakBefore w:val="0"/>
              <w:kinsoku/>
              <w:wordWrap/>
              <w:topLinePunct w:val="0"/>
              <w:autoSpaceDE/>
              <w:bidi w:val="0"/>
              <w:spacing w:line="560" w:lineRule="exact"/>
              <w:jc w:val="left"/>
              <w:rPr>
                <w:color w:val="auto"/>
                <w:sz w:val="18"/>
                <w:szCs w:val="18"/>
              </w:rPr>
            </w:pPr>
            <w:r>
              <w:rPr>
                <w:rFonts w:hint="eastAsia" w:eastAsia="宋体"/>
                <w:color w:val="auto"/>
                <w:sz w:val="18"/>
                <w:szCs w:val="18"/>
                <w:lang w:val="en-US" w:eastAsia="zh-CN"/>
              </w:rPr>
              <w:t>95</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2" w:hRule="atLeast"/>
        </w:trPr>
        <w:tc>
          <w:tcPr>
            <w:tcW w:w="4803" w:type="dxa"/>
            <w:shd w:val="clear" w:color="auto" w:fill="F5F5F5"/>
            <w:vAlign w:val="center"/>
          </w:tcPr>
          <w:p>
            <w:pPr>
              <w:pageBreakBefore w:val="0"/>
              <w:kinsoku/>
              <w:wordWrap/>
              <w:topLinePunct w:val="0"/>
              <w:autoSpaceDE/>
              <w:bidi w:val="0"/>
              <w:spacing w:line="560" w:lineRule="exact"/>
              <w:jc w:val="left"/>
              <w:rPr>
                <w:color w:val="auto"/>
                <w:sz w:val="18"/>
                <w:szCs w:val="18"/>
              </w:rPr>
            </w:pPr>
            <w:r>
              <w:rPr>
                <w:color w:val="auto"/>
                <w:sz w:val="18"/>
                <w:szCs w:val="18"/>
              </w:rPr>
              <w:t>本题有效填写人次</w:t>
            </w:r>
          </w:p>
        </w:tc>
        <w:tc>
          <w:tcPr>
            <w:tcW w:w="1564" w:type="dxa"/>
            <w:shd w:val="clear" w:color="auto" w:fill="F5F5F5"/>
            <w:vAlign w:val="center"/>
          </w:tcPr>
          <w:p>
            <w:pPr>
              <w:pageBreakBefore w:val="0"/>
              <w:kinsoku/>
              <w:wordWrap/>
              <w:topLinePunct w:val="0"/>
              <w:autoSpaceDE/>
              <w:bidi w:val="0"/>
              <w:spacing w:line="560" w:lineRule="exact"/>
              <w:jc w:val="left"/>
              <w:rPr>
                <w:rFonts w:hint="default" w:eastAsia="宋体"/>
                <w:color w:val="auto"/>
                <w:sz w:val="18"/>
                <w:szCs w:val="18"/>
                <w:lang w:val="en-US" w:eastAsia="zh-CN"/>
              </w:rPr>
            </w:pPr>
            <w:r>
              <w:rPr>
                <w:rFonts w:hint="eastAsia" w:eastAsia="宋体"/>
                <w:color w:val="auto"/>
                <w:sz w:val="18"/>
                <w:szCs w:val="18"/>
                <w:lang w:val="en-US" w:eastAsia="zh-CN"/>
              </w:rPr>
              <w:t>210</w:t>
            </w:r>
          </w:p>
        </w:tc>
        <w:tc>
          <w:tcPr>
            <w:tcW w:w="2150" w:type="dxa"/>
            <w:shd w:val="clear" w:color="auto" w:fill="F5F5F5"/>
            <w:vAlign w:val="center"/>
          </w:tcPr>
          <w:p>
            <w:pPr>
              <w:pageBreakBefore w:val="0"/>
              <w:kinsoku/>
              <w:wordWrap/>
              <w:topLinePunct w:val="0"/>
              <w:autoSpaceDE/>
              <w:bidi w:val="0"/>
              <w:spacing w:line="560" w:lineRule="exact"/>
              <w:jc w:val="left"/>
              <w:rPr>
                <w:color w:val="auto"/>
                <w:sz w:val="18"/>
                <w:szCs w:val="18"/>
              </w:rPr>
            </w:pPr>
          </w:p>
        </w:tc>
      </w:tr>
    </w:tbl>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rPr>
          <w:color w:val="auto"/>
        </w:rPr>
      </w:pPr>
    </w:p>
    <w:p>
      <w:pPr>
        <w:pageBreakBefore w:val="0"/>
        <w:kinsoku/>
        <w:wordWrap/>
        <w:topLinePunct w:val="0"/>
        <w:autoSpaceDE/>
        <w:bidi w:val="0"/>
        <w:spacing w:line="560" w:lineRule="exact"/>
        <w:rPr>
          <w:color w:val="auto"/>
        </w:rPr>
      </w:pPr>
    </w:p>
    <w:p>
      <w:pPr>
        <w:pStyle w:val="33"/>
        <w:pageBreakBefore w:val="0"/>
        <w:kinsoku/>
        <w:wordWrap/>
        <w:topLinePunct w:val="0"/>
        <w:autoSpaceDE/>
        <w:bidi w:val="0"/>
        <w:spacing w:line="560" w:lineRule="exact"/>
        <w:ind w:firstLine="0" w:firstLineChars="0"/>
        <w:rPr>
          <w:rFonts w:hint="eastAsia" w:ascii="方正仿宋_GBK" w:hAnsi="方正仿宋_GBK" w:eastAsia="方正仿宋_GBK" w:cs="方正仿宋_GBK"/>
          <w:color w:val="auto"/>
          <w:sz w:val="32"/>
          <w:szCs w:val="32"/>
        </w:rPr>
      </w:pPr>
    </w:p>
    <w:bookmarkEnd w:id="16"/>
    <w:sectPr>
      <w:pgSz w:w="11906" w:h="16838"/>
      <w:pgMar w:top="1531" w:right="1701" w:bottom="1531"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r>
      <w:fldChar w:fldCharType="begin"/>
    </w:r>
    <w:r>
      <w:instrText xml:space="preserve"> PAGE   \* MERGEFORMAT </w:instrText>
    </w:r>
    <w:r>
      <w:fldChar w:fldCharType="separate"/>
    </w:r>
    <w:r>
      <w:rPr>
        <w:lang w:val="zh-CN"/>
      </w:rPr>
      <w:t>18</w:t>
    </w:r>
    <w:r>
      <w:fldChar w:fldCharType="end"/>
    </w:r>
  </w:p>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lvl>
  </w:abstractNum>
  <w:abstractNum w:abstractNumId="1">
    <w:nsid w:val="00000007"/>
    <w:multiLevelType w:val="multilevel"/>
    <w:tmpl w:val="00000007"/>
    <w:lvl w:ilvl="0" w:tentative="0">
      <w:start w:val="1"/>
      <w:numFmt w:val="chineseCountingThousand"/>
      <w:pStyle w:val="39"/>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hyphenationZone w:val="36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28CC"/>
    <w:rsid w:val="00025C7B"/>
    <w:rsid w:val="00026D68"/>
    <w:rsid w:val="00033139"/>
    <w:rsid w:val="000609BF"/>
    <w:rsid w:val="00064BE1"/>
    <w:rsid w:val="00084839"/>
    <w:rsid w:val="00085DB2"/>
    <w:rsid w:val="000919F8"/>
    <w:rsid w:val="00094057"/>
    <w:rsid w:val="000B07B1"/>
    <w:rsid w:val="000B0A47"/>
    <w:rsid w:val="000B4C90"/>
    <w:rsid w:val="000B7456"/>
    <w:rsid w:val="000C6F81"/>
    <w:rsid w:val="000F0A40"/>
    <w:rsid w:val="000F19ED"/>
    <w:rsid w:val="000F62A1"/>
    <w:rsid w:val="00116F13"/>
    <w:rsid w:val="0013298C"/>
    <w:rsid w:val="00133529"/>
    <w:rsid w:val="001342B0"/>
    <w:rsid w:val="001350C6"/>
    <w:rsid w:val="0013699F"/>
    <w:rsid w:val="00154AB1"/>
    <w:rsid w:val="001953A2"/>
    <w:rsid w:val="001A5632"/>
    <w:rsid w:val="001A713D"/>
    <w:rsid w:val="001B106B"/>
    <w:rsid w:val="001B2C41"/>
    <w:rsid w:val="001B62E9"/>
    <w:rsid w:val="001C3F5E"/>
    <w:rsid w:val="001D583A"/>
    <w:rsid w:val="00237098"/>
    <w:rsid w:val="00265B5F"/>
    <w:rsid w:val="00273CEE"/>
    <w:rsid w:val="002810A8"/>
    <w:rsid w:val="00287087"/>
    <w:rsid w:val="00287515"/>
    <w:rsid w:val="00291543"/>
    <w:rsid w:val="002936C3"/>
    <w:rsid w:val="00296019"/>
    <w:rsid w:val="002A6447"/>
    <w:rsid w:val="002C0FA1"/>
    <w:rsid w:val="002D3051"/>
    <w:rsid w:val="0030133E"/>
    <w:rsid w:val="00304313"/>
    <w:rsid w:val="003059AD"/>
    <w:rsid w:val="00322DCD"/>
    <w:rsid w:val="003421D6"/>
    <w:rsid w:val="00354818"/>
    <w:rsid w:val="00355C5B"/>
    <w:rsid w:val="00373B42"/>
    <w:rsid w:val="003801D3"/>
    <w:rsid w:val="003A0B46"/>
    <w:rsid w:val="003B13F4"/>
    <w:rsid w:val="003B55A8"/>
    <w:rsid w:val="003C2470"/>
    <w:rsid w:val="003D17D0"/>
    <w:rsid w:val="00417BA8"/>
    <w:rsid w:val="00417E0C"/>
    <w:rsid w:val="00424823"/>
    <w:rsid w:val="00450017"/>
    <w:rsid w:val="004550E0"/>
    <w:rsid w:val="0046425B"/>
    <w:rsid w:val="00492B85"/>
    <w:rsid w:val="004B1048"/>
    <w:rsid w:val="004B446A"/>
    <w:rsid w:val="004C0DA8"/>
    <w:rsid w:val="004D18F0"/>
    <w:rsid w:val="004D6CA3"/>
    <w:rsid w:val="004E2B39"/>
    <w:rsid w:val="004E66D0"/>
    <w:rsid w:val="00500B0C"/>
    <w:rsid w:val="0051444F"/>
    <w:rsid w:val="00537022"/>
    <w:rsid w:val="00541863"/>
    <w:rsid w:val="00546BDA"/>
    <w:rsid w:val="005473C8"/>
    <w:rsid w:val="00556857"/>
    <w:rsid w:val="005604A7"/>
    <w:rsid w:val="00560DBC"/>
    <w:rsid w:val="005A014F"/>
    <w:rsid w:val="005B7ABC"/>
    <w:rsid w:val="005C38EA"/>
    <w:rsid w:val="005D78D9"/>
    <w:rsid w:val="00603D39"/>
    <w:rsid w:val="006156C6"/>
    <w:rsid w:val="00615A2D"/>
    <w:rsid w:val="006369A7"/>
    <w:rsid w:val="00636BC2"/>
    <w:rsid w:val="006621E7"/>
    <w:rsid w:val="00670E7D"/>
    <w:rsid w:val="00674EC2"/>
    <w:rsid w:val="00686622"/>
    <w:rsid w:val="006877FC"/>
    <w:rsid w:val="006C4138"/>
    <w:rsid w:val="006F5848"/>
    <w:rsid w:val="006F6B29"/>
    <w:rsid w:val="007153D3"/>
    <w:rsid w:val="00721F9A"/>
    <w:rsid w:val="00734813"/>
    <w:rsid w:val="00741A55"/>
    <w:rsid w:val="00756F99"/>
    <w:rsid w:val="0075701C"/>
    <w:rsid w:val="00761699"/>
    <w:rsid w:val="00770208"/>
    <w:rsid w:val="00781913"/>
    <w:rsid w:val="00784244"/>
    <w:rsid w:val="00785978"/>
    <w:rsid w:val="007A2E7D"/>
    <w:rsid w:val="007A458B"/>
    <w:rsid w:val="007B592C"/>
    <w:rsid w:val="007C4236"/>
    <w:rsid w:val="007C5576"/>
    <w:rsid w:val="007E3373"/>
    <w:rsid w:val="007E6959"/>
    <w:rsid w:val="007E7452"/>
    <w:rsid w:val="007F4E7A"/>
    <w:rsid w:val="007F5B00"/>
    <w:rsid w:val="0080283F"/>
    <w:rsid w:val="00806DAD"/>
    <w:rsid w:val="0083364B"/>
    <w:rsid w:val="00837D40"/>
    <w:rsid w:val="00847863"/>
    <w:rsid w:val="00857996"/>
    <w:rsid w:val="00860426"/>
    <w:rsid w:val="008667CD"/>
    <w:rsid w:val="008715CB"/>
    <w:rsid w:val="00872BF6"/>
    <w:rsid w:val="008743A9"/>
    <w:rsid w:val="00895461"/>
    <w:rsid w:val="00897964"/>
    <w:rsid w:val="008B1084"/>
    <w:rsid w:val="008B1EB6"/>
    <w:rsid w:val="008D4040"/>
    <w:rsid w:val="008D5B06"/>
    <w:rsid w:val="008E4324"/>
    <w:rsid w:val="008E5601"/>
    <w:rsid w:val="008F227E"/>
    <w:rsid w:val="008F4A33"/>
    <w:rsid w:val="009238D0"/>
    <w:rsid w:val="009317DE"/>
    <w:rsid w:val="00936189"/>
    <w:rsid w:val="00947734"/>
    <w:rsid w:val="00947AE4"/>
    <w:rsid w:val="00974C52"/>
    <w:rsid w:val="0098633B"/>
    <w:rsid w:val="009D623D"/>
    <w:rsid w:val="009F6F5F"/>
    <w:rsid w:val="00A105D8"/>
    <w:rsid w:val="00A16AD6"/>
    <w:rsid w:val="00A33EFF"/>
    <w:rsid w:val="00A36B28"/>
    <w:rsid w:val="00A420D2"/>
    <w:rsid w:val="00A51218"/>
    <w:rsid w:val="00A87773"/>
    <w:rsid w:val="00A87988"/>
    <w:rsid w:val="00A92148"/>
    <w:rsid w:val="00AC31BA"/>
    <w:rsid w:val="00AD265F"/>
    <w:rsid w:val="00AE01A5"/>
    <w:rsid w:val="00AF1303"/>
    <w:rsid w:val="00AF2068"/>
    <w:rsid w:val="00B041EF"/>
    <w:rsid w:val="00B06BE9"/>
    <w:rsid w:val="00B11C14"/>
    <w:rsid w:val="00B16647"/>
    <w:rsid w:val="00B17847"/>
    <w:rsid w:val="00B250B5"/>
    <w:rsid w:val="00B45788"/>
    <w:rsid w:val="00B560AC"/>
    <w:rsid w:val="00B742E6"/>
    <w:rsid w:val="00B75618"/>
    <w:rsid w:val="00B856EE"/>
    <w:rsid w:val="00B86E39"/>
    <w:rsid w:val="00B875D0"/>
    <w:rsid w:val="00B91B13"/>
    <w:rsid w:val="00BA7121"/>
    <w:rsid w:val="00BE1476"/>
    <w:rsid w:val="00BF2FF6"/>
    <w:rsid w:val="00C06419"/>
    <w:rsid w:val="00C2507A"/>
    <w:rsid w:val="00C4247B"/>
    <w:rsid w:val="00C42C5C"/>
    <w:rsid w:val="00C47700"/>
    <w:rsid w:val="00C52F11"/>
    <w:rsid w:val="00C64E44"/>
    <w:rsid w:val="00C6680C"/>
    <w:rsid w:val="00C72D08"/>
    <w:rsid w:val="00CB269E"/>
    <w:rsid w:val="00CB538F"/>
    <w:rsid w:val="00CB5C24"/>
    <w:rsid w:val="00CC15C5"/>
    <w:rsid w:val="00CC62D9"/>
    <w:rsid w:val="00CE14D6"/>
    <w:rsid w:val="00CF6BBE"/>
    <w:rsid w:val="00D148F8"/>
    <w:rsid w:val="00D24B1A"/>
    <w:rsid w:val="00D3450F"/>
    <w:rsid w:val="00D35E67"/>
    <w:rsid w:val="00D52221"/>
    <w:rsid w:val="00D524CD"/>
    <w:rsid w:val="00D61D44"/>
    <w:rsid w:val="00D6489D"/>
    <w:rsid w:val="00D80834"/>
    <w:rsid w:val="00D92BBE"/>
    <w:rsid w:val="00DA32AB"/>
    <w:rsid w:val="00DA6BF1"/>
    <w:rsid w:val="00DD56B6"/>
    <w:rsid w:val="00DE4B68"/>
    <w:rsid w:val="00DE4E65"/>
    <w:rsid w:val="00E339F5"/>
    <w:rsid w:val="00E846CC"/>
    <w:rsid w:val="00E93C62"/>
    <w:rsid w:val="00EC4DD7"/>
    <w:rsid w:val="00F03527"/>
    <w:rsid w:val="00F07EB6"/>
    <w:rsid w:val="00F31DB2"/>
    <w:rsid w:val="00F36D40"/>
    <w:rsid w:val="00F440E1"/>
    <w:rsid w:val="00F46472"/>
    <w:rsid w:val="00F62E86"/>
    <w:rsid w:val="00F67CD3"/>
    <w:rsid w:val="00F76D7A"/>
    <w:rsid w:val="00FC3F6E"/>
    <w:rsid w:val="00FC57E4"/>
    <w:rsid w:val="00FE3511"/>
    <w:rsid w:val="00FF1809"/>
    <w:rsid w:val="00FF386B"/>
    <w:rsid w:val="0204567E"/>
    <w:rsid w:val="02E43169"/>
    <w:rsid w:val="048D63DA"/>
    <w:rsid w:val="05105EEA"/>
    <w:rsid w:val="06490DEB"/>
    <w:rsid w:val="08BC1F1B"/>
    <w:rsid w:val="09237452"/>
    <w:rsid w:val="0B662A8B"/>
    <w:rsid w:val="0B9D0295"/>
    <w:rsid w:val="0C157BE7"/>
    <w:rsid w:val="0E6E19C3"/>
    <w:rsid w:val="10273695"/>
    <w:rsid w:val="106C1557"/>
    <w:rsid w:val="125F5769"/>
    <w:rsid w:val="12B626A9"/>
    <w:rsid w:val="13BE1314"/>
    <w:rsid w:val="1483582A"/>
    <w:rsid w:val="148E2C16"/>
    <w:rsid w:val="14CF06F9"/>
    <w:rsid w:val="15115908"/>
    <w:rsid w:val="15313E80"/>
    <w:rsid w:val="162062D3"/>
    <w:rsid w:val="167357D1"/>
    <w:rsid w:val="18DF2568"/>
    <w:rsid w:val="19DE566A"/>
    <w:rsid w:val="1B516151"/>
    <w:rsid w:val="1C782ABC"/>
    <w:rsid w:val="1F5E5940"/>
    <w:rsid w:val="200839EE"/>
    <w:rsid w:val="20B02610"/>
    <w:rsid w:val="20E36275"/>
    <w:rsid w:val="23DC74B0"/>
    <w:rsid w:val="246E43DE"/>
    <w:rsid w:val="25ED51AF"/>
    <w:rsid w:val="26C56021"/>
    <w:rsid w:val="274C126E"/>
    <w:rsid w:val="28556D3F"/>
    <w:rsid w:val="28C36E95"/>
    <w:rsid w:val="291B2D86"/>
    <w:rsid w:val="29B9391D"/>
    <w:rsid w:val="2ADA7383"/>
    <w:rsid w:val="2B957D34"/>
    <w:rsid w:val="2BDB2FC9"/>
    <w:rsid w:val="2C50033E"/>
    <w:rsid w:val="2D472844"/>
    <w:rsid w:val="2D5D6D46"/>
    <w:rsid w:val="2E307521"/>
    <w:rsid w:val="2E922688"/>
    <w:rsid w:val="2EDA16F1"/>
    <w:rsid w:val="313166B9"/>
    <w:rsid w:val="328E3F0E"/>
    <w:rsid w:val="339704B6"/>
    <w:rsid w:val="33C053B5"/>
    <w:rsid w:val="33E0074A"/>
    <w:rsid w:val="34013001"/>
    <w:rsid w:val="34926379"/>
    <w:rsid w:val="356814A4"/>
    <w:rsid w:val="3641091F"/>
    <w:rsid w:val="36484E32"/>
    <w:rsid w:val="36772681"/>
    <w:rsid w:val="36E20DE2"/>
    <w:rsid w:val="379021AC"/>
    <w:rsid w:val="38567566"/>
    <w:rsid w:val="38A321E2"/>
    <w:rsid w:val="3BC01FED"/>
    <w:rsid w:val="3C173D58"/>
    <w:rsid w:val="3DA3538B"/>
    <w:rsid w:val="3F636CBB"/>
    <w:rsid w:val="3F9B5C94"/>
    <w:rsid w:val="3FC5525D"/>
    <w:rsid w:val="40777133"/>
    <w:rsid w:val="407F58F4"/>
    <w:rsid w:val="408D16ED"/>
    <w:rsid w:val="40BA52E5"/>
    <w:rsid w:val="40C7739D"/>
    <w:rsid w:val="41A50292"/>
    <w:rsid w:val="41D36B70"/>
    <w:rsid w:val="42F85CFC"/>
    <w:rsid w:val="43A22863"/>
    <w:rsid w:val="43F87D28"/>
    <w:rsid w:val="44525FE0"/>
    <w:rsid w:val="45B76580"/>
    <w:rsid w:val="488F6DDC"/>
    <w:rsid w:val="4B124635"/>
    <w:rsid w:val="4CE97C9B"/>
    <w:rsid w:val="4D070F29"/>
    <w:rsid w:val="4D0A5413"/>
    <w:rsid w:val="4D986E76"/>
    <w:rsid w:val="4DC817F0"/>
    <w:rsid w:val="4ED45435"/>
    <w:rsid w:val="4F1C2372"/>
    <w:rsid w:val="500C14D1"/>
    <w:rsid w:val="511F22DC"/>
    <w:rsid w:val="5290425D"/>
    <w:rsid w:val="547E227D"/>
    <w:rsid w:val="548B0B4B"/>
    <w:rsid w:val="55212D29"/>
    <w:rsid w:val="57A3052E"/>
    <w:rsid w:val="57AE66E9"/>
    <w:rsid w:val="584658BF"/>
    <w:rsid w:val="5996188C"/>
    <w:rsid w:val="5A715E56"/>
    <w:rsid w:val="5C3F4409"/>
    <w:rsid w:val="5C4B28CB"/>
    <w:rsid w:val="5C593E9F"/>
    <w:rsid w:val="5C6A4D72"/>
    <w:rsid w:val="5D1B564C"/>
    <w:rsid w:val="5D8F7AF3"/>
    <w:rsid w:val="60354FCA"/>
    <w:rsid w:val="61A30430"/>
    <w:rsid w:val="61C5388E"/>
    <w:rsid w:val="62326812"/>
    <w:rsid w:val="62AB5AC9"/>
    <w:rsid w:val="633824DF"/>
    <w:rsid w:val="65A370BE"/>
    <w:rsid w:val="65D71DB9"/>
    <w:rsid w:val="67B52E52"/>
    <w:rsid w:val="68487066"/>
    <w:rsid w:val="688F11A6"/>
    <w:rsid w:val="6AFB4E62"/>
    <w:rsid w:val="6B3B0D4C"/>
    <w:rsid w:val="6C9736AF"/>
    <w:rsid w:val="6CE07597"/>
    <w:rsid w:val="6D804EC4"/>
    <w:rsid w:val="6DF02515"/>
    <w:rsid w:val="6F641281"/>
    <w:rsid w:val="6FD247B4"/>
    <w:rsid w:val="70A11823"/>
    <w:rsid w:val="70A71CD0"/>
    <w:rsid w:val="718669C1"/>
    <w:rsid w:val="72326A16"/>
    <w:rsid w:val="728269FA"/>
    <w:rsid w:val="7298129A"/>
    <w:rsid w:val="73FE42D1"/>
    <w:rsid w:val="76DE77FE"/>
    <w:rsid w:val="77B4690C"/>
    <w:rsid w:val="79F24A00"/>
    <w:rsid w:val="7A2C6954"/>
    <w:rsid w:val="7B203254"/>
    <w:rsid w:val="7C142976"/>
    <w:rsid w:val="7CCA3477"/>
    <w:rsid w:val="7CF651C5"/>
    <w:rsid w:val="7D220206"/>
    <w:rsid w:val="7DCD73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1"/>
    <w:link w:val="44"/>
    <w:qFormat/>
    <w:uiPriority w:val="9"/>
    <w:pPr>
      <w:keepNext/>
      <w:keepLines/>
      <w:spacing w:before="340" w:after="330" w:line="578" w:lineRule="auto"/>
      <w:jc w:val="left"/>
      <w:outlineLvl w:val="0"/>
    </w:pPr>
    <w:rPr>
      <w:rFonts w:cs="Times New Roman"/>
      <w:b/>
      <w:bCs/>
      <w:kern w:val="44"/>
      <w:sz w:val="32"/>
      <w:szCs w:val="44"/>
    </w:rPr>
  </w:style>
  <w:style w:type="paragraph" w:styleId="3">
    <w:name w:val="heading 2"/>
    <w:basedOn w:val="1"/>
    <w:next w:val="1"/>
    <w:link w:val="5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4">
    <w:name w:val="heading 3"/>
    <w:basedOn w:val="1"/>
    <w:next w:val="1"/>
    <w:link w:val="41"/>
    <w:qFormat/>
    <w:uiPriority w:val="9"/>
    <w:pPr>
      <w:keepNext/>
      <w:keepLines/>
      <w:spacing w:before="260" w:after="260" w:line="416" w:lineRule="auto"/>
      <w:jc w:val="left"/>
      <w:outlineLvl w:val="2"/>
    </w:pPr>
    <w:rPr>
      <w:rFonts w:ascii="Calibri" w:hAnsi="Calibri" w:cs="Times New Roman"/>
      <w:bCs/>
      <w:kern w:val="0"/>
      <w:szCs w:val="32"/>
    </w:rPr>
  </w:style>
  <w:style w:type="paragraph" w:styleId="5">
    <w:name w:val="heading 4"/>
    <w:basedOn w:val="1"/>
    <w:next w:val="1"/>
    <w:link w:val="40"/>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8">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Calibri" w:hAnsi="Calibri" w:cs="Calibri"/>
      <w:sz w:val="18"/>
      <w:szCs w:val="18"/>
    </w:rPr>
  </w:style>
  <w:style w:type="paragraph" w:styleId="7">
    <w:name w:val="Document Map"/>
    <w:basedOn w:val="1"/>
    <w:link w:val="42"/>
    <w:unhideWhenUsed/>
    <w:qFormat/>
    <w:uiPriority w:val="99"/>
    <w:rPr>
      <w:rFonts w:ascii="宋体" w:hAnsi="Calibri" w:eastAsia="宋体" w:cs="Times New Roman"/>
      <w:kern w:val="0"/>
      <w:sz w:val="18"/>
      <w:szCs w:val="18"/>
    </w:rPr>
  </w:style>
  <w:style w:type="paragraph" w:styleId="8">
    <w:name w:val="annotation text"/>
    <w:basedOn w:val="1"/>
    <w:link w:val="47"/>
    <w:unhideWhenUsed/>
    <w:qFormat/>
    <w:uiPriority w:val="99"/>
    <w:rPr>
      <w:rFonts w:ascii="Calibri" w:hAnsi="Calibri" w:cs="Times New Roman"/>
      <w:kern w:val="0"/>
      <w:sz w:val="20"/>
      <w:szCs w:val="20"/>
    </w:rPr>
  </w:style>
  <w:style w:type="paragraph" w:styleId="9">
    <w:name w:val="Body Text"/>
    <w:basedOn w:val="1"/>
    <w:qFormat/>
    <w:uiPriority w:val="0"/>
    <w:pPr>
      <w:spacing w:before="240" w:after="240" w:line="360" w:lineRule="auto"/>
      <w:jc w:val="center"/>
    </w:pPr>
    <w:rPr>
      <w:b/>
      <w:sz w:val="44"/>
    </w:rPr>
  </w:style>
  <w:style w:type="paragraph" w:styleId="10">
    <w:name w:val="Body Text Indent"/>
    <w:basedOn w:val="1"/>
    <w:link w:val="56"/>
    <w:unhideWhenUsed/>
    <w:qFormat/>
    <w:uiPriority w:val="99"/>
    <w:pPr>
      <w:spacing w:after="120"/>
      <w:ind w:left="420" w:leftChars="200"/>
    </w:pPr>
    <w:rPr>
      <w:rFonts w:ascii="Calibri" w:hAnsi="Calibri" w:cs="Times New Roman"/>
      <w:kern w:val="0"/>
      <w:szCs w:val="20"/>
    </w:rPr>
  </w:style>
  <w:style w:type="paragraph" w:styleId="11">
    <w:name w:val="HTML Address"/>
    <w:basedOn w:val="1"/>
    <w:qFormat/>
    <w:uiPriority w:val="0"/>
    <w:rPr>
      <w:rFonts w:cs="Times New Roman"/>
      <w:i/>
      <w:iCs/>
      <w:lang w:bidi="ar-SA"/>
    </w:rPr>
  </w:style>
  <w:style w:type="paragraph" w:styleId="12">
    <w:name w:val="toc 5"/>
    <w:basedOn w:val="1"/>
    <w:next w:val="1"/>
    <w:unhideWhenUsed/>
    <w:qFormat/>
    <w:uiPriority w:val="39"/>
    <w:pPr>
      <w:ind w:left="1120"/>
      <w:jc w:val="left"/>
    </w:pPr>
    <w:rPr>
      <w:rFonts w:ascii="Calibri" w:hAnsi="Calibri" w:cs="Calibri"/>
      <w:sz w:val="18"/>
      <w:szCs w:val="18"/>
    </w:rPr>
  </w:style>
  <w:style w:type="paragraph" w:styleId="13">
    <w:name w:val="toc 3"/>
    <w:basedOn w:val="1"/>
    <w:next w:val="1"/>
    <w:unhideWhenUsed/>
    <w:qFormat/>
    <w:uiPriority w:val="39"/>
    <w:pPr>
      <w:ind w:left="560"/>
      <w:jc w:val="left"/>
    </w:pPr>
    <w:rPr>
      <w:rFonts w:ascii="Calibri" w:hAnsi="Calibri" w:cs="Calibri"/>
      <w:i/>
      <w:iCs/>
      <w:sz w:val="20"/>
      <w:szCs w:val="20"/>
    </w:rPr>
  </w:style>
  <w:style w:type="paragraph" w:styleId="14">
    <w:name w:val="toc 8"/>
    <w:basedOn w:val="1"/>
    <w:next w:val="1"/>
    <w:unhideWhenUsed/>
    <w:qFormat/>
    <w:uiPriority w:val="39"/>
    <w:pPr>
      <w:ind w:left="1960"/>
      <w:jc w:val="left"/>
    </w:pPr>
    <w:rPr>
      <w:rFonts w:ascii="Calibri" w:hAnsi="Calibri" w:cs="Calibri"/>
      <w:sz w:val="18"/>
      <w:szCs w:val="18"/>
    </w:rPr>
  </w:style>
  <w:style w:type="paragraph" w:styleId="15">
    <w:name w:val="Balloon Text"/>
    <w:basedOn w:val="1"/>
    <w:link w:val="58"/>
    <w:unhideWhenUsed/>
    <w:qFormat/>
    <w:uiPriority w:val="99"/>
    <w:rPr>
      <w:rFonts w:ascii="Calibri" w:hAnsi="Calibri" w:cs="Times New Roman"/>
      <w:kern w:val="0"/>
      <w:sz w:val="18"/>
      <w:szCs w:val="18"/>
    </w:rPr>
  </w:style>
  <w:style w:type="paragraph" w:styleId="16">
    <w:name w:val="footer"/>
    <w:basedOn w:val="1"/>
    <w:link w:val="57"/>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17">
    <w:name w:val="header"/>
    <w:basedOn w:val="1"/>
    <w:link w:val="55"/>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styleId="18">
    <w:name w:val="toc 1"/>
    <w:basedOn w:val="1"/>
    <w:next w:val="1"/>
    <w:unhideWhenUsed/>
    <w:qFormat/>
    <w:uiPriority w:val="39"/>
    <w:pPr>
      <w:spacing w:before="120" w:after="120"/>
      <w:jc w:val="left"/>
    </w:pPr>
    <w:rPr>
      <w:rFonts w:ascii="Calibri" w:hAnsi="Calibri" w:cs="Calibri"/>
      <w:b/>
      <w:bCs/>
      <w:caps/>
      <w:sz w:val="20"/>
      <w:szCs w:val="20"/>
    </w:rPr>
  </w:style>
  <w:style w:type="paragraph" w:styleId="19">
    <w:name w:val="toc 4"/>
    <w:basedOn w:val="1"/>
    <w:next w:val="1"/>
    <w:unhideWhenUsed/>
    <w:qFormat/>
    <w:uiPriority w:val="39"/>
    <w:pPr>
      <w:ind w:left="840"/>
      <w:jc w:val="left"/>
    </w:pPr>
    <w:rPr>
      <w:rFonts w:ascii="Calibri" w:hAnsi="Calibri" w:cs="Calibri"/>
      <w:sz w:val="18"/>
      <w:szCs w:val="18"/>
    </w:rPr>
  </w:style>
  <w:style w:type="paragraph" w:styleId="20">
    <w:name w:val="toc 6"/>
    <w:basedOn w:val="1"/>
    <w:next w:val="1"/>
    <w:unhideWhenUsed/>
    <w:qFormat/>
    <w:uiPriority w:val="39"/>
    <w:pPr>
      <w:ind w:left="1400"/>
      <w:jc w:val="left"/>
    </w:pPr>
    <w:rPr>
      <w:rFonts w:ascii="Calibri" w:hAnsi="Calibri" w:cs="Calibri"/>
      <w:sz w:val="18"/>
      <w:szCs w:val="18"/>
    </w:rPr>
  </w:style>
  <w:style w:type="paragraph" w:styleId="21">
    <w:name w:val="toc 2"/>
    <w:basedOn w:val="1"/>
    <w:next w:val="1"/>
    <w:unhideWhenUsed/>
    <w:qFormat/>
    <w:uiPriority w:val="39"/>
    <w:pPr>
      <w:ind w:left="280"/>
      <w:jc w:val="left"/>
    </w:pPr>
    <w:rPr>
      <w:rFonts w:ascii="Calibri" w:hAnsi="Calibri" w:cs="Calibri"/>
      <w:smallCaps/>
      <w:sz w:val="20"/>
      <w:szCs w:val="20"/>
    </w:rPr>
  </w:style>
  <w:style w:type="paragraph" w:styleId="22">
    <w:name w:val="toc 9"/>
    <w:basedOn w:val="1"/>
    <w:next w:val="1"/>
    <w:unhideWhenUsed/>
    <w:qFormat/>
    <w:uiPriority w:val="39"/>
    <w:pPr>
      <w:ind w:left="2240"/>
      <w:jc w:val="left"/>
    </w:pPr>
    <w:rPr>
      <w:rFonts w:ascii="Calibri" w:hAnsi="Calibri" w:cs="Calibri"/>
      <w:sz w:val="18"/>
      <w:szCs w:val="18"/>
    </w:rPr>
  </w:style>
  <w:style w:type="paragraph" w:styleId="23">
    <w:name w:val="Title"/>
    <w:basedOn w:val="1"/>
    <w:next w:val="1"/>
    <w:link w:val="60"/>
    <w:qFormat/>
    <w:uiPriority w:val="10"/>
    <w:pPr>
      <w:spacing w:before="240" w:after="60"/>
      <w:jc w:val="center"/>
      <w:outlineLvl w:val="0"/>
    </w:pPr>
    <w:rPr>
      <w:rFonts w:ascii="Cambria" w:hAnsi="Cambria" w:eastAsia="宋体" w:cs="Times New Roman"/>
      <w:b/>
      <w:bCs/>
      <w:sz w:val="32"/>
      <w:szCs w:val="32"/>
    </w:rPr>
  </w:style>
  <w:style w:type="paragraph" w:styleId="24">
    <w:name w:val="annotation subject"/>
    <w:basedOn w:val="8"/>
    <w:next w:val="8"/>
    <w:link w:val="53"/>
    <w:unhideWhenUsed/>
    <w:qFormat/>
    <w:uiPriority w:val="99"/>
    <w:rPr>
      <w:rFonts w:ascii="Calibri" w:hAnsi="Calibri"/>
      <w:b/>
      <w:bCs/>
    </w:rPr>
  </w:style>
  <w:style w:type="paragraph" w:styleId="25">
    <w:name w:val="Body Text First Indent 2"/>
    <w:basedOn w:val="10"/>
    <w:link w:val="43"/>
    <w:unhideWhenUsed/>
    <w:qFormat/>
    <w:uiPriority w:val="0"/>
    <w:pPr>
      <w:ind w:firstLine="420"/>
    </w:p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Strong"/>
    <w:basedOn w:val="28"/>
    <w:qFormat/>
    <w:uiPriority w:val="0"/>
    <w:rPr>
      <w:b/>
      <w:bCs/>
    </w:rPr>
  </w:style>
  <w:style w:type="character" w:styleId="30">
    <w:name w:val="Hyperlink"/>
    <w:unhideWhenUsed/>
    <w:qFormat/>
    <w:uiPriority w:val="99"/>
    <w:rPr>
      <w:color w:val="0000FF"/>
      <w:u w:val="single"/>
    </w:rPr>
  </w:style>
  <w:style w:type="character" w:styleId="31">
    <w:name w:val="annotation reference"/>
    <w:unhideWhenUsed/>
    <w:qFormat/>
    <w:uiPriority w:val="99"/>
    <w:rPr>
      <w:sz w:val="16"/>
      <w:szCs w:val="16"/>
    </w:rPr>
  </w:style>
  <w:style w:type="paragraph" w:customStyle="1" w:styleId="32">
    <w:name w:val="闻政-正文三级标题"/>
    <w:basedOn w:val="1"/>
    <w:next w:val="33"/>
    <w:link w:val="50"/>
    <w:qFormat/>
    <w:uiPriority w:val="3"/>
    <w:pPr>
      <w:widowControl/>
      <w:spacing w:before="120" w:after="60" w:line="500" w:lineRule="exact"/>
      <w:ind w:left="200" w:leftChars="200" w:firstLine="0" w:firstLineChars="0"/>
    </w:pPr>
    <w:rPr>
      <w:rFonts w:cs="Times New Roman"/>
      <w:b/>
      <w:snapToGrid w:val="0"/>
      <w:kern w:val="0"/>
      <w:szCs w:val="28"/>
    </w:rPr>
  </w:style>
  <w:style w:type="paragraph" w:customStyle="1" w:styleId="33">
    <w:name w:val="闻政-正文段落文字"/>
    <w:basedOn w:val="1"/>
    <w:link w:val="45"/>
    <w:qFormat/>
    <w:uiPriority w:val="3"/>
    <w:pPr>
      <w:spacing w:line="500" w:lineRule="exact"/>
      <w:ind w:firstLine="200"/>
    </w:pPr>
    <w:rPr>
      <w:rFonts w:cs="Times New Roman"/>
      <w:kern w:val="0"/>
      <w:szCs w:val="28"/>
    </w:rPr>
  </w:style>
  <w:style w:type="paragraph" w:customStyle="1" w:styleId="34">
    <w:name w:val="_Style 1"/>
    <w:qFormat/>
    <w:uiPriority w:val="0"/>
    <w:pPr>
      <w:widowControl w:val="0"/>
      <w:jc w:val="both"/>
    </w:pPr>
    <w:rPr>
      <w:rFonts w:ascii="Calibri" w:hAnsi="Calibri" w:eastAsia="Times New Roman" w:cs="Times New Roman"/>
      <w:kern w:val="2"/>
      <w:sz w:val="21"/>
      <w:szCs w:val="22"/>
      <w:lang w:val="en-US" w:eastAsia="zh-CN" w:bidi="ar-SA"/>
    </w:rPr>
  </w:style>
  <w:style w:type="paragraph" w:styleId="35">
    <w:name w:val="List Paragraph"/>
    <w:basedOn w:val="1"/>
    <w:qFormat/>
    <w:uiPriority w:val="34"/>
    <w:pPr>
      <w:ind w:firstLine="420"/>
    </w:pPr>
  </w:style>
  <w:style w:type="paragraph" w:styleId="36">
    <w:name w:val="No Spacing"/>
    <w:link w:val="51"/>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customStyle="1" w:styleId="37">
    <w:name w:val="闻政-正文一级标题"/>
    <w:basedOn w:val="4"/>
    <w:next w:val="33"/>
    <w:link w:val="49"/>
    <w:qFormat/>
    <w:uiPriority w:val="3"/>
    <w:pPr>
      <w:spacing w:before="120" w:after="60" w:line="500" w:lineRule="exact"/>
      <w:ind w:firstLine="0" w:firstLineChars="0"/>
      <w:outlineLvl w:val="0"/>
    </w:pPr>
    <w:rPr>
      <w:rFonts w:ascii="黑体" w:hAnsi="黑体" w:eastAsia="黑体"/>
      <w:sz w:val="32"/>
    </w:rPr>
  </w:style>
  <w:style w:type="paragraph" w:customStyle="1" w:styleId="38">
    <w:name w:val="闻政-正文二级标题"/>
    <w:basedOn w:val="3"/>
    <w:next w:val="33"/>
    <w:link w:val="48"/>
    <w:qFormat/>
    <w:uiPriority w:val="3"/>
    <w:pPr>
      <w:spacing w:before="120" w:after="60" w:line="500" w:lineRule="exact"/>
      <w:ind w:left="200" w:leftChars="200" w:firstLine="0" w:firstLineChars="0"/>
    </w:pPr>
    <w:rPr>
      <w:rFonts w:ascii="Times New Roman" w:hAnsi="Times New Roman"/>
      <w:sz w:val="28"/>
    </w:rPr>
  </w:style>
  <w:style w:type="paragraph" w:customStyle="1" w:styleId="39">
    <w:name w:val="样式1"/>
    <w:basedOn w:val="2"/>
    <w:qFormat/>
    <w:uiPriority w:val="0"/>
    <w:pPr>
      <w:numPr>
        <w:ilvl w:val="0"/>
        <w:numId w:val="1"/>
      </w:numPr>
      <w:spacing w:before="50" w:beforeLines="50" w:after="50" w:afterLines="50" w:line="240" w:lineRule="auto"/>
    </w:pPr>
    <w:rPr>
      <w:rFonts w:ascii="宋体" w:hAnsi="宋体" w:eastAsia="黑体" w:cs="Times New Roman"/>
      <w:sz w:val="28"/>
      <w:szCs w:val="28"/>
      <w:lang w:eastAsia="zh-CN"/>
    </w:rPr>
  </w:style>
  <w:style w:type="character" w:customStyle="1" w:styleId="40">
    <w:name w:val="标题 4 Char"/>
    <w:link w:val="5"/>
    <w:semiHidden/>
    <w:qFormat/>
    <w:uiPriority w:val="9"/>
    <w:rPr>
      <w:rFonts w:ascii="Cambria" w:hAnsi="Cambria" w:eastAsia="宋体" w:cs="Times New Roman"/>
      <w:b/>
      <w:bCs/>
      <w:sz w:val="28"/>
      <w:szCs w:val="28"/>
    </w:rPr>
  </w:style>
  <w:style w:type="character" w:customStyle="1" w:styleId="41">
    <w:name w:val="标题 3 Char"/>
    <w:link w:val="4"/>
    <w:qFormat/>
    <w:uiPriority w:val="9"/>
    <w:rPr>
      <w:rFonts w:ascii="Calibri" w:hAnsi="Calibri" w:eastAsia="仿宋_GB2312" w:cs="黑体"/>
      <w:bCs/>
      <w:sz w:val="28"/>
      <w:szCs w:val="32"/>
    </w:rPr>
  </w:style>
  <w:style w:type="character" w:customStyle="1" w:styleId="42">
    <w:name w:val="文档结构图 Char"/>
    <w:link w:val="7"/>
    <w:semiHidden/>
    <w:qFormat/>
    <w:uiPriority w:val="99"/>
    <w:rPr>
      <w:rFonts w:ascii="宋体" w:hAnsi="Calibri" w:eastAsia="宋体" w:cs="黑体"/>
      <w:sz w:val="18"/>
      <w:szCs w:val="18"/>
    </w:rPr>
  </w:style>
  <w:style w:type="character" w:customStyle="1" w:styleId="43">
    <w:name w:val="正文首行缩进 2 Char"/>
    <w:link w:val="25"/>
    <w:qFormat/>
    <w:uiPriority w:val="0"/>
    <w:rPr>
      <w:rFonts w:ascii="Calibri" w:hAnsi="Calibri" w:eastAsia="仿宋_GB2312" w:cs="黑体"/>
      <w:sz w:val="28"/>
    </w:rPr>
  </w:style>
  <w:style w:type="character" w:customStyle="1" w:styleId="44">
    <w:name w:val="标题 1 Char"/>
    <w:link w:val="2"/>
    <w:qFormat/>
    <w:uiPriority w:val="9"/>
    <w:rPr>
      <w:rFonts w:ascii="Times New Roman" w:hAnsi="Times New Roman" w:eastAsia="仿宋_GB2312" w:cs="Times New Roman"/>
      <w:b/>
      <w:bCs/>
      <w:kern w:val="44"/>
      <w:sz w:val="32"/>
      <w:szCs w:val="44"/>
    </w:rPr>
  </w:style>
  <w:style w:type="character" w:customStyle="1" w:styleId="45">
    <w:name w:val="闻政-正文段落文字 Char"/>
    <w:link w:val="33"/>
    <w:qFormat/>
    <w:uiPriority w:val="3"/>
    <w:rPr>
      <w:rFonts w:ascii="Times New Roman" w:hAnsi="Times New Roman" w:eastAsia="仿宋_GB2312"/>
      <w:sz w:val="28"/>
      <w:szCs w:val="28"/>
    </w:rPr>
  </w:style>
  <w:style w:type="character" w:customStyle="1" w:styleId="46">
    <w:name w:val="font21"/>
    <w:qFormat/>
    <w:uiPriority w:val="0"/>
    <w:rPr>
      <w:rFonts w:hint="default" w:ascii="Times New Roman" w:hAnsi="Times New Roman" w:cs="Times New Roman"/>
      <w:color w:val="000000"/>
      <w:sz w:val="24"/>
      <w:szCs w:val="24"/>
      <w:u w:val="none"/>
    </w:rPr>
  </w:style>
  <w:style w:type="character" w:customStyle="1" w:styleId="47">
    <w:name w:val="批注文字 Char"/>
    <w:link w:val="8"/>
    <w:semiHidden/>
    <w:qFormat/>
    <w:uiPriority w:val="99"/>
    <w:rPr>
      <w:rFonts w:ascii="Calibri" w:hAnsi="Calibri" w:eastAsia="仿宋_GB2312" w:cs="黑体"/>
      <w:sz w:val="20"/>
      <w:szCs w:val="20"/>
    </w:rPr>
  </w:style>
  <w:style w:type="character" w:customStyle="1" w:styleId="48">
    <w:name w:val="闻政-正文二级标题 Char"/>
    <w:link w:val="38"/>
    <w:qFormat/>
    <w:uiPriority w:val="3"/>
    <w:rPr>
      <w:rFonts w:ascii="Times New Roman" w:hAnsi="Times New Roman" w:eastAsia="仿宋_GB2312"/>
      <w:b/>
      <w:bCs/>
      <w:sz w:val="28"/>
      <w:szCs w:val="32"/>
    </w:rPr>
  </w:style>
  <w:style w:type="character" w:customStyle="1" w:styleId="49">
    <w:name w:val="闻政-正文一级标题 Char"/>
    <w:link w:val="37"/>
    <w:qFormat/>
    <w:uiPriority w:val="3"/>
    <w:rPr>
      <w:rFonts w:ascii="黑体" w:hAnsi="黑体" w:eastAsia="黑体"/>
      <w:bCs/>
      <w:sz w:val="32"/>
      <w:szCs w:val="32"/>
    </w:rPr>
  </w:style>
  <w:style w:type="character" w:customStyle="1" w:styleId="50">
    <w:name w:val="闻政-正文三级标题 Char"/>
    <w:link w:val="32"/>
    <w:qFormat/>
    <w:uiPriority w:val="3"/>
    <w:rPr>
      <w:rFonts w:ascii="Times New Roman" w:hAnsi="Times New Roman" w:eastAsia="仿宋_GB2312"/>
      <w:b/>
      <w:snapToGrid w:val="0"/>
      <w:sz w:val="28"/>
      <w:szCs w:val="28"/>
    </w:rPr>
  </w:style>
  <w:style w:type="character" w:customStyle="1" w:styleId="51">
    <w:name w:val="无间隔 Char"/>
    <w:link w:val="36"/>
    <w:qFormat/>
    <w:uiPriority w:val="1"/>
    <w:rPr>
      <w:rFonts w:eastAsia="仿宋_GB2312" w:cs="黑体"/>
      <w:kern w:val="2"/>
      <w:sz w:val="28"/>
      <w:szCs w:val="22"/>
      <w:lang w:val="en-US" w:eastAsia="zh-CN" w:bidi="ar-SA"/>
    </w:rPr>
  </w:style>
  <w:style w:type="character" w:customStyle="1" w:styleId="52">
    <w:name w:val="_Style 50"/>
    <w:qFormat/>
    <w:uiPriority w:val="0"/>
    <w:rPr>
      <w:b/>
      <w:bCs/>
      <w:smallCaps/>
      <w:color w:val="C0504D"/>
      <w:spacing w:val="5"/>
      <w:u w:val="single"/>
    </w:rPr>
  </w:style>
  <w:style w:type="character" w:customStyle="1" w:styleId="53">
    <w:name w:val="批注主题 Char"/>
    <w:link w:val="24"/>
    <w:semiHidden/>
    <w:qFormat/>
    <w:uiPriority w:val="99"/>
    <w:rPr>
      <w:rFonts w:ascii="Calibri" w:hAnsi="Calibri" w:eastAsia="仿宋_GB2312" w:cs="黑体"/>
      <w:b/>
      <w:bCs/>
      <w:sz w:val="20"/>
      <w:szCs w:val="20"/>
    </w:rPr>
  </w:style>
  <w:style w:type="character" w:customStyle="1" w:styleId="54">
    <w:name w:val="font11"/>
    <w:qFormat/>
    <w:uiPriority w:val="0"/>
    <w:rPr>
      <w:rFonts w:hint="eastAsia" w:ascii="方正仿宋_GBK" w:hAnsi="方正仿宋_GBK" w:eastAsia="方正仿宋_GBK" w:cs="方正仿宋_GBK"/>
      <w:color w:val="000000"/>
      <w:sz w:val="24"/>
      <w:szCs w:val="24"/>
      <w:u w:val="none"/>
    </w:rPr>
  </w:style>
  <w:style w:type="character" w:customStyle="1" w:styleId="55">
    <w:name w:val="页眉 Char"/>
    <w:link w:val="17"/>
    <w:qFormat/>
    <w:uiPriority w:val="99"/>
    <w:rPr>
      <w:rFonts w:ascii="Calibri" w:hAnsi="Calibri" w:eastAsia="仿宋_GB2312" w:cs="黑体"/>
      <w:sz w:val="18"/>
      <w:szCs w:val="18"/>
    </w:rPr>
  </w:style>
  <w:style w:type="character" w:customStyle="1" w:styleId="56">
    <w:name w:val="正文文本缩进 Char"/>
    <w:link w:val="10"/>
    <w:semiHidden/>
    <w:qFormat/>
    <w:uiPriority w:val="99"/>
    <w:rPr>
      <w:rFonts w:ascii="Calibri" w:hAnsi="Calibri" w:eastAsia="仿宋_GB2312" w:cs="黑体"/>
      <w:sz w:val="28"/>
    </w:rPr>
  </w:style>
  <w:style w:type="character" w:customStyle="1" w:styleId="57">
    <w:name w:val="页脚 Char"/>
    <w:link w:val="16"/>
    <w:qFormat/>
    <w:uiPriority w:val="99"/>
    <w:rPr>
      <w:rFonts w:ascii="Calibri" w:hAnsi="Calibri" w:eastAsia="仿宋_GB2312" w:cs="黑体"/>
      <w:sz w:val="18"/>
      <w:szCs w:val="18"/>
    </w:rPr>
  </w:style>
  <w:style w:type="character" w:customStyle="1" w:styleId="58">
    <w:name w:val="批注框文本 Char"/>
    <w:link w:val="15"/>
    <w:semiHidden/>
    <w:qFormat/>
    <w:uiPriority w:val="99"/>
    <w:rPr>
      <w:rFonts w:ascii="Calibri" w:hAnsi="Calibri" w:eastAsia="仿宋_GB2312" w:cs="黑体"/>
      <w:sz w:val="18"/>
      <w:szCs w:val="18"/>
    </w:rPr>
  </w:style>
  <w:style w:type="character" w:customStyle="1" w:styleId="59">
    <w:name w:val="标题 2 Char"/>
    <w:link w:val="3"/>
    <w:qFormat/>
    <w:uiPriority w:val="0"/>
    <w:rPr>
      <w:rFonts w:ascii="Cambria" w:hAnsi="Cambria" w:eastAsia="仿宋_GB2312" w:cs="Times New Roman"/>
      <w:b/>
      <w:bCs/>
      <w:kern w:val="0"/>
      <w:sz w:val="30"/>
      <w:szCs w:val="32"/>
    </w:rPr>
  </w:style>
  <w:style w:type="character" w:customStyle="1" w:styleId="60">
    <w:name w:val="标题 Char"/>
    <w:link w:val="23"/>
    <w:qFormat/>
    <w:uiPriority w:val="10"/>
    <w:rPr>
      <w:rFonts w:ascii="Cambria" w:hAnsi="Cambr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1480</Words>
  <Characters>8440</Characters>
  <Lines>70</Lines>
  <Paragraphs>19</Paragraphs>
  <TotalTime>6</TotalTime>
  <ScaleCrop>false</ScaleCrop>
  <LinksUpToDate>false</LinksUpToDate>
  <CharactersWithSpaces>9901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2022-03-02T12:48:00Z</dcterms:created>
  <dc:creator>User</dc:creator>
  <cp:lastModifiedBy>雨。</cp:lastModifiedBy>
  <dcterms:modified xsi:type="dcterms:W3CDTF">2023-10-13T03:18:58Z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2A2F7DA118524E82B3744CFF1894E5C6</vt:lpwstr>
  </property>
  <property fmtid="{D5CDD505-2E9C-101B-9397-08002B2CF9AE}" pid="4" name="KSOSaveFontToCloudKey">
    <vt:lpwstr>254973925_cloud</vt:lpwstr>
  </property>
</Properties>
</file>