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left="0" w:leftChars="0" w:firstLine="0" w:firstLineChars="0"/>
        <w:rPr>
          <w:rFonts w:hint="default"/>
          <w:color w:val="auto"/>
          <w:u w:val="single"/>
          <w:lang w:val="en-US" w:eastAsia="zh-CN"/>
        </w:rPr>
      </w:pPr>
      <w:bookmarkStart w:id="18" w:name="_GoBack"/>
    </w:p>
    <w:p>
      <w:pPr>
        <w:rPr>
          <w:rFonts w:hint="default"/>
          <w:color w:val="auto"/>
          <w:lang w:val="en-US" w:eastAsia="zh-CN"/>
        </w:rPr>
      </w:pPr>
    </w:p>
    <w:p>
      <w:pPr>
        <w:pageBreakBefore w:val="0"/>
        <w:tabs>
          <w:tab w:val="left" w:pos="1680"/>
        </w:tabs>
        <w:kinsoku/>
        <w:wordWrap/>
        <w:topLinePunct w:val="0"/>
        <w:autoSpaceDE/>
        <w:autoSpaceDN/>
        <w:bidi w:val="0"/>
        <w:spacing w:before="120" w:after="120" w:line="560" w:lineRule="exact"/>
        <w:ind w:firstLine="643"/>
        <w:jc w:val="center"/>
        <w:outlineLvl w:val="0"/>
        <w:rPr>
          <w:rFonts w:hint="eastAsia" w:ascii="方正小标宋_GBK" w:hAnsi="方正小标宋_GBK" w:eastAsia="方正小标宋_GBK" w:cs="方正小标宋_GBK"/>
          <w:b/>
          <w:bCs w:val="0"/>
          <w:color w:val="auto"/>
          <w:sz w:val="40"/>
          <w:szCs w:val="40"/>
        </w:rPr>
      </w:pPr>
      <w:r>
        <w:rPr>
          <w:rFonts w:hint="eastAsia" w:ascii="方正小标宋_GBK" w:hAnsi="方正小标宋_GBK" w:eastAsia="方正小标宋_GBK" w:cs="方正小标宋_GBK"/>
          <w:b/>
          <w:bCs w:val="0"/>
          <w:color w:val="auto"/>
          <w:sz w:val="40"/>
          <w:szCs w:val="40"/>
          <w:lang w:val="en-US" w:eastAsia="zh-CN"/>
        </w:rPr>
        <w:t>伽师县第三次全国土壤普查</w:t>
      </w:r>
      <w:r>
        <w:rPr>
          <w:rFonts w:hint="eastAsia" w:ascii="方正小标宋_GBK" w:hAnsi="方正小标宋_GBK" w:eastAsia="方正小标宋_GBK" w:cs="方正小标宋_GBK"/>
          <w:b/>
          <w:bCs w:val="0"/>
          <w:color w:val="auto"/>
          <w:sz w:val="40"/>
          <w:szCs w:val="40"/>
        </w:rPr>
        <w:t>项目支出</w:t>
      </w:r>
    </w:p>
    <w:p>
      <w:pPr>
        <w:pageBreakBefore w:val="0"/>
        <w:tabs>
          <w:tab w:val="left" w:pos="1680"/>
        </w:tabs>
        <w:kinsoku/>
        <w:wordWrap/>
        <w:topLinePunct w:val="0"/>
        <w:autoSpaceDE/>
        <w:autoSpaceDN/>
        <w:bidi w:val="0"/>
        <w:spacing w:before="120" w:after="120" w:line="560" w:lineRule="exact"/>
        <w:ind w:firstLine="643"/>
        <w:jc w:val="center"/>
        <w:outlineLvl w:val="0"/>
        <w:rPr>
          <w:rFonts w:hint="eastAsia" w:ascii="方正小标宋_GBK" w:hAnsi="方正小标宋_GBK" w:eastAsia="方正小标宋_GBK" w:cs="方正小标宋_GBK"/>
          <w:b/>
          <w:bCs w:val="0"/>
          <w:color w:val="auto"/>
          <w:sz w:val="40"/>
          <w:szCs w:val="40"/>
        </w:rPr>
      </w:pPr>
      <w:r>
        <w:rPr>
          <w:rFonts w:hint="eastAsia" w:ascii="方正小标宋_GBK" w:hAnsi="方正小标宋_GBK" w:eastAsia="方正小标宋_GBK" w:cs="方正小标宋_GBK"/>
          <w:b/>
          <w:bCs w:val="0"/>
          <w:color w:val="auto"/>
          <w:sz w:val="40"/>
          <w:szCs w:val="40"/>
        </w:rPr>
        <w:t>绩效评价报告</w:t>
      </w:r>
    </w:p>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b/>
          <w:color w:val="auto"/>
          <w:kern w:val="0"/>
          <w:sz w:val="40"/>
          <w:szCs w:val="40"/>
          <w:lang w:bidi="en-US"/>
        </w:rPr>
      </w:pPr>
    </w:p>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b/>
          <w:color w:val="auto"/>
          <w:kern w:val="0"/>
          <w:sz w:val="40"/>
          <w:szCs w:val="40"/>
          <w:lang w:bidi="en-US"/>
        </w:rPr>
      </w:pPr>
    </w:p>
    <w:p>
      <w:pPr>
        <w:pStyle w:val="2"/>
        <w:pageBreakBefore w:val="0"/>
        <w:kinsoku/>
        <w:wordWrap/>
        <w:topLinePunct w:val="0"/>
        <w:autoSpaceDE/>
        <w:autoSpaceDN/>
        <w:bidi w:val="0"/>
        <w:spacing w:line="560" w:lineRule="exact"/>
        <w:rPr>
          <w:rFonts w:hint="eastAsia" w:ascii="Times New Roman" w:hAnsi="Times New Roman" w:eastAsia="方正仿宋_GBK" w:cs="方正仿宋_GBK"/>
          <w:b/>
          <w:color w:val="auto"/>
          <w:kern w:val="0"/>
          <w:sz w:val="32"/>
          <w:szCs w:val="32"/>
          <w:lang w:bidi="en-US"/>
        </w:rPr>
      </w:pPr>
    </w:p>
    <w:p>
      <w:pPr>
        <w:rPr>
          <w:rFonts w:hint="eastAsia" w:ascii="Times New Roman" w:hAnsi="Times New Roman" w:eastAsia="方正仿宋_GBK" w:cs="方正仿宋_GBK"/>
          <w:b/>
          <w:color w:val="auto"/>
          <w:kern w:val="0"/>
          <w:sz w:val="32"/>
          <w:szCs w:val="32"/>
          <w:lang w:bidi="en-US"/>
        </w:rPr>
      </w:pPr>
    </w:p>
    <w:p>
      <w:pPr>
        <w:ind w:left="0" w:leftChars="0" w:firstLine="0" w:firstLineChars="0"/>
        <w:rPr>
          <w:rFonts w:hint="eastAsia"/>
          <w:color w:val="auto"/>
        </w:rPr>
      </w:pPr>
    </w:p>
    <w:p>
      <w:pPr>
        <w:pageBreakBefore w:val="0"/>
        <w:kinsoku/>
        <w:wordWrap/>
        <w:topLinePunct w:val="0"/>
        <w:autoSpaceDE/>
        <w:autoSpaceDN/>
        <w:bidi w:val="0"/>
        <w:spacing w:line="560" w:lineRule="exact"/>
        <w:rPr>
          <w:rFonts w:hint="eastAsia"/>
          <w:color w:val="auto"/>
        </w:rPr>
      </w:pPr>
    </w:p>
    <w:p>
      <w:pPr>
        <w:pageBreakBefore w:val="0"/>
        <w:kinsoku/>
        <w:wordWrap/>
        <w:topLinePunct w:val="0"/>
        <w:autoSpaceDE/>
        <w:autoSpaceDN/>
        <w:bidi w:val="0"/>
        <w:spacing w:line="560" w:lineRule="exact"/>
        <w:ind w:firstLine="0" w:firstLineChars="0"/>
        <w:jc w:val="both"/>
        <w:rPr>
          <w:rFonts w:hint="eastAsia" w:ascii="Times New Roman" w:hAnsi="Times New Roman" w:eastAsia="方正仿宋_GBK" w:cs="方正仿宋_GBK"/>
          <w:color w:val="auto"/>
          <w:kern w:val="0"/>
          <w:sz w:val="32"/>
          <w:szCs w:val="32"/>
          <w:lang w:bidi="en-US"/>
        </w:rPr>
      </w:pPr>
    </w:p>
    <w:p>
      <w:pPr>
        <w:pageBreakBefore w:val="0"/>
        <w:kinsoku/>
        <w:wordWrap/>
        <w:topLinePunct w:val="0"/>
        <w:autoSpaceDE/>
        <w:autoSpaceDN/>
        <w:bidi w:val="0"/>
        <w:spacing w:line="560" w:lineRule="exact"/>
        <w:ind w:firstLine="1411" w:firstLineChars="441"/>
        <w:jc w:val="left"/>
        <w:rPr>
          <w:rFonts w:hint="eastAsia" w:ascii="方正仿宋_GBK" w:hAnsi="方正仿宋_GBK" w:eastAsia="方正仿宋_GBK" w:cs="方正仿宋_GBK"/>
          <w:color w:val="auto"/>
          <w:kern w:val="0"/>
          <w:sz w:val="32"/>
          <w:szCs w:val="32"/>
          <w:lang w:eastAsia="zh-CN" w:bidi="en-US"/>
        </w:rPr>
      </w:pPr>
      <w:r>
        <w:rPr>
          <w:rFonts w:hint="eastAsia" w:ascii="方正仿宋_GBK" w:hAnsi="方正仿宋_GBK" w:eastAsia="方正仿宋_GBK" w:cs="方正仿宋_GBK"/>
          <w:color w:val="auto"/>
          <w:kern w:val="0"/>
          <w:sz w:val="32"/>
          <w:szCs w:val="32"/>
          <w:lang w:bidi="en-US"/>
        </w:rPr>
        <w:t>项目名称：</w:t>
      </w:r>
      <w:r>
        <w:rPr>
          <w:rFonts w:hint="eastAsia" w:ascii="方正仿宋_GBK" w:hAnsi="方正仿宋_GBK" w:eastAsia="方正仿宋_GBK" w:cs="方正仿宋_GBK"/>
          <w:color w:val="auto"/>
          <w:kern w:val="0"/>
          <w:sz w:val="32"/>
          <w:szCs w:val="32"/>
          <w:lang w:val="en-US" w:eastAsia="zh-CN" w:bidi="en-US"/>
        </w:rPr>
        <w:t>伽师县第三次全国土壤普查工作</w:t>
      </w:r>
      <w:r>
        <w:rPr>
          <w:rFonts w:hint="eastAsia" w:ascii="方正仿宋_GBK" w:hAnsi="方正仿宋_GBK" w:eastAsia="方正仿宋_GBK" w:cs="方正仿宋_GBK"/>
          <w:color w:val="auto"/>
          <w:kern w:val="0"/>
          <w:sz w:val="32"/>
          <w:szCs w:val="32"/>
          <w:lang w:eastAsia="zh-CN" w:bidi="en-US"/>
        </w:rPr>
        <w:t>项目</w:t>
      </w:r>
    </w:p>
    <w:p>
      <w:pPr>
        <w:pageBreakBefore w:val="0"/>
        <w:kinsoku/>
        <w:wordWrap/>
        <w:topLinePunct w:val="0"/>
        <w:autoSpaceDE/>
        <w:autoSpaceDN/>
        <w:bidi w:val="0"/>
        <w:spacing w:line="560" w:lineRule="exact"/>
        <w:ind w:firstLine="1411" w:firstLineChars="441"/>
        <w:jc w:val="left"/>
        <w:rPr>
          <w:rFonts w:hint="eastAsia" w:ascii="方正仿宋_GBK" w:hAnsi="方正仿宋_GBK" w:eastAsia="方正仿宋_GBK" w:cs="方正仿宋_GBK"/>
          <w:color w:val="auto"/>
          <w:kern w:val="0"/>
          <w:sz w:val="32"/>
          <w:szCs w:val="32"/>
          <w:lang w:val="en-US" w:eastAsia="zh-CN" w:bidi="en-US"/>
        </w:rPr>
      </w:pPr>
      <w:r>
        <w:rPr>
          <w:rFonts w:hint="eastAsia" w:ascii="方正仿宋_GBK" w:hAnsi="方正仿宋_GBK" w:eastAsia="方正仿宋_GBK" w:cs="方正仿宋_GBK"/>
          <w:color w:val="auto"/>
          <w:kern w:val="0"/>
          <w:sz w:val="32"/>
          <w:szCs w:val="32"/>
          <w:lang w:eastAsia="zh-CN" w:bidi="en-US"/>
        </w:rPr>
        <w:t>项目单位：</w:t>
      </w:r>
      <w:r>
        <w:rPr>
          <w:rFonts w:hint="eastAsia" w:ascii="方正仿宋_GBK" w:hAnsi="方正仿宋_GBK" w:eastAsia="方正仿宋_GBK" w:cs="方正仿宋_GBK"/>
          <w:color w:val="auto"/>
          <w:kern w:val="0"/>
          <w:sz w:val="32"/>
          <w:szCs w:val="32"/>
          <w:lang w:val="en-US" w:eastAsia="zh-CN" w:bidi="en-US"/>
        </w:rPr>
        <w:t>伽师县农业技术推广中心</w:t>
      </w:r>
    </w:p>
    <w:p>
      <w:pPr>
        <w:pageBreakBefore w:val="0"/>
        <w:kinsoku/>
        <w:wordWrap/>
        <w:topLinePunct w:val="0"/>
        <w:autoSpaceDE/>
        <w:autoSpaceDN/>
        <w:bidi w:val="0"/>
        <w:spacing w:line="560" w:lineRule="exact"/>
        <w:ind w:firstLine="1411" w:firstLineChars="441"/>
        <w:jc w:val="left"/>
        <w:rPr>
          <w:rFonts w:hint="eastAsia" w:ascii="方正仿宋_GBK" w:hAnsi="方正仿宋_GBK" w:eastAsia="方正仿宋_GBK" w:cs="方正仿宋_GBK"/>
          <w:color w:val="auto"/>
          <w:kern w:val="0"/>
          <w:sz w:val="32"/>
          <w:szCs w:val="32"/>
          <w:lang w:val="en-US" w:eastAsia="zh-CN" w:bidi="en-US"/>
        </w:rPr>
      </w:pPr>
      <w:r>
        <w:rPr>
          <w:rFonts w:hint="eastAsia" w:ascii="方正仿宋_GBK" w:hAnsi="方正仿宋_GBK" w:eastAsia="方正仿宋_GBK" w:cs="方正仿宋_GBK"/>
          <w:color w:val="auto"/>
          <w:kern w:val="0"/>
          <w:sz w:val="32"/>
          <w:szCs w:val="32"/>
          <w:lang w:eastAsia="zh-CN" w:bidi="en-US"/>
        </w:rPr>
        <w:t>主管部门：</w:t>
      </w:r>
      <w:r>
        <w:rPr>
          <w:rFonts w:hint="eastAsia" w:ascii="方正仿宋_GBK" w:hAnsi="方正仿宋_GBK" w:eastAsia="方正仿宋_GBK" w:cs="方正仿宋_GBK"/>
          <w:color w:val="auto"/>
          <w:kern w:val="0"/>
          <w:sz w:val="32"/>
          <w:szCs w:val="32"/>
          <w:lang w:val="en-US" w:eastAsia="zh-CN" w:bidi="en-US"/>
        </w:rPr>
        <w:t>伽师县农业农村局</w:t>
      </w:r>
    </w:p>
    <w:p>
      <w:pPr>
        <w:pageBreakBefore w:val="0"/>
        <w:kinsoku/>
        <w:wordWrap/>
        <w:topLinePunct w:val="0"/>
        <w:autoSpaceDE/>
        <w:autoSpaceDN/>
        <w:bidi w:val="0"/>
        <w:spacing w:line="560" w:lineRule="exact"/>
        <w:ind w:firstLine="1411" w:firstLineChars="441"/>
        <w:jc w:val="left"/>
        <w:rPr>
          <w:rFonts w:hint="eastAsia" w:ascii="方正仿宋_GBK" w:hAnsi="方正仿宋_GBK" w:eastAsia="方正仿宋_GBK" w:cs="方正仿宋_GBK"/>
          <w:color w:val="auto"/>
          <w:kern w:val="0"/>
          <w:sz w:val="32"/>
          <w:szCs w:val="32"/>
          <w:lang w:val="en-US" w:eastAsia="zh-CN" w:bidi="en-US"/>
        </w:rPr>
      </w:pPr>
      <w:r>
        <w:rPr>
          <w:rFonts w:hint="eastAsia" w:ascii="方正仿宋_GBK" w:hAnsi="方正仿宋_GBK" w:eastAsia="方正仿宋_GBK" w:cs="方正仿宋_GBK"/>
          <w:color w:val="auto"/>
          <w:kern w:val="0"/>
          <w:sz w:val="32"/>
          <w:szCs w:val="32"/>
          <w:lang w:eastAsia="zh-CN" w:bidi="en-US"/>
        </w:rPr>
        <w:t>项目负责人：</w:t>
      </w:r>
      <w:r>
        <w:rPr>
          <w:rFonts w:hint="eastAsia" w:ascii="方正仿宋_GBK" w:hAnsi="方正仿宋_GBK" w:eastAsia="方正仿宋_GBK" w:cs="方正仿宋_GBK"/>
          <w:color w:val="auto"/>
          <w:kern w:val="0"/>
          <w:sz w:val="32"/>
          <w:szCs w:val="32"/>
          <w:lang w:val="en-US" w:eastAsia="zh-CN" w:bidi="en-US"/>
        </w:rPr>
        <w:t>梁思学</w:t>
      </w:r>
    </w:p>
    <w:p>
      <w:pPr>
        <w:pageBreakBefore w:val="0"/>
        <w:kinsoku/>
        <w:wordWrap/>
        <w:topLinePunct w:val="0"/>
        <w:autoSpaceDE/>
        <w:autoSpaceDN/>
        <w:bidi w:val="0"/>
        <w:spacing w:line="560" w:lineRule="exact"/>
        <w:ind w:firstLine="1411" w:firstLineChars="441"/>
        <w:jc w:val="left"/>
        <w:rPr>
          <w:rFonts w:hint="eastAsia" w:ascii="方正仿宋_GBK" w:hAnsi="方正仿宋_GBK" w:eastAsia="方正仿宋_GBK" w:cs="方正仿宋_GBK"/>
          <w:color w:val="auto"/>
          <w:kern w:val="0"/>
          <w:sz w:val="32"/>
          <w:szCs w:val="32"/>
          <w:lang w:val="en-US" w:eastAsia="zh-CN" w:bidi="en-US"/>
        </w:rPr>
      </w:pPr>
      <w:r>
        <w:rPr>
          <w:rFonts w:hint="eastAsia" w:ascii="方正仿宋_GBK" w:hAnsi="方正仿宋_GBK" w:eastAsia="方正仿宋_GBK" w:cs="方正仿宋_GBK"/>
          <w:color w:val="auto"/>
          <w:kern w:val="0"/>
          <w:sz w:val="32"/>
          <w:szCs w:val="32"/>
          <w:lang w:eastAsia="zh-CN" w:bidi="en-US"/>
        </w:rPr>
        <w:t>填报时间：</w:t>
      </w:r>
      <w:r>
        <w:rPr>
          <w:rFonts w:hint="eastAsia" w:ascii="方正仿宋_GBK" w:hAnsi="方正仿宋_GBK" w:eastAsia="方正仿宋_GBK" w:cs="方正仿宋_GBK"/>
          <w:color w:val="auto"/>
          <w:kern w:val="0"/>
          <w:sz w:val="32"/>
          <w:szCs w:val="32"/>
          <w:lang w:val="en-US" w:eastAsia="zh-CN" w:bidi="en-US"/>
        </w:rPr>
        <w:t>2023</w:t>
      </w:r>
      <w:r>
        <w:rPr>
          <w:rFonts w:hint="eastAsia" w:ascii="方正仿宋_GBK" w:hAnsi="方正仿宋_GBK" w:eastAsia="方正仿宋_GBK" w:cs="方正仿宋_GBK"/>
          <w:color w:val="auto"/>
          <w:kern w:val="0"/>
          <w:sz w:val="32"/>
          <w:szCs w:val="32"/>
          <w:lang w:eastAsia="zh-CN" w:bidi="en-US"/>
        </w:rPr>
        <w:t>年</w:t>
      </w:r>
      <w:r>
        <w:rPr>
          <w:rFonts w:hint="eastAsia" w:ascii="方正仿宋_GBK" w:hAnsi="方正仿宋_GBK" w:eastAsia="方正仿宋_GBK" w:cs="方正仿宋_GBK"/>
          <w:color w:val="auto"/>
          <w:kern w:val="0"/>
          <w:sz w:val="32"/>
          <w:szCs w:val="32"/>
          <w:lang w:val="en-US" w:eastAsia="zh-CN" w:bidi="en-US"/>
        </w:rPr>
        <w:t>2</w:t>
      </w:r>
      <w:r>
        <w:rPr>
          <w:rFonts w:hint="eastAsia" w:ascii="方正仿宋_GBK" w:hAnsi="方正仿宋_GBK" w:eastAsia="方正仿宋_GBK" w:cs="方正仿宋_GBK"/>
          <w:color w:val="auto"/>
          <w:kern w:val="0"/>
          <w:sz w:val="32"/>
          <w:szCs w:val="32"/>
          <w:lang w:eastAsia="zh-CN" w:bidi="en-US"/>
        </w:rPr>
        <w:t>月</w:t>
      </w:r>
      <w:r>
        <w:rPr>
          <w:rFonts w:hint="eastAsia" w:ascii="方正仿宋_GBK" w:hAnsi="方正仿宋_GBK" w:eastAsia="方正仿宋_GBK" w:cs="方正仿宋_GBK"/>
          <w:color w:val="auto"/>
          <w:kern w:val="0"/>
          <w:sz w:val="32"/>
          <w:szCs w:val="32"/>
          <w:lang w:val="en-US" w:eastAsia="zh-CN" w:bidi="en-US"/>
        </w:rPr>
        <w:t>10日</w:t>
      </w:r>
    </w:p>
    <w:p>
      <w:pPr>
        <w:pStyle w:val="3"/>
        <w:keepNext/>
        <w:keepLines/>
        <w:pageBreakBefore w:val="0"/>
        <w:widowControl w:val="0"/>
        <w:kinsoku/>
        <w:wordWrap/>
        <w:overflowPunct/>
        <w:topLinePunct w:val="0"/>
        <w:autoSpaceDE/>
        <w:autoSpaceDN/>
        <w:bidi w:val="0"/>
        <w:adjustRightInd/>
        <w:snapToGrid/>
        <w:spacing w:before="0" w:after="0" w:line="570" w:lineRule="exact"/>
        <w:ind w:left="0" w:leftChars="0" w:firstLine="0" w:firstLineChars="0"/>
        <w:textAlignment w:val="auto"/>
        <w:rPr>
          <w:rFonts w:hint="eastAsia" w:ascii="方正黑体_GBK" w:hAnsi="方正黑体_GBK" w:eastAsia="方正黑体_GBK" w:cs="方正黑体_GBK"/>
          <w:b w:val="0"/>
          <w:bCs w:val="0"/>
          <w:color w:val="auto"/>
        </w:rPr>
      </w:pPr>
      <w:bookmarkStart w:id="0" w:name="_Toc68364657"/>
    </w:p>
    <w:p>
      <w:pPr>
        <w:pStyle w:val="4"/>
        <w:rPr>
          <w:rFonts w:hint="eastAsia"/>
          <w:color w:val="auto"/>
        </w:rPr>
      </w:pPr>
    </w:p>
    <w:p>
      <w:pPr>
        <w:pStyle w:val="3"/>
        <w:keepNext/>
        <w:keepLines/>
        <w:pageBreakBefore w:val="0"/>
        <w:widowControl w:val="0"/>
        <w:kinsoku/>
        <w:wordWrap/>
        <w:overflowPunct/>
        <w:topLinePunct w:val="0"/>
        <w:autoSpaceDE/>
        <w:autoSpaceDN/>
        <w:bidi w:val="0"/>
        <w:adjustRightInd/>
        <w:snapToGrid/>
        <w:spacing w:before="0" w:after="0" w:line="570" w:lineRule="exact"/>
        <w:ind w:left="0" w:leftChars="0" w:firstLine="640" w:firstLineChars="200"/>
        <w:textAlignment w:val="auto"/>
        <w:rPr>
          <w:rFonts w:hint="eastAsia" w:ascii="方正黑体_GBK" w:hAnsi="方正黑体_GBK" w:eastAsia="方正黑体_GBK" w:cs="方正黑体_GBK"/>
          <w:b w:val="0"/>
          <w:bCs w:val="0"/>
          <w:color w:val="auto"/>
          <w:highlight w:val="none"/>
        </w:rPr>
      </w:pPr>
    </w:p>
    <w:p>
      <w:pPr>
        <w:pStyle w:val="3"/>
        <w:keepNext/>
        <w:keepLines/>
        <w:pageBreakBefore w:val="0"/>
        <w:widowControl w:val="0"/>
        <w:kinsoku/>
        <w:wordWrap/>
        <w:overflowPunct/>
        <w:topLinePunct w:val="0"/>
        <w:autoSpaceDE/>
        <w:autoSpaceDN/>
        <w:bidi w:val="0"/>
        <w:adjustRightInd/>
        <w:snapToGrid/>
        <w:spacing w:before="0" w:after="0" w:line="570" w:lineRule="exact"/>
        <w:ind w:left="0" w:leftChars="0" w:firstLine="640" w:firstLineChars="200"/>
        <w:textAlignment w:val="auto"/>
        <w:rPr>
          <w:rFonts w:hint="eastAsia" w:ascii="方正黑体_GBK" w:hAnsi="方正黑体_GBK" w:eastAsia="方正黑体_GBK" w:cs="方正黑体_GBK"/>
          <w:b w:val="0"/>
          <w:bCs w:val="0"/>
          <w:color w:val="auto"/>
          <w:highlight w:val="none"/>
        </w:rPr>
      </w:pPr>
      <w:r>
        <w:rPr>
          <w:rFonts w:hint="eastAsia" w:ascii="方正黑体_GBK" w:hAnsi="方正黑体_GBK" w:eastAsia="方正黑体_GBK" w:cs="方正黑体_GBK"/>
          <w:b w:val="0"/>
          <w:bCs w:val="0"/>
          <w:color w:val="auto"/>
          <w:highlight w:val="none"/>
        </w:rPr>
        <w:t>一、基本情况</w:t>
      </w:r>
      <w:bookmarkEnd w:id="0"/>
    </w:p>
    <w:p>
      <w:pPr>
        <w:pStyle w:val="55"/>
        <w:keepNext/>
        <w:keepLines/>
        <w:pageBreakBefore w:val="0"/>
        <w:widowControl w:val="0"/>
        <w:kinsoku/>
        <w:wordWrap/>
        <w:overflowPunct/>
        <w:topLinePunct w:val="0"/>
        <w:autoSpaceDE/>
        <w:autoSpaceDN/>
        <w:bidi w:val="0"/>
        <w:adjustRightInd/>
        <w:snapToGrid/>
        <w:spacing w:line="570" w:lineRule="exact"/>
        <w:ind w:left="560"/>
        <w:textAlignment w:val="auto"/>
        <w:rPr>
          <w:rFonts w:hint="eastAsia" w:ascii="方正楷体_GBK" w:hAnsi="方正楷体_GBK" w:eastAsia="方正楷体_GBK" w:cs="方正楷体_GBK"/>
          <w:color w:val="auto"/>
          <w:sz w:val="32"/>
          <w:highlight w:val="none"/>
        </w:rPr>
      </w:pPr>
      <w:bookmarkStart w:id="1" w:name="_Toc68364658"/>
      <w:r>
        <w:rPr>
          <w:rFonts w:hint="eastAsia" w:ascii="方正楷体_GBK" w:hAnsi="方正楷体_GBK" w:eastAsia="方正楷体_GBK" w:cs="方正楷体_GBK"/>
          <w:color w:val="auto"/>
          <w:sz w:val="32"/>
          <w:highlight w:val="none"/>
        </w:rPr>
        <w:t>（一）项目概况</w:t>
      </w:r>
      <w:bookmarkEnd w:id="1"/>
    </w:p>
    <w:p>
      <w:pPr>
        <w:pStyle w:val="37"/>
        <w:keepNext w:val="0"/>
        <w:keepLines w:val="0"/>
        <w:pageBreakBefore w:val="0"/>
        <w:widowControl w:val="0"/>
        <w:kinsoku/>
        <w:wordWrap/>
        <w:overflowPunct/>
        <w:topLinePunct w:val="0"/>
        <w:autoSpaceDE/>
        <w:autoSpaceDN/>
        <w:bidi w:val="0"/>
        <w:adjustRightInd/>
        <w:snapToGrid/>
        <w:spacing w:line="570" w:lineRule="exact"/>
        <w:ind w:firstLine="643"/>
        <w:textAlignment w:val="auto"/>
        <w:outlineLvl w:val="2"/>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1.项目背景</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土壤普查是查明土壤类型及分布规律，查清土壤资源数量和质量等的重要方法，普查结果可为土壤的可循分类、规划利用、改良培肥、保护管理等提供科学支撑，也可为经济社会生态建设重大政策的制定提供决策依据。开展第三次全国土壤普查是守牢耕地红线确保国家粮食安全的重要基础，是落实高质量发展要求加快农业农村现代化的重要支撑，是保护环境促进生态文明建设的重要举措，是优化农业生产布局助力乡村产业振兴的有效途径。</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党中央国务院高度重视粮食安全，将其作为“国之大者”重要战略举措抓紧抓实。耕地是粮食生产之基，保护好耕地是保障粮食安全的两个要害之一。耕地保护不仅重在数量还重在质量，在经济发展用地需求存在的背景下，耕地质量更为关键。针对耕地等土壤质量，我国于50年代、70年代末先后开展了2次土壤普查。改革开放40多年，土地的利用方式发生了很大变化，但耕地等土壤质量普查工作一直未开展，耕地质量到底发生了怎样的变化，急需一次全面的“体检”。对此，习近平总书记先后两次批示，李克强总理、韩正副总理、胡春华总理也分别批示，要求必须做好耕地“体检”工作。</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2022年1月29日，经李克强总理签批同意，国务院印发《关于开展第三次全国土壤普查的通知》。2022年2月25日，国务院召开第三次全国土壤普查启动会议，会上胡春华副总理强调此次普查是一次重要的国情国力调查，是一项必须完成好的政治任务。要通过普查获得详细准确的土壤资源状况数据，为守牢耕地红线，落实藏粮于地、藏粮于技战略，确保国家粮食安全奠定重要基础；为精准有效推进农业发展、绿色转型和高质量发展，促进生态文明建设提供支撑；为全县制定经济社会发展和生态建设等重大政策提供决策依据，确保到2025年实现对全县耕地，园地，林地，盐碱地，草地等土壤“全面体检”，摸清土壤质量，为守住耕地红线，保护生态环境优化农业生产布局推进，农业高质量发展奠定坚实基础。</w:t>
      </w:r>
    </w:p>
    <w:p>
      <w:pPr>
        <w:pStyle w:val="37"/>
        <w:keepNext w:val="0"/>
        <w:keepLines w:val="0"/>
        <w:pageBreakBefore w:val="0"/>
        <w:widowControl w:val="0"/>
        <w:kinsoku/>
        <w:wordWrap/>
        <w:overflowPunct/>
        <w:topLinePunct w:val="0"/>
        <w:autoSpaceDE/>
        <w:autoSpaceDN/>
        <w:bidi w:val="0"/>
        <w:adjustRightInd/>
        <w:snapToGrid/>
        <w:spacing w:line="560" w:lineRule="exact"/>
        <w:ind w:firstLine="643"/>
        <w:textAlignment w:val="auto"/>
        <w:outlineLvl w:val="2"/>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2.主要内容</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开展盐碱地表层样取土壤样品1809个（不包括34个平行样）和水溶性大团体样543个，并制备和化验检测。化验检测情况：对采样的1843个（包扣34个平行样）土壤样品进行处理并检测分析，共计检测13987项次。本项目的实施对我县土壤土壤类型及分布规律、土壤资源现状及变化趋势，真实准确掌握土壤资源质量、性状和利用状况等基础数据，为土壤科学分类、规划利用、改良培肥、保护管理等提供科学支撑，为全县制定经济社会发展和生态建设等重大政策提供决策依据。</w:t>
      </w:r>
    </w:p>
    <w:p>
      <w:pPr>
        <w:pStyle w:val="37"/>
        <w:keepNext w:val="0"/>
        <w:keepLines w:val="0"/>
        <w:pageBreakBefore w:val="0"/>
        <w:widowControl w:val="0"/>
        <w:kinsoku/>
        <w:wordWrap/>
        <w:overflowPunct/>
        <w:topLinePunct w:val="0"/>
        <w:autoSpaceDE/>
        <w:autoSpaceDN/>
        <w:bidi w:val="0"/>
        <w:adjustRightInd/>
        <w:snapToGrid/>
        <w:spacing w:line="560" w:lineRule="exact"/>
        <w:ind w:firstLine="643"/>
        <w:textAlignment w:val="auto"/>
        <w:outlineLvl w:val="2"/>
        <w:rPr>
          <w:rFonts w:hint="eastAsia" w:ascii="方正仿宋_GBK" w:hAnsi="方正仿宋_GBK" w:eastAsia="方正仿宋_GBK" w:cs="方正仿宋_GBK"/>
          <w:b/>
          <w:bCs/>
          <w:color w:val="auto"/>
          <w:sz w:val="32"/>
          <w:szCs w:val="32"/>
          <w:lang w:val="en-US" w:eastAsia="zh-CN"/>
        </w:rPr>
      </w:pPr>
      <w:r>
        <w:rPr>
          <w:rFonts w:hint="eastAsia" w:ascii="方正仿宋_GBK" w:hAnsi="方正仿宋_GBK" w:eastAsia="方正仿宋_GBK" w:cs="方正仿宋_GBK"/>
          <w:b/>
          <w:bCs/>
          <w:color w:val="auto"/>
          <w:sz w:val="32"/>
          <w:szCs w:val="32"/>
          <w:lang w:val="en-US" w:eastAsia="zh-CN"/>
        </w:rPr>
        <w:t>3</w:t>
      </w:r>
      <w:r>
        <w:rPr>
          <w:rFonts w:hint="eastAsia" w:ascii="方正仿宋_GBK" w:hAnsi="方正仿宋_GBK" w:eastAsia="方正仿宋_GBK" w:cs="方正仿宋_GBK"/>
          <w:b/>
          <w:bCs/>
          <w:color w:val="auto"/>
          <w:sz w:val="32"/>
          <w:szCs w:val="32"/>
        </w:rPr>
        <w:t>.</w:t>
      </w:r>
      <w:r>
        <w:rPr>
          <w:rFonts w:hint="eastAsia" w:ascii="方正仿宋_GBK" w:hAnsi="方正仿宋_GBK" w:eastAsia="方正仿宋_GBK" w:cs="方正仿宋_GBK"/>
          <w:b/>
          <w:bCs/>
          <w:color w:val="auto"/>
          <w:sz w:val="32"/>
          <w:szCs w:val="32"/>
          <w:lang w:val="en-US" w:eastAsia="zh-CN"/>
        </w:rPr>
        <w:t>实施情况</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rPr>
        <w:t>实</w:t>
      </w:r>
      <w:r>
        <w:rPr>
          <w:rFonts w:hint="eastAsia" w:ascii="方正仿宋_GBK" w:hAnsi="方正仿宋_GBK" w:eastAsia="方正仿宋_GBK" w:cs="方正仿宋_GBK"/>
          <w:color w:val="auto"/>
          <w:sz w:val="32"/>
          <w:szCs w:val="32"/>
          <w:highlight w:val="none"/>
          <w:lang w:val="en-US" w:eastAsia="zh-CN"/>
        </w:rPr>
        <w:t>施主体：伽师县农业技术推广中心</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实施时间：2022年7月-12月</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实施主体情况：伽师县农业技术推广中心是财政全额拨款的事业单位，内设机构5个：办公室、财务室、植物保护站、土壤肥料工作站。</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编制总数26人，行政人员编制0人、工勤0人、参公0人、事业编制26人。实有在职人28名，其中：专业技术24人，管理岗2人，县聘2人。退休人员31人。与上年相比无变化。内设机构5个：办公室、财务室、植物保护站、土壤肥料工作站。</w:t>
      </w:r>
    </w:p>
    <w:p>
      <w:pPr>
        <w:pStyle w:val="37"/>
        <w:pageBreakBefore w:val="0"/>
        <w:kinsoku/>
        <w:wordWrap/>
        <w:topLinePunct w:val="0"/>
        <w:autoSpaceDE/>
        <w:autoSpaceDN/>
        <w:bidi w:val="0"/>
        <w:spacing w:line="560" w:lineRule="exact"/>
        <w:ind w:firstLine="640"/>
        <w:rPr>
          <w:rFonts w:hint="eastAsia" w:ascii="仿宋" w:hAnsi="仿宋" w:eastAsia="仿宋" w:cs="仿宋"/>
          <w:color w:val="auto"/>
          <w:sz w:val="32"/>
          <w:szCs w:val="32"/>
          <w:lang w:val="en-US" w:eastAsia="zh-CN"/>
        </w:rPr>
      </w:pPr>
      <w:r>
        <w:rPr>
          <w:rFonts w:hint="eastAsia" w:ascii="方正仿宋_GBK" w:hAnsi="方正仿宋_GBK" w:eastAsia="方正仿宋_GBK" w:cs="方正仿宋_GBK"/>
          <w:color w:val="auto"/>
          <w:sz w:val="32"/>
          <w:szCs w:val="32"/>
          <w:highlight w:val="none"/>
          <w:lang w:val="en-US" w:eastAsia="zh-CN"/>
        </w:rPr>
        <w:t>项目实施情况：此项目根据喀地财农[2022]12号文件，下达资金119.88万元,根据《国务院关于开展第三次全国土壤普查工作的通知》《第三次全国土壤普查技术规程》要求，结合《自治区第三次全国土壤普查工作实施方案》，结合我县实际，制定实施方案,为了更好的完成项目成立了县第三次全国土壤普查领导小组，及时收集资料，</w:t>
      </w:r>
      <w:r>
        <w:rPr>
          <w:rFonts w:hint="eastAsia" w:ascii="仿宋" w:hAnsi="仿宋" w:eastAsia="仿宋" w:cs="仿宋"/>
          <w:color w:val="auto"/>
          <w:spacing w:val="-3"/>
          <w:sz w:val="32"/>
          <w:szCs w:val="32"/>
        </w:rPr>
        <w:t>以县、乡（镇）农技人员为主</w:t>
      </w:r>
      <w:r>
        <w:rPr>
          <w:rFonts w:hint="eastAsia" w:ascii="仿宋" w:hAnsi="仿宋" w:eastAsia="仿宋" w:cs="仿宋"/>
          <w:color w:val="auto"/>
          <w:spacing w:val="-3"/>
          <w:sz w:val="32"/>
          <w:szCs w:val="32"/>
          <w:lang w:eastAsia="zh-CN"/>
        </w:rPr>
        <w:t>，</w:t>
      </w:r>
      <w:r>
        <w:rPr>
          <w:rFonts w:hint="eastAsia" w:ascii="仿宋" w:hAnsi="仿宋" w:eastAsia="仿宋" w:cs="仿宋"/>
          <w:color w:val="auto"/>
          <w:spacing w:val="-3"/>
          <w:sz w:val="32"/>
          <w:szCs w:val="32"/>
        </w:rPr>
        <w:t>根据所承担任务量组建11支（5-8名）表层土取样调查队伍</w:t>
      </w:r>
      <w:r>
        <w:rPr>
          <w:rFonts w:hint="eastAsia" w:ascii="仿宋" w:hAnsi="仿宋" w:eastAsia="仿宋" w:cs="仿宋"/>
          <w:color w:val="auto"/>
          <w:spacing w:val="-3"/>
          <w:sz w:val="32"/>
          <w:szCs w:val="32"/>
          <w:lang w:eastAsia="zh-CN"/>
        </w:rPr>
        <w:t>，</w:t>
      </w:r>
      <w:r>
        <w:rPr>
          <w:rFonts w:hint="eastAsia" w:ascii="仿宋" w:hAnsi="仿宋" w:eastAsia="仿宋" w:cs="仿宋"/>
          <w:color w:val="auto"/>
          <w:spacing w:val="-3"/>
          <w:sz w:val="32"/>
          <w:szCs w:val="32"/>
        </w:rPr>
        <w:t>负责样点点位信息确认、调查与填报、样品采集、土样容重检测等工作;组建外业样品流转队伍</w:t>
      </w:r>
      <w:r>
        <w:rPr>
          <w:rFonts w:hint="eastAsia" w:ascii="仿宋" w:hAnsi="仿宋" w:eastAsia="仿宋" w:cs="仿宋"/>
          <w:color w:val="auto"/>
          <w:spacing w:val="-3"/>
          <w:sz w:val="32"/>
          <w:szCs w:val="32"/>
          <w:lang w:eastAsia="zh-CN"/>
        </w:rPr>
        <w:t>，</w:t>
      </w:r>
      <w:r>
        <w:rPr>
          <w:rFonts w:hint="eastAsia" w:ascii="仿宋" w:hAnsi="仿宋" w:eastAsia="仿宋" w:cs="仿宋"/>
          <w:color w:val="auto"/>
          <w:spacing w:val="-3"/>
          <w:sz w:val="32"/>
          <w:szCs w:val="32"/>
        </w:rPr>
        <w:t>负责收集、核查、分类整理调查采样队采集的土壤样品和流转样品转至检测实验室等工作。项目实施后</w:t>
      </w:r>
      <w:r>
        <w:rPr>
          <w:rFonts w:hint="eastAsia" w:ascii="仿宋" w:hAnsi="仿宋" w:eastAsia="仿宋" w:cs="仿宋"/>
          <w:color w:val="auto"/>
          <w:spacing w:val="-3"/>
          <w:sz w:val="32"/>
          <w:szCs w:val="32"/>
          <w:lang w:eastAsia="zh-CN"/>
        </w:rPr>
        <w:t>，</w:t>
      </w:r>
      <w:r>
        <w:rPr>
          <w:rFonts w:hint="eastAsia" w:ascii="仿宋" w:hAnsi="仿宋" w:eastAsia="仿宋" w:cs="仿宋"/>
          <w:color w:val="auto"/>
          <w:spacing w:val="-3"/>
          <w:sz w:val="32"/>
          <w:szCs w:val="32"/>
        </w:rPr>
        <w:t>真实准确掌握土壤质量和利用状况</w:t>
      </w:r>
      <w:r>
        <w:rPr>
          <w:rFonts w:hint="eastAsia" w:ascii="仿宋" w:hAnsi="仿宋" w:eastAsia="仿宋" w:cs="仿宋"/>
          <w:color w:val="auto"/>
          <w:spacing w:val="-3"/>
          <w:sz w:val="32"/>
          <w:szCs w:val="32"/>
          <w:lang w:eastAsia="zh-CN"/>
        </w:rPr>
        <w:t>，</w:t>
      </w:r>
      <w:r>
        <w:rPr>
          <w:rFonts w:hint="eastAsia" w:ascii="仿宋" w:hAnsi="仿宋" w:eastAsia="仿宋" w:cs="仿宋"/>
          <w:color w:val="auto"/>
          <w:spacing w:val="-3"/>
          <w:sz w:val="32"/>
          <w:szCs w:val="32"/>
        </w:rPr>
        <w:t>全面提升土壤资源保护和利用水平</w:t>
      </w:r>
      <w:r>
        <w:rPr>
          <w:rFonts w:hint="eastAsia" w:ascii="仿宋" w:hAnsi="仿宋" w:eastAsia="仿宋" w:cs="仿宋"/>
          <w:color w:val="auto"/>
          <w:spacing w:val="-3"/>
          <w:sz w:val="32"/>
          <w:szCs w:val="32"/>
          <w:lang w:eastAsia="zh-CN"/>
        </w:rPr>
        <w:t>，</w:t>
      </w:r>
      <w:r>
        <w:rPr>
          <w:rFonts w:hint="eastAsia" w:ascii="仿宋" w:hAnsi="仿宋" w:eastAsia="仿宋" w:cs="仿宋"/>
          <w:color w:val="auto"/>
          <w:spacing w:val="-3"/>
          <w:sz w:val="32"/>
          <w:szCs w:val="32"/>
        </w:rPr>
        <w:t>保护生态环境</w:t>
      </w:r>
      <w:r>
        <w:rPr>
          <w:rFonts w:hint="eastAsia" w:ascii="仿宋" w:hAnsi="仿宋" w:eastAsia="仿宋" w:cs="仿宋"/>
          <w:color w:val="auto"/>
          <w:spacing w:val="-3"/>
          <w:sz w:val="32"/>
          <w:szCs w:val="32"/>
          <w:lang w:eastAsia="zh-CN"/>
        </w:rPr>
        <w:t>，</w:t>
      </w:r>
      <w:r>
        <w:rPr>
          <w:rFonts w:hint="eastAsia" w:ascii="仿宋" w:hAnsi="仿宋" w:eastAsia="仿宋" w:cs="仿宋"/>
          <w:color w:val="auto"/>
          <w:spacing w:val="-3"/>
          <w:sz w:val="32"/>
          <w:szCs w:val="32"/>
        </w:rPr>
        <w:t>优化农业生产布局</w:t>
      </w:r>
      <w:r>
        <w:rPr>
          <w:rFonts w:hint="eastAsia" w:ascii="仿宋" w:hAnsi="仿宋" w:eastAsia="仿宋" w:cs="仿宋"/>
          <w:color w:val="auto"/>
          <w:spacing w:val="-3"/>
          <w:sz w:val="32"/>
          <w:szCs w:val="32"/>
          <w:lang w:eastAsia="zh-CN"/>
        </w:rPr>
        <w:t>，</w:t>
      </w:r>
      <w:r>
        <w:rPr>
          <w:rFonts w:hint="eastAsia" w:ascii="仿宋" w:hAnsi="仿宋" w:eastAsia="仿宋" w:cs="仿宋"/>
          <w:color w:val="auto"/>
          <w:spacing w:val="-3"/>
          <w:sz w:val="32"/>
          <w:szCs w:val="32"/>
        </w:rPr>
        <w:t>推动农业高质量发展。</w:t>
      </w:r>
    </w:p>
    <w:p>
      <w:pPr>
        <w:pStyle w:val="37"/>
        <w:keepNext w:val="0"/>
        <w:keepLines w:val="0"/>
        <w:pageBreakBefore w:val="0"/>
        <w:widowControl w:val="0"/>
        <w:kinsoku/>
        <w:wordWrap/>
        <w:overflowPunct/>
        <w:topLinePunct w:val="0"/>
        <w:autoSpaceDE/>
        <w:autoSpaceDN/>
        <w:bidi w:val="0"/>
        <w:adjustRightInd/>
        <w:snapToGrid/>
        <w:spacing w:line="560" w:lineRule="exact"/>
        <w:ind w:firstLine="643"/>
        <w:textAlignment w:val="auto"/>
        <w:outlineLvl w:val="2"/>
        <w:rPr>
          <w:rFonts w:hint="eastAsia" w:ascii="方正仿宋_GBK" w:hAnsi="方正仿宋_GBK" w:eastAsia="方正仿宋_GBK" w:cs="方正仿宋_GBK"/>
          <w:b/>
          <w:bCs/>
          <w:color w:val="auto"/>
          <w:sz w:val="32"/>
          <w:szCs w:val="32"/>
          <w:lang w:val="en-US" w:eastAsia="zh-CN"/>
        </w:rPr>
      </w:pPr>
      <w:r>
        <w:rPr>
          <w:rFonts w:hint="eastAsia" w:ascii="方正仿宋_GBK" w:hAnsi="方正仿宋_GBK" w:eastAsia="方正仿宋_GBK" w:cs="方正仿宋_GBK"/>
          <w:b/>
          <w:bCs/>
          <w:color w:val="auto"/>
          <w:sz w:val="32"/>
          <w:szCs w:val="32"/>
          <w:lang w:val="en-US" w:eastAsia="zh-CN"/>
        </w:rPr>
        <w:t>4.资金投入和使用情况</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b/>
          <w:bCs/>
          <w:color w:val="auto"/>
          <w:sz w:val="32"/>
          <w:szCs w:val="32"/>
          <w:highlight w:val="none"/>
          <w:lang w:val="en-US" w:eastAsia="zh-CN"/>
        </w:rPr>
      </w:pPr>
      <w:r>
        <w:rPr>
          <w:rFonts w:hint="eastAsia" w:ascii="方正仿宋_GBK" w:hAnsi="方正仿宋_GBK" w:eastAsia="方正仿宋_GBK" w:cs="方正仿宋_GBK"/>
          <w:b/>
          <w:bCs/>
          <w:color w:val="auto"/>
          <w:sz w:val="32"/>
          <w:szCs w:val="32"/>
          <w:highlight w:val="none"/>
          <w:lang w:val="en-US" w:eastAsia="zh-CN"/>
        </w:rPr>
        <w:t>（1）项目资金安排落实、总投入等情况分析</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本项目预算安排总额为119.88万元，为中央专项资金，2022年实际到位项目资金119.88万元。</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b/>
          <w:bCs/>
          <w:color w:val="auto"/>
          <w:sz w:val="32"/>
          <w:szCs w:val="32"/>
          <w:highlight w:val="none"/>
          <w:lang w:val="en-US" w:eastAsia="zh-CN"/>
        </w:rPr>
      </w:pPr>
      <w:r>
        <w:rPr>
          <w:rFonts w:hint="eastAsia" w:ascii="方正仿宋_GBK" w:hAnsi="方正仿宋_GBK" w:eastAsia="方正仿宋_GBK" w:cs="方正仿宋_GBK"/>
          <w:b/>
          <w:bCs/>
          <w:color w:val="auto"/>
          <w:sz w:val="32"/>
          <w:szCs w:val="32"/>
          <w:highlight w:val="none"/>
          <w:lang w:val="en-US" w:eastAsia="zh-CN"/>
        </w:rPr>
        <w:t>（2）项目资金实际使用情况分析</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highlight w:val="none"/>
          <w:lang w:val="en-US" w:eastAsia="zh-CN"/>
        </w:rPr>
        <w:t>截至2022年12月31日，本项目实际支出119.88万元，</w:t>
      </w:r>
      <w:r>
        <w:rPr>
          <w:rFonts w:hint="eastAsia" w:ascii="方正仿宋_GBK" w:hAnsi="方正仿宋_GBK" w:eastAsia="方正仿宋_GBK" w:cs="方正仿宋_GBK"/>
          <w:color w:val="auto"/>
          <w:sz w:val="32"/>
          <w:szCs w:val="32"/>
          <w:lang w:val="en-US" w:eastAsia="zh-CN"/>
        </w:rPr>
        <w:t>预算执行率100%。本项目资金主要用于支付：采集土壤样品及流转费和土壤样品检测费等方面。</w:t>
      </w:r>
    </w:p>
    <w:p>
      <w:pPr>
        <w:pStyle w:val="55"/>
        <w:keepNext/>
        <w:keepLines/>
        <w:pageBreakBefore w:val="0"/>
        <w:widowControl w:val="0"/>
        <w:kinsoku/>
        <w:wordWrap/>
        <w:overflowPunct/>
        <w:topLinePunct w:val="0"/>
        <w:autoSpaceDE/>
        <w:autoSpaceDN/>
        <w:bidi w:val="0"/>
        <w:adjustRightInd/>
        <w:snapToGrid/>
        <w:spacing w:line="560" w:lineRule="exact"/>
        <w:ind w:left="560"/>
        <w:textAlignment w:val="auto"/>
        <w:rPr>
          <w:rFonts w:hint="eastAsia" w:ascii="方正楷体_GBK" w:hAnsi="方正楷体_GBK" w:eastAsia="方正楷体_GBK" w:cs="方正楷体_GBK"/>
          <w:b/>
          <w:bCs/>
          <w:color w:val="auto"/>
          <w:sz w:val="32"/>
        </w:rPr>
      </w:pPr>
      <w:bookmarkStart w:id="2" w:name="_Toc68364659"/>
      <w:r>
        <w:rPr>
          <w:rFonts w:hint="eastAsia" w:ascii="方正楷体_GBK" w:hAnsi="方正楷体_GBK" w:eastAsia="方正楷体_GBK" w:cs="方正楷体_GBK"/>
          <w:b/>
          <w:bCs/>
          <w:color w:val="auto"/>
          <w:sz w:val="32"/>
        </w:rPr>
        <w:t>（二）项目绩效目标</w:t>
      </w:r>
      <w:bookmarkEnd w:id="2"/>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项目绩效目标包括项目绩效总目标和阶段性目标。</w:t>
      </w:r>
    </w:p>
    <w:p>
      <w:pPr>
        <w:pStyle w:val="37"/>
        <w:keepNext w:val="0"/>
        <w:keepLines w:val="0"/>
        <w:pageBreakBefore w:val="0"/>
        <w:widowControl w:val="0"/>
        <w:kinsoku/>
        <w:wordWrap/>
        <w:overflowPunct/>
        <w:topLinePunct w:val="0"/>
        <w:autoSpaceDE/>
        <w:autoSpaceDN/>
        <w:bidi w:val="0"/>
        <w:adjustRightInd/>
        <w:snapToGrid/>
        <w:spacing w:line="560" w:lineRule="exact"/>
        <w:ind w:firstLine="643"/>
        <w:textAlignment w:val="auto"/>
        <w:outlineLvl w:val="2"/>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1.项目绩效总目标</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lang w:val="en-US" w:eastAsia="zh-CN"/>
        </w:rPr>
      </w:pPr>
      <w:bookmarkStart w:id="3" w:name="_Toc68364660"/>
      <w:r>
        <w:rPr>
          <w:rFonts w:hint="eastAsia" w:ascii="方正仿宋_GBK" w:hAnsi="方正仿宋_GBK" w:eastAsia="方正仿宋_GBK" w:cs="方正仿宋_GBK"/>
          <w:color w:val="auto"/>
          <w:sz w:val="32"/>
          <w:szCs w:val="32"/>
          <w:lang w:val="en-US" w:eastAsia="zh-CN"/>
        </w:rPr>
        <w:t>此项目根据《关于下达2021年中央农业资源及生态保护补助资金预算的通知》喀地财农[2022]12号文件，下达资金119.88万元,主要用于土壤样品检测费102.05万，采集土壤样品及流转费17.825万。通过实施此项目确保到2025年实现对全县耕地，园地，林地，盐碱地，草地等土壤“全面体检”，摸清土壤质量，为守住耕地红线，保护生态环境优化农业生产布局推进，农业高质量发展奠定坚实基础。</w:t>
      </w:r>
    </w:p>
    <w:p>
      <w:pPr>
        <w:pStyle w:val="37"/>
        <w:keepNext w:val="0"/>
        <w:keepLines w:val="0"/>
        <w:pageBreakBefore w:val="0"/>
        <w:widowControl w:val="0"/>
        <w:kinsoku/>
        <w:wordWrap/>
        <w:overflowPunct/>
        <w:topLinePunct w:val="0"/>
        <w:autoSpaceDE/>
        <w:autoSpaceDN/>
        <w:bidi w:val="0"/>
        <w:adjustRightInd/>
        <w:snapToGrid/>
        <w:spacing w:line="560" w:lineRule="exact"/>
        <w:ind w:firstLine="643"/>
        <w:textAlignment w:val="auto"/>
        <w:outlineLvl w:val="2"/>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2.阶段性目标</w:t>
      </w:r>
    </w:p>
    <w:p>
      <w:pPr>
        <w:pStyle w:val="37"/>
        <w:spacing w:line="560" w:lineRule="exact"/>
        <w:ind w:firstLine="643"/>
        <w:outlineLvl w:val="2"/>
        <w:rPr>
          <w:rFonts w:hint="eastAsia" w:ascii="方正仿宋_GBK" w:hAnsi="方正仿宋_GBK" w:eastAsia="方正仿宋_GBK" w:cs="方正仿宋_GBK"/>
          <w:b w:val="0"/>
          <w:bCs w:val="0"/>
          <w:color w:val="auto"/>
          <w:sz w:val="32"/>
          <w:szCs w:val="32"/>
        </w:rPr>
      </w:pPr>
      <w:r>
        <w:rPr>
          <w:rFonts w:hint="eastAsia" w:ascii="方正仿宋_GBK" w:hAnsi="方正仿宋_GBK" w:eastAsia="方正仿宋_GBK" w:cs="方正仿宋_GBK"/>
          <w:b/>
          <w:bCs/>
          <w:color w:val="auto"/>
          <w:sz w:val="32"/>
          <w:szCs w:val="32"/>
        </w:rPr>
        <w:t>（1）前期准备：</w:t>
      </w:r>
      <w:r>
        <w:rPr>
          <w:rFonts w:hint="eastAsia" w:ascii="方正仿宋_GBK" w:hAnsi="方正仿宋_GBK" w:eastAsia="方正仿宋_GBK" w:cs="方正仿宋_GBK"/>
          <w:b w:val="0"/>
          <w:bCs w:val="0"/>
          <w:color w:val="auto"/>
          <w:sz w:val="32"/>
          <w:szCs w:val="32"/>
        </w:rPr>
        <w:t>通过制定</w:t>
      </w:r>
      <w:r>
        <w:rPr>
          <w:rFonts w:hint="eastAsia" w:ascii="方正仿宋_GBK" w:hAnsi="方正仿宋_GBK" w:eastAsia="方正仿宋_GBK" w:cs="方正仿宋_GBK"/>
          <w:color w:val="auto"/>
          <w:sz w:val="32"/>
          <w:szCs w:val="32"/>
          <w:lang w:val="en-US" w:eastAsia="zh-CN"/>
        </w:rPr>
        <w:t>伽师县第三次全国土壤普查项目开展本次部门项目</w:t>
      </w:r>
      <w:r>
        <w:rPr>
          <w:rFonts w:hint="eastAsia" w:ascii="方正仿宋_GBK" w:hAnsi="方正仿宋_GBK" w:eastAsia="方正仿宋_GBK" w:cs="方正仿宋_GBK"/>
          <w:b w:val="0"/>
          <w:bCs w:val="0"/>
          <w:color w:val="auto"/>
          <w:sz w:val="32"/>
          <w:szCs w:val="32"/>
        </w:rPr>
        <w:t>实施方案</w:t>
      </w:r>
      <w:r>
        <w:rPr>
          <w:rFonts w:hint="eastAsia" w:ascii="方正仿宋_GBK" w:hAnsi="方正仿宋_GBK" w:eastAsia="方正仿宋_GBK" w:cs="方正仿宋_GBK"/>
          <w:b w:val="0"/>
          <w:bCs w:val="0"/>
          <w:color w:val="auto"/>
          <w:sz w:val="32"/>
          <w:szCs w:val="32"/>
          <w:lang w:eastAsia="zh-CN"/>
        </w:rPr>
        <w:t>，</w:t>
      </w:r>
      <w:r>
        <w:rPr>
          <w:rFonts w:hint="eastAsia" w:ascii="方正仿宋_GBK" w:hAnsi="方正仿宋_GBK" w:eastAsia="方正仿宋_GBK" w:cs="方正仿宋_GBK"/>
          <w:b w:val="0"/>
          <w:bCs w:val="0"/>
          <w:color w:val="auto"/>
          <w:sz w:val="32"/>
          <w:szCs w:val="32"/>
        </w:rPr>
        <w:t>经项目负责人审核通过后</w:t>
      </w:r>
      <w:r>
        <w:rPr>
          <w:rFonts w:hint="eastAsia" w:ascii="方正仿宋_GBK" w:hAnsi="方正仿宋_GBK" w:eastAsia="方正仿宋_GBK" w:cs="方正仿宋_GBK"/>
          <w:b w:val="0"/>
          <w:bCs w:val="0"/>
          <w:color w:val="auto"/>
          <w:sz w:val="32"/>
          <w:szCs w:val="32"/>
          <w:lang w:eastAsia="zh-CN"/>
        </w:rPr>
        <w:t>，</w:t>
      </w:r>
      <w:r>
        <w:rPr>
          <w:rFonts w:hint="eastAsia" w:ascii="方正仿宋_GBK" w:hAnsi="方正仿宋_GBK" w:eastAsia="方正仿宋_GBK" w:cs="方正仿宋_GBK"/>
          <w:b w:val="0"/>
          <w:bCs w:val="0"/>
          <w:color w:val="auto"/>
          <w:sz w:val="32"/>
          <w:szCs w:val="32"/>
        </w:rPr>
        <w:t>有序开展后续工作。</w:t>
      </w:r>
    </w:p>
    <w:p>
      <w:pPr>
        <w:pStyle w:val="37"/>
        <w:spacing w:line="560" w:lineRule="exact"/>
        <w:ind w:firstLine="643"/>
        <w:outlineLvl w:val="2"/>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b/>
          <w:bCs/>
          <w:color w:val="auto"/>
          <w:sz w:val="32"/>
          <w:szCs w:val="32"/>
        </w:rPr>
        <w:t>（2）组织实施：</w:t>
      </w:r>
      <w:r>
        <w:rPr>
          <w:rFonts w:hint="eastAsia" w:ascii="方正仿宋_GBK" w:hAnsi="方正仿宋_GBK" w:eastAsia="方正仿宋_GBK" w:cs="方正仿宋_GBK"/>
          <w:color w:val="auto"/>
          <w:kern w:val="2"/>
          <w:sz w:val="32"/>
          <w:szCs w:val="32"/>
          <w:lang w:val="en-US" w:eastAsia="zh-CN" w:bidi="ar-SA"/>
        </w:rPr>
        <w:t>资金到位之后根据项目要求实施项目</w:t>
      </w:r>
      <w:r>
        <w:rPr>
          <w:rFonts w:hint="eastAsia" w:ascii="方正仿宋_GBK" w:hAnsi="方正仿宋_GBK" w:eastAsia="方正仿宋_GBK" w:cs="方正仿宋_GBK"/>
          <w:b w:val="0"/>
          <w:bCs w:val="0"/>
          <w:color w:val="auto"/>
          <w:sz w:val="32"/>
          <w:szCs w:val="32"/>
        </w:rPr>
        <w:t>。项目责任人按照项目实施方案要求逐一进行项目部署安排</w:t>
      </w:r>
      <w:r>
        <w:rPr>
          <w:rFonts w:hint="eastAsia" w:ascii="方正仿宋_GBK" w:hAnsi="方正仿宋_GBK" w:eastAsia="方正仿宋_GBK" w:cs="方正仿宋_GBK"/>
          <w:b w:val="0"/>
          <w:bCs w:val="0"/>
          <w:color w:val="auto"/>
          <w:sz w:val="32"/>
          <w:szCs w:val="32"/>
          <w:lang w:eastAsia="zh-CN"/>
        </w:rPr>
        <w:t>，</w:t>
      </w:r>
      <w:r>
        <w:rPr>
          <w:rFonts w:hint="eastAsia" w:ascii="方正仿宋_GBK" w:hAnsi="方正仿宋_GBK" w:eastAsia="方正仿宋_GBK" w:cs="方正仿宋_GBK"/>
          <w:b w:val="0"/>
          <w:bCs w:val="0"/>
          <w:color w:val="auto"/>
          <w:sz w:val="32"/>
          <w:szCs w:val="32"/>
        </w:rPr>
        <w:t>提高项目质量及效率性。</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b/>
          <w:bCs/>
          <w:color w:val="auto"/>
          <w:sz w:val="32"/>
          <w:szCs w:val="32"/>
          <w:lang w:val="en-US" w:eastAsia="zh-CN"/>
        </w:rPr>
        <w:t>（3）项目投入：</w:t>
      </w:r>
      <w:r>
        <w:rPr>
          <w:rFonts w:hint="eastAsia" w:ascii="方正仿宋_GBK" w:hAnsi="方正仿宋_GBK" w:eastAsia="方正仿宋_GBK" w:cs="方正仿宋_GBK"/>
          <w:color w:val="auto"/>
          <w:sz w:val="32"/>
          <w:szCs w:val="32"/>
          <w:lang w:val="en-US" w:eastAsia="zh-CN"/>
        </w:rPr>
        <w:t>本项目预算安排总额为119.88万元，为中央专项资金。</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b/>
          <w:bCs/>
          <w:color w:val="auto"/>
          <w:sz w:val="32"/>
          <w:szCs w:val="32"/>
          <w:lang w:val="en-US" w:eastAsia="zh-CN"/>
        </w:rPr>
        <w:t>（4）项目产出：</w:t>
      </w:r>
      <w:r>
        <w:rPr>
          <w:rFonts w:hint="eastAsia" w:ascii="方正仿宋_GBK" w:hAnsi="方正仿宋_GBK" w:eastAsia="方正仿宋_GBK" w:cs="方正仿宋_GBK"/>
          <w:color w:val="auto"/>
          <w:sz w:val="32"/>
          <w:szCs w:val="32"/>
          <w:lang w:val="en-US" w:eastAsia="zh-CN"/>
        </w:rPr>
        <w:t>项目计划是采集全县土壤样品进行检测。</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b/>
          <w:bCs/>
          <w:color w:val="auto"/>
          <w:sz w:val="32"/>
          <w:szCs w:val="32"/>
          <w:lang w:val="en-US" w:eastAsia="zh-CN"/>
        </w:rPr>
        <w:t>（5）项目效果：</w:t>
      </w:r>
      <w:r>
        <w:rPr>
          <w:rFonts w:hint="eastAsia" w:ascii="方正仿宋_GBK" w:hAnsi="方正仿宋_GBK" w:eastAsia="方正仿宋_GBK" w:cs="方正仿宋_GBK"/>
          <w:color w:val="auto"/>
          <w:sz w:val="32"/>
          <w:szCs w:val="32"/>
          <w:lang w:val="en-US" w:eastAsia="zh-CN"/>
        </w:rPr>
        <w:t>通过实施此项目</w:t>
      </w:r>
      <w:r>
        <w:rPr>
          <w:rFonts w:hint="eastAsia" w:ascii="方正仿宋_GBK" w:hAnsi="方正仿宋_GBK" w:eastAsia="方正仿宋_GBK" w:cs="方正仿宋_GBK"/>
          <w:color w:val="auto"/>
          <w:sz w:val="32"/>
          <w:szCs w:val="32"/>
          <w:highlight w:val="none"/>
          <w:lang w:val="en-US" w:eastAsia="zh-CN"/>
        </w:rPr>
        <w:t>我县土壤土壤类型及分布规律、土壤资源现状及变化趋势，真实准确掌握土壤资源质量、性状和利用状况等基础数据，为土壤科学分类、规划利用、改良培肥、保护管理等提供科学支撑，为全县制定经济社会发展和生态建设等重大政策提供决策依据。</w:t>
      </w:r>
    </w:p>
    <w:p>
      <w:pPr>
        <w:pStyle w:val="37"/>
        <w:pageBreakBefore w:val="0"/>
        <w:kinsoku/>
        <w:wordWrap/>
        <w:topLinePunct w:val="0"/>
        <w:autoSpaceDE/>
        <w:autoSpaceDN/>
        <w:bidi w:val="0"/>
        <w:spacing w:line="560" w:lineRule="exact"/>
        <w:ind w:firstLine="640"/>
        <w:rPr>
          <w:rFonts w:hint="eastAsia" w:ascii="Times New Roman" w:hAnsi="Times New Roman" w:eastAsia="方正仿宋_GBK" w:cs="方正仿宋_GBK"/>
          <w:color w:val="auto"/>
          <w:sz w:val="32"/>
          <w:szCs w:val="32"/>
        </w:rPr>
      </w:pPr>
      <w:r>
        <w:rPr>
          <w:rFonts w:hint="eastAsia" w:ascii="方正黑体_GBK" w:hAnsi="方正黑体_GBK" w:eastAsia="方正黑体_GBK" w:cs="方正黑体_GBK"/>
          <w:b/>
          <w:bCs/>
          <w:color w:val="auto"/>
          <w:kern w:val="44"/>
          <w:sz w:val="32"/>
          <w:szCs w:val="44"/>
          <w:lang w:val="en-US" w:eastAsia="zh-CN" w:bidi="ar-SA"/>
        </w:rPr>
        <w:t>二、绩效评价工作开展情况</w:t>
      </w:r>
      <w:bookmarkEnd w:id="3"/>
    </w:p>
    <w:p>
      <w:pPr>
        <w:pStyle w:val="55"/>
        <w:keepNext/>
        <w:keepLines/>
        <w:pageBreakBefore w:val="0"/>
        <w:widowControl w:val="0"/>
        <w:kinsoku/>
        <w:wordWrap/>
        <w:overflowPunct/>
        <w:topLinePunct w:val="0"/>
        <w:autoSpaceDE/>
        <w:autoSpaceDN/>
        <w:bidi w:val="0"/>
        <w:adjustRightInd/>
        <w:snapToGrid/>
        <w:spacing w:line="560" w:lineRule="exact"/>
        <w:ind w:left="560"/>
        <w:textAlignment w:val="auto"/>
        <w:rPr>
          <w:rFonts w:hint="eastAsia" w:ascii="方正楷体_GBK" w:hAnsi="方正楷体_GBK" w:eastAsia="方正楷体_GBK" w:cs="方正楷体_GBK"/>
          <w:b/>
          <w:bCs/>
          <w:color w:val="auto"/>
          <w:sz w:val="32"/>
        </w:rPr>
      </w:pPr>
      <w:bookmarkStart w:id="4" w:name="_Toc68364661"/>
      <w:r>
        <w:rPr>
          <w:rFonts w:hint="eastAsia" w:ascii="方正楷体_GBK" w:hAnsi="方正楷体_GBK" w:eastAsia="方正楷体_GBK" w:cs="方正楷体_GBK"/>
          <w:b/>
          <w:bCs/>
          <w:color w:val="auto"/>
          <w:sz w:val="32"/>
        </w:rPr>
        <w:t>（一）绩效评价目的、对象和范围</w:t>
      </w:r>
      <w:bookmarkEnd w:id="4"/>
    </w:p>
    <w:p>
      <w:pPr>
        <w:pStyle w:val="37"/>
        <w:keepNext w:val="0"/>
        <w:keepLines w:val="0"/>
        <w:pageBreakBefore w:val="0"/>
        <w:widowControl w:val="0"/>
        <w:kinsoku/>
        <w:wordWrap/>
        <w:overflowPunct/>
        <w:topLinePunct w:val="0"/>
        <w:autoSpaceDE/>
        <w:autoSpaceDN/>
        <w:bidi w:val="0"/>
        <w:adjustRightInd/>
        <w:snapToGrid/>
        <w:spacing w:line="560" w:lineRule="exact"/>
        <w:ind w:firstLine="643"/>
        <w:textAlignment w:val="auto"/>
        <w:outlineLvl w:val="2"/>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1.绩效评价目的</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本次绩效评价遵循财政部《项目支出绩效评价管理办法》（财预〔2020〕10号）和自治区财政厅《自治区财政支出绩效评价管理暂行办法》（新财预〔2018〕189号）等相关政策文件与规定，我单位针对伽师县第三次全国土壤普查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p>
    <w:p>
      <w:pPr>
        <w:pStyle w:val="37"/>
        <w:keepNext w:val="0"/>
        <w:keepLines w:val="0"/>
        <w:pageBreakBefore w:val="0"/>
        <w:widowControl w:val="0"/>
        <w:kinsoku/>
        <w:wordWrap/>
        <w:overflowPunct/>
        <w:topLinePunct w:val="0"/>
        <w:autoSpaceDE/>
        <w:autoSpaceDN/>
        <w:bidi w:val="0"/>
        <w:adjustRightInd/>
        <w:snapToGrid/>
        <w:spacing w:line="560" w:lineRule="exact"/>
        <w:ind w:firstLine="643"/>
        <w:textAlignment w:val="auto"/>
        <w:outlineLvl w:val="2"/>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2.绩效评价对象</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本次绩效评价遵循财政部《项目支出绩效评价管理办法》（财预〔2020〕10号）和自治区财政厅《自治区财政支出绩效评价管理暂行办法》（新财预〔2018〕189号）等相关政策文件与规定，本次评价对象为伽师县第三次全国土壤普查项目，以项目支出为对象所对应的预算资金，以项目实施所带来的产出和效果为主要内容，以促进预算单位完成特定工作任务目标所组织开展的绩效评价。</w:t>
      </w:r>
    </w:p>
    <w:p>
      <w:pPr>
        <w:pStyle w:val="37"/>
        <w:keepNext w:val="0"/>
        <w:keepLines w:val="0"/>
        <w:pageBreakBefore w:val="0"/>
        <w:widowControl w:val="0"/>
        <w:kinsoku/>
        <w:wordWrap/>
        <w:overflowPunct/>
        <w:topLinePunct w:val="0"/>
        <w:autoSpaceDE/>
        <w:autoSpaceDN/>
        <w:bidi w:val="0"/>
        <w:adjustRightInd/>
        <w:snapToGrid/>
        <w:spacing w:line="560" w:lineRule="exact"/>
        <w:ind w:firstLine="643"/>
        <w:textAlignment w:val="auto"/>
        <w:outlineLvl w:val="2"/>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3.绩效评价范围</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本次评价范围涵盖项目总体绩效目标、各项绩效指标完成情况以及预算执行情况。</w:t>
      </w:r>
      <w:bookmarkStart w:id="5" w:name="_Toc68364662"/>
      <w:r>
        <w:rPr>
          <w:rFonts w:hint="eastAsia" w:ascii="方正仿宋_GBK" w:hAnsi="方正仿宋_GBK" w:eastAsia="方正仿宋_GBK" w:cs="方正仿宋_GBK"/>
          <w:color w:val="auto"/>
          <w:sz w:val="32"/>
          <w:szCs w:val="32"/>
          <w:lang w:val="en-US" w:eastAsia="zh-CN"/>
        </w:rPr>
        <w:t>覆盖项目预算资金支出的所有内容进行评价。包括项目决策、项目实施和项目成果验收流程等。</w:t>
      </w:r>
    </w:p>
    <w:p>
      <w:pPr>
        <w:pStyle w:val="55"/>
        <w:keepNext/>
        <w:keepLines/>
        <w:pageBreakBefore w:val="0"/>
        <w:widowControl w:val="0"/>
        <w:kinsoku/>
        <w:wordWrap/>
        <w:overflowPunct/>
        <w:topLinePunct w:val="0"/>
        <w:autoSpaceDE/>
        <w:autoSpaceDN/>
        <w:bidi w:val="0"/>
        <w:adjustRightInd/>
        <w:snapToGrid/>
        <w:spacing w:line="560" w:lineRule="exact"/>
        <w:ind w:left="560"/>
        <w:textAlignment w:val="auto"/>
        <w:rPr>
          <w:rFonts w:hint="eastAsia" w:ascii="方正楷体_GBK" w:hAnsi="方正楷体_GBK" w:eastAsia="方正楷体_GBK" w:cs="方正楷体_GBK"/>
          <w:b/>
          <w:bCs/>
          <w:color w:val="auto"/>
          <w:sz w:val="32"/>
        </w:rPr>
      </w:pPr>
      <w:r>
        <w:rPr>
          <w:rFonts w:hint="eastAsia" w:ascii="方正楷体_GBK" w:hAnsi="方正楷体_GBK" w:eastAsia="方正楷体_GBK" w:cs="方正楷体_GBK"/>
          <w:b/>
          <w:bCs/>
          <w:color w:val="auto"/>
          <w:sz w:val="32"/>
        </w:rPr>
        <w:t>（二）绩效评价原则、评价指标体系、评价方法评价标准</w:t>
      </w:r>
      <w:bookmarkEnd w:id="5"/>
    </w:p>
    <w:p>
      <w:pPr>
        <w:pStyle w:val="37"/>
        <w:keepNext w:val="0"/>
        <w:keepLines w:val="0"/>
        <w:pageBreakBefore w:val="0"/>
        <w:widowControl w:val="0"/>
        <w:kinsoku/>
        <w:wordWrap/>
        <w:overflowPunct/>
        <w:topLinePunct w:val="0"/>
        <w:autoSpaceDE/>
        <w:autoSpaceDN/>
        <w:bidi w:val="0"/>
        <w:adjustRightInd/>
        <w:snapToGrid/>
        <w:spacing w:line="560" w:lineRule="exact"/>
        <w:ind w:firstLine="643"/>
        <w:textAlignment w:val="auto"/>
        <w:outlineLvl w:val="2"/>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1.绩效评价原则</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本次绩效评价遵循的原则包括：</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b/>
          <w:bCs/>
          <w:color w:val="auto"/>
          <w:sz w:val="32"/>
          <w:szCs w:val="32"/>
          <w:lang w:val="en-US" w:eastAsia="zh-CN"/>
        </w:rPr>
        <w:t>（1）科学公正。</w:t>
      </w:r>
      <w:r>
        <w:rPr>
          <w:rFonts w:hint="eastAsia" w:ascii="方正仿宋_GBK" w:hAnsi="方正仿宋_GBK" w:eastAsia="方正仿宋_GBK" w:cs="方正仿宋_GBK"/>
          <w:color w:val="auto"/>
          <w:sz w:val="32"/>
          <w:szCs w:val="32"/>
          <w:lang w:val="en-US" w:eastAsia="zh-CN"/>
        </w:rPr>
        <w:t>绩效评价应当运用科学合理的方法，按照规范的程序，对项目绩效进行客观、公正的反映。</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b/>
          <w:bCs/>
          <w:color w:val="auto"/>
          <w:sz w:val="32"/>
          <w:szCs w:val="32"/>
          <w:lang w:val="en-US" w:eastAsia="zh-CN"/>
        </w:rPr>
        <w:t>（2）统筹兼顾。</w:t>
      </w:r>
      <w:r>
        <w:rPr>
          <w:rFonts w:hint="eastAsia" w:ascii="方正仿宋_GBK" w:hAnsi="方正仿宋_GBK" w:eastAsia="方正仿宋_GBK" w:cs="方正仿宋_GBK"/>
          <w:color w:val="auto"/>
          <w:sz w:val="32"/>
          <w:szCs w:val="32"/>
          <w:lang w:val="en-US" w:eastAsia="zh-CN"/>
        </w:rPr>
        <w:t>单位自评、部门评价和财政评价应职责明确，各有侧重，相互衔接。单位自评应由项目单位自主实施，即“谁支出、谁自评”。部门评价和财政评价应在单位自评的基础上开展，必要时可委托第三方机构实施。</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b/>
          <w:bCs/>
          <w:color w:val="auto"/>
          <w:sz w:val="32"/>
          <w:szCs w:val="32"/>
          <w:lang w:val="en-US" w:eastAsia="zh-CN"/>
        </w:rPr>
        <w:t>（3）激励约束。</w:t>
      </w:r>
      <w:r>
        <w:rPr>
          <w:rFonts w:hint="eastAsia" w:ascii="方正仿宋_GBK" w:hAnsi="方正仿宋_GBK" w:eastAsia="方正仿宋_GBK" w:cs="方正仿宋_GBK"/>
          <w:color w:val="auto"/>
          <w:sz w:val="32"/>
          <w:szCs w:val="32"/>
          <w:lang w:val="en-US" w:eastAsia="zh-CN"/>
        </w:rPr>
        <w:t>绩效评价结果应与预算安排、政策调整、改进管理实质性挂钩，体现奖优罚劣和激励相容导向，有效要安排、低效要压减、无效要问责。</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b/>
          <w:bCs/>
          <w:color w:val="auto"/>
          <w:sz w:val="32"/>
          <w:szCs w:val="32"/>
          <w:lang w:val="en-US" w:eastAsia="zh-CN"/>
        </w:rPr>
        <w:t>（4）公开透明。</w:t>
      </w:r>
      <w:r>
        <w:rPr>
          <w:rFonts w:hint="eastAsia" w:ascii="方正仿宋_GBK" w:hAnsi="方正仿宋_GBK" w:eastAsia="方正仿宋_GBK" w:cs="方正仿宋_GBK"/>
          <w:color w:val="auto"/>
          <w:sz w:val="32"/>
          <w:szCs w:val="32"/>
          <w:lang w:val="en-US" w:eastAsia="zh-CN"/>
        </w:rPr>
        <w:t>绩效评价结果应依法依规公开，并自觉接受社会监督。</w:t>
      </w:r>
    </w:p>
    <w:p>
      <w:pPr>
        <w:pStyle w:val="37"/>
        <w:keepNext w:val="0"/>
        <w:keepLines w:val="0"/>
        <w:pageBreakBefore w:val="0"/>
        <w:widowControl w:val="0"/>
        <w:kinsoku/>
        <w:wordWrap/>
        <w:overflowPunct/>
        <w:topLinePunct w:val="0"/>
        <w:autoSpaceDE/>
        <w:autoSpaceDN/>
        <w:bidi w:val="0"/>
        <w:adjustRightInd/>
        <w:snapToGrid/>
        <w:spacing w:line="560" w:lineRule="exact"/>
        <w:ind w:firstLine="643"/>
        <w:textAlignment w:val="auto"/>
        <w:outlineLvl w:val="2"/>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2.绩效评价指标体系</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一级指标为：决策、过程、产出、效益。</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二级指标为：项目立项、绩效目标、资金投入、资金管理、组织实施、产出数量、产出质量、产出时效、产出成本、项目效益。</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pPr>
        <w:pStyle w:val="37"/>
        <w:keepNext w:val="0"/>
        <w:keepLines w:val="0"/>
        <w:pageBreakBefore w:val="0"/>
        <w:widowControl w:val="0"/>
        <w:kinsoku/>
        <w:wordWrap/>
        <w:overflowPunct/>
        <w:topLinePunct w:val="0"/>
        <w:autoSpaceDE/>
        <w:autoSpaceDN/>
        <w:bidi w:val="0"/>
        <w:adjustRightInd/>
        <w:snapToGrid/>
        <w:spacing w:line="560" w:lineRule="exact"/>
        <w:ind w:firstLine="643"/>
        <w:textAlignment w:val="auto"/>
        <w:outlineLvl w:val="2"/>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3.绩效评价方法</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我单位根据本项目资金的性质和特点，选用比较法、因素分析法、公众评判法以及文献法对项目进行评价，旨在通过综合分析影响绩效目标实现、实施效果的内外部因素，从而评价本项目绩效。</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项目决策：</w:t>
      </w:r>
      <w:r>
        <w:rPr>
          <w:rFonts w:hint="default" w:ascii="方正仿宋_GBK" w:hAnsi="方正仿宋_GBK" w:eastAsia="方正仿宋_GBK" w:cs="方正仿宋_GBK"/>
          <w:color w:val="auto"/>
          <w:sz w:val="32"/>
          <w:szCs w:val="32"/>
          <w:lang w:val="en-US" w:eastAsia="zh-CN"/>
        </w:rPr>
        <w:t>①</w:t>
      </w:r>
      <w:r>
        <w:rPr>
          <w:rFonts w:hint="eastAsia" w:ascii="方正仿宋_GBK" w:hAnsi="方正仿宋_GBK" w:eastAsia="方正仿宋_GBK" w:cs="方正仿宋_GBK"/>
          <w:color w:val="auto"/>
          <w:sz w:val="32"/>
          <w:szCs w:val="32"/>
          <w:lang w:val="en-US" w:eastAsia="zh-CN"/>
        </w:rPr>
        <w:t>立项依据充分性：比较法、文献法，查找法律法规政策以及规划，对比实际执行内容和政策支持内容是否匹配。</w:t>
      </w:r>
      <w:r>
        <w:rPr>
          <w:rFonts w:hint="default" w:ascii="方正仿宋_GBK" w:hAnsi="方正仿宋_GBK" w:eastAsia="方正仿宋_GBK" w:cs="方正仿宋_GBK"/>
          <w:color w:val="auto"/>
          <w:sz w:val="32"/>
          <w:szCs w:val="32"/>
          <w:lang w:val="en-US" w:eastAsia="zh-CN"/>
        </w:rPr>
        <w:t>②</w:t>
      </w:r>
      <w:r>
        <w:rPr>
          <w:rFonts w:hint="eastAsia" w:ascii="方正仿宋_GBK" w:hAnsi="方正仿宋_GBK" w:eastAsia="方正仿宋_GBK" w:cs="方正仿宋_GBK"/>
          <w:color w:val="auto"/>
          <w:sz w:val="32"/>
          <w:szCs w:val="32"/>
          <w:lang w:val="en-US" w:eastAsia="zh-CN"/>
        </w:rPr>
        <w:t>立项程序规范性：比较法、文献法，查找相关项目设立的政策和文件要求，对比分析实际执行程序是否按照政策及文件要求执行，分析立项程序的规范性。</w:t>
      </w:r>
      <w:r>
        <w:rPr>
          <w:rFonts w:hint="default" w:ascii="方正仿宋_GBK" w:hAnsi="方正仿宋_GBK" w:eastAsia="方正仿宋_GBK" w:cs="方正仿宋_GBK"/>
          <w:color w:val="auto"/>
          <w:sz w:val="32"/>
          <w:szCs w:val="32"/>
          <w:lang w:val="en-US" w:eastAsia="zh-CN"/>
        </w:rPr>
        <w:t>③</w:t>
      </w:r>
      <w:r>
        <w:rPr>
          <w:rFonts w:hint="eastAsia" w:ascii="方正仿宋_GBK" w:hAnsi="方正仿宋_GBK" w:eastAsia="方正仿宋_GBK" w:cs="方正仿宋_GBK"/>
          <w:color w:val="auto"/>
          <w:sz w:val="32"/>
          <w:szCs w:val="32"/>
          <w:lang w:val="en-US" w:eastAsia="zh-CN"/>
        </w:rPr>
        <w:t>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w:t>
      </w:r>
      <w:r>
        <w:rPr>
          <w:rFonts w:hint="eastAsia" w:ascii="方正仿宋_GBK" w:hAnsi="方正仿宋_GBK" w:eastAsia="方正仿宋_GBK" w:cs="方正仿宋_GBK"/>
          <w:color w:val="auto"/>
          <w:sz w:val="32"/>
          <w:szCs w:val="32"/>
          <w:lang w:val="en-US" w:eastAsia="zh-CN"/>
        </w:rPr>
        <w:tab/>
      </w:r>
      <w:r>
        <w:rPr>
          <w:rFonts w:hint="eastAsia" w:ascii="方正仿宋_GBK" w:hAnsi="方正仿宋_GBK" w:eastAsia="方正仿宋_GBK" w:cs="方正仿宋_GBK"/>
          <w:color w:val="auto"/>
          <w:sz w:val="32"/>
          <w:szCs w:val="32"/>
          <w:lang w:val="en-US" w:eastAsia="zh-CN"/>
        </w:rPr>
        <w:t>分析在产出一定的情况下，成本取值是否有依据，是否经过询价，是否按照市场最低成本编制。⑥资金分配合理性：因素分析法，综合分析资金的分配依据是否充分，分配金额是否与项目实施单位需求金额一致。</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项目过程：</w:t>
      </w:r>
      <w:r>
        <w:rPr>
          <w:rFonts w:hint="default" w:ascii="方正仿宋_GBK" w:hAnsi="方正仿宋_GBK" w:eastAsia="方正仿宋_GBK" w:cs="方正仿宋_GBK"/>
          <w:color w:val="auto"/>
          <w:sz w:val="32"/>
          <w:szCs w:val="32"/>
          <w:lang w:val="en-US" w:eastAsia="zh-CN"/>
        </w:rPr>
        <w:t>①</w:t>
      </w:r>
      <w:r>
        <w:rPr>
          <w:rFonts w:hint="eastAsia" w:ascii="方正仿宋_GBK" w:hAnsi="方正仿宋_GBK" w:eastAsia="方正仿宋_GBK" w:cs="方正仿宋_GBK"/>
          <w:color w:val="auto"/>
          <w:sz w:val="32"/>
          <w:szCs w:val="32"/>
          <w:lang w:val="en-US" w:eastAsia="zh-CN"/>
        </w:rPr>
        <w:t>资金到位率：比较法，资金到位率预期指标值应为100%，通过实际计算，分析实际完成值和预期指标值之间的差距和原因。</w:t>
      </w:r>
      <w:r>
        <w:rPr>
          <w:rFonts w:hint="default" w:ascii="方正仿宋_GBK" w:hAnsi="方正仿宋_GBK" w:eastAsia="方正仿宋_GBK" w:cs="方正仿宋_GBK"/>
          <w:color w:val="auto"/>
          <w:sz w:val="32"/>
          <w:szCs w:val="32"/>
          <w:lang w:val="en-US" w:eastAsia="zh-CN"/>
        </w:rPr>
        <w:t>②</w:t>
      </w:r>
      <w:r>
        <w:rPr>
          <w:rFonts w:hint="eastAsia" w:ascii="方正仿宋_GBK" w:hAnsi="方正仿宋_GBK" w:eastAsia="方正仿宋_GBK" w:cs="方正仿宋_GBK"/>
          <w:color w:val="auto"/>
          <w:sz w:val="32"/>
          <w:szCs w:val="32"/>
          <w:lang w:val="en-US" w:eastAsia="zh-CN"/>
        </w:rPr>
        <w:t>预算执行率：比较法，预算执行率预期指标值应为100%，通过实际计算，分析实际完成值和预期指标值之间的差距和原因。</w:t>
      </w:r>
      <w:r>
        <w:rPr>
          <w:rFonts w:hint="default" w:ascii="方正仿宋_GBK" w:hAnsi="方正仿宋_GBK" w:eastAsia="方正仿宋_GBK" w:cs="方正仿宋_GBK"/>
          <w:color w:val="auto"/>
          <w:sz w:val="32"/>
          <w:szCs w:val="32"/>
          <w:lang w:val="en-US" w:eastAsia="zh-CN"/>
        </w:rPr>
        <w:t>③</w:t>
      </w:r>
      <w:r>
        <w:rPr>
          <w:rFonts w:hint="eastAsia" w:ascii="方正仿宋_GBK" w:hAnsi="方正仿宋_GBK" w:eastAsia="方正仿宋_GBK" w:cs="方正仿宋_GBK"/>
          <w:color w:val="auto"/>
          <w:sz w:val="32"/>
          <w:szCs w:val="32"/>
          <w:lang w:val="en-US" w:eastAsia="zh-CN"/>
        </w:rPr>
        <w:t>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项目效益：公众评判法、实地勘察法，通过实地勘察、问卷及抽样调查等方式评价本项目实施后社会公众或服务对象对项目实施效果的满意程度。</w:t>
      </w:r>
    </w:p>
    <w:p>
      <w:pPr>
        <w:pStyle w:val="37"/>
        <w:keepNext w:val="0"/>
        <w:keepLines w:val="0"/>
        <w:pageBreakBefore w:val="0"/>
        <w:widowControl w:val="0"/>
        <w:kinsoku/>
        <w:wordWrap/>
        <w:overflowPunct/>
        <w:topLinePunct w:val="0"/>
        <w:autoSpaceDE/>
        <w:autoSpaceDN/>
        <w:bidi w:val="0"/>
        <w:adjustRightInd/>
        <w:snapToGrid/>
        <w:spacing w:line="560" w:lineRule="exact"/>
        <w:ind w:firstLine="643"/>
        <w:textAlignment w:val="auto"/>
        <w:outlineLvl w:val="2"/>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4.绩效评价标准</w:t>
      </w:r>
    </w:p>
    <w:p>
      <w:pPr>
        <w:spacing w:line="560" w:lineRule="exact"/>
        <w:ind w:firstLine="643"/>
        <w:rPr>
          <w:rFonts w:hint="eastAsia" w:ascii="方正仿宋_GBK" w:hAnsi="方正仿宋_GBK" w:eastAsia="方正仿宋_GBK" w:cs="方正仿宋_GBK"/>
          <w:color w:val="auto"/>
          <w:kern w:val="0"/>
          <w:sz w:val="32"/>
          <w:szCs w:val="32"/>
          <w:highlight w:val="none"/>
          <w:lang w:val="en-US" w:eastAsia="zh-CN" w:bidi="ar-SA"/>
        </w:rPr>
      </w:pPr>
      <w:bookmarkStart w:id="6" w:name="_Toc68364663"/>
      <w:r>
        <w:rPr>
          <w:rFonts w:hint="eastAsia" w:ascii="方正仿宋_GBK" w:hAnsi="方正仿宋_GBK" w:eastAsia="方正仿宋_GBK" w:cs="方正仿宋_GBK"/>
          <w:color w:val="auto"/>
          <w:kern w:val="0"/>
          <w:sz w:val="32"/>
          <w:szCs w:val="32"/>
          <w:highlight w:val="none"/>
          <w:lang w:val="en-US" w:eastAsia="zh-CN" w:bidi="ar-SA"/>
        </w:rPr>
        <w:t>绩效评价标准通常包括计划标准、行业标准、历史标准等。本次评价主要采用了计划标准</w:t>
      </w:r>
      <w:bookmarkStart w:id="7" w:name="_Toc17882"/>
      <w:bookmarkStart w:id="8" w:name="_Toc31464"/>
      <w:r>
        <w:rPr>
          <w:rFonts w:hint="eastAsia" w:ascii="方正仿宋_GBK" w:hAnsi="方正仿宋_GBK" w:eastAsia="方正仿宋_GBK" w:cs="方正仿宋_GBK"/>
          <w:color w:val="auto"/>
          <w:kern w:val="0"/>
          <w:sz w:val="32"/>
          <w:szCs w:val="32"/>
          <w:highlight w:val="none"/>
          <w:lang w:val="en-US" w:eastAsia="zh-CN" w:bidi="ar-SA"/>
        </w:rPr>
        <w:t>，指以预先制定的目标、计划、预算、定额等作为评价标准</w:t>
      </w:r>
      <w:bookmarkEnd w:id="7"/>
      <w:bookmarkEnd w:id="8"/>
      <w:r>
        <w:rPr>
          <w:rFonts w:hint="eastAsia" w:ascii="方正仿宋_GBK" w:hAnsi="方正仿宋_GBK" w:eastAsia="方正仿宋_GBK" w:cs="方正仿宋_GBK"/>
          <w:color w:val="auto"/>
          <w:kern w:val="0"/>
          <w:sz w:val="32"/>
          <w:szCs w:val="32"/>
          <w:highlight w:val="none"/>
          <w:lang w:val="en-US" w:eastAsia="zh-CN" w:bidi="ar-SA"/>
        </w:rPr>
        <w:t>,对比分析项目产出、效益的完成情况。</w:t>
      </w:r>
    </w:p>
    <w:p>
      <w:pPr>
        <w:pStyle w:val="55"/>
        <w:keepNext/>
        <w:keepLines/>
        <w:pageBreakBefore w:val="0"/>
        <w:widowControl w:val="0"/>
        <w:kinsoku/>
        <w:wordWrap/>
        <w:overflowPunct/>
        <w:topLinePunct w:val="0"/>
        <w:autoSpaceDE/>
        <w:autoSpaceDN/>
        <w:bidi w:val="0"/>
        <w:adjustRightInd/>
        <w:snapToGrid/>
        <w:spacing w:line="560" w:lineRule="exact"/>
        <w:ind w:left="560"/>
        <w:textAlignment w:val="auto"/>
        <w:rPr>
          <w:rFonts w:hint="eastAsia" w:ascii="方正楷体_GBK" w:hAnsi="方正楷体_GBK" w:eastAsia="方正楷体_GBK" w:cs="方正楷体_GBK"/>
          <w:b/>
          <w:bCs/>
          <w:color w:val="auto"/>
          <w:sz w:val="32"/>
        </w:rPr>
      </w:pPr>
      <w:r>
        <w:rPr>
          <w:rFonts w:hint="eastAsia" w:ascii="方正楷体_GBK" w:hAnsi="方正楷体_GBK" w:eastAsia="方正楷体_GBK" w:cs="方正楷体_GBK"/>
          <w:b/>
          <w:bCs/>
          <w:color w:val="auto"/>
          <w:sz w:val="32"/>
        </w:rPr>
        <w:t>（三）绩效评价工作过程</w:t>
      </w:r>
      <w:bookmarkEnd w:id="6"/>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kern w:val="2"/>
          <w:sz w:val="32"/>
          <w:szCs w:val="32"/>
          <w:lang w:val="en-US" w:eastAsia="zh-CN" w:bidi="ar-SA"/>
        </w:rPr>
      </w:pPr>
      <w:r>
        <w:rPr>
          <w:rFonts w:hint="eastAsia" w:ascii="方正仿宋_GBK" w:hAnsi="方正仿宋_GBK" w:eastAsia="方正仿宋_GBK" w:cs="方正仿宋_GBK"/>
          <w:color w:val="auto"/>
          <w:kern w:val="2"/>
          <w:sz w:val="32"/>
          <w:szCs w:val="32"/>
          <w:lang w:val="en-US" w:eastAsia="zh-CN" w:bidi="ar-SA"/>
        </w:rPr>
        <w:t>本次评价设计了评价方案、评价指标体系，通过资料分析、调研、访谈满意度调查等方式形成评价结论，在与项目单位沟通后确定评价意见，并出具评价报告。</w:t>
      </w:r>
    </w:p>
    <w:p>
      <w:pPr>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kern w:val="2"/>
          <w:sz w:val="32"/>
          <w:szCs w:val="32"/>
          <w:lang w:val="en-US" w:eastAsia="zh-CN" w:bidi="ar-SA"/>
        </w:rPr>
      </w:pPr>
      <w:r>
        <w:rPr>
          <w:rFonts w:hint="eastAsia" w:ascii="方正仿宋_GBK" w:hAnsi="方正仿宋_GBK" w:eastAsia="方正仿宋_GBK" w:cs="方正仿宋_GBK"/>
          <w:color w:val="auto"/>
          <w:kern w:val="2"/>
          <w:sz w:val="32"/>
          <w:szCs w:val="32"/>
          <w:lang w:val="en-US" w:eastAsia="zh-CN" w:bidi="ar-SA"/>
        </w:rPr>
        <w:t>第一阶段：前期准备（2023年1月3日）</w:t>
      </w:r>
    </w:p>
    <w:p>
      <w:pPr>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kern w:val="2"/>
          <w:sz w:val="32"/>
          <w:szCs w:val="32"/>
          <w:lang w:val="en-US" w:eastAsia="zh-CN" w:bidi="ar-SA"/>
        </w:rPr>
      </w:pPr>
      <w:r>
        <w:rPr>
          <w:rFonts w:hint="eastAsia" w:ascii="方正仿宋_GBK" w:hAnsi="方正仿宋_GBK" w:eastAsia="方正仿宋_GBK" w:cs="方正仿宋_GBK"/>
          <w:color w:val="auto"/>
          <w:kern w:val="2"/>
          <w:sz w:val="32"/>
          <w:szCs w:val="32"/>
          <w:lang w:val="en-US" w:eastAsia="zh-CN" w:bidi="ar-SA"/>
        </w:rPr>
        <w:t>认真学习相关要求与规定，成立绩效评价工作组，作为绩效评价工作具体实施机构。成员构成如下：</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kern w:val="2"/>
          <w:sz w:val="32"/>
          <w:szCs w:val="32"/>
          <w:lang w:val="en-US" w:eastAsia="zh-CN" w:bidi="ar-SA"/>
        </w:rPr>
      </w:pPr>
      <w:r>
        <w:rPr>
          <w:rFonts w:hint="eastAsia" w:ascii="方正仿宋_GBK" w:hAnsi="方正仿宋_GBK" w:eastAsia="方正仿宋_GBK" w:cs="方正仿宋_GBK"/>
          <w:color w:val="auto"/>
          <w:kern w:val="2"/>
          <w:sz w:val="32"/>
          <w:szCs w:val="32"/>
          <w:lang w:val="en-US" w:eastAsia="zh-CN" w:bidi="ar-SA"/>
        </w:rPr>
        <w:t>艾力西尔扎提·卡米力（农业农村局局长）任评价组组长，绩效评价工作职责为负责全盘工作。</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kern w:val="2"/>
          <w:sz w:val="32"/>
          <w:szCs w:val="32"/>
          <w:lang w:val="en-US" w:eastAsia="zh-CN" w:bidi="ar-SA"/>
        </w:rPr>
      </w:pPr>
      <w:r>
        <w:rPr>
          <w:rFonts w:hint="eastAsia" w:ascii="方正仿宋_GBK" w:hAnsi="方正仿宋_GBK" w:eastAsia="方正仿宋_GBK" w:cs="方正仿宋_GBK"/>
          <w:color w:val="auto"/>
          <w:kern w:val="2"/>
          <w:sz w:val="32"/>
          <w:szCs w:val="32"/>
          <w:lang w:val="en-US" w:eastAsia="zh-CN" w:bidi="ar-SA"/>
        </w:rPr>
        <w:t>梁思学（农业技术推广中心书记）任评价组副组长，绩效评价工作职责为为对项目实施情况进行实地调查。</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kern w:val="2"/>
          <w:sz w:val="32"/>
          <w:szCs w:val="32"/>
          <w:lang w:val="en-US" w:eastAsia="zh-CN" w:bidi="ar-SA"/>
        </w:rPr>
      </w:pPr>
      <w:r>
        <w:rPr>
          <w:rFonts w:hint="eastAsia" w:ascii="方正仿宋_GBK" w:hAnsi="方正仿宋_GBK" w:eastAsia="方正仿宋_GBK" w:cs="方正仿宋_GBK"/>
          <w:color w:val="auto"/>
          <w:kern w:val="2"/>
          <w:sz w:val="32"/>
          <w:szCs w:val="32"/>
          <w:lang w:val="en-US" w:eastAsia="zh-CN" w:bidi="ar-SA"/>
        </w:rPr>
        <w:t>项目2人、财务室1人任评价组成员，绩效评价工作职责为负责资料审核等工作。</w:t>
      </w:r>
    </w:p>
    <w:p>
      <w:pPr>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kern w:val="2"/>
          <w:sz w:val="32"/>
          <w:szCs w:val="32"/>
          <w:lang w:val="en-US" w:eastAsia="zh-CN" w:bidi="ar-SA"/>
        </w:rPr>
      </w:pPr>
      <w:bookmarkStart w:id="9" w:name="_Toc68364664"/>
      <w:r>
        <w:rPr>
          <w:rFonts w:hint="eastAsia" w:ascii="方正仿宋_GBK" w:hAnsi="方正仿宋_GBK" w:eastAsia="方正仿宋_GBK" w:cs="方正仿宋_GBK"/>
          <w:color w:val="auto"/>
          <w:kern w:val="2"/>
          <w:sz w:val="32"/>
          <w:szCs w:val="32"/>
          <w:lang w:val="en-US" w:eastAsia="zh-CN" w:bidi="ar-SA"/>
        </w:rPr>
        <w:t>第二阶段：组织实施（2023年1月3日-1月12日）</w:t>
      </w:r>
    </w:p>
    <w:p>
      <w:pPr>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kern w:val="2"/>
          <w:sz w:val="32"/>
          <w:szCs w:val="32"/>
          <w:lang w:val="en-US" w:eastAsia="zh-CN" w:bidi="ar-SA"/>
        </w:rPr>
      </w:pPr>
      <w:r>
        <w:rPr>
          <w:rFonts w:hint="eastAsia" w:ascii="方正仿宋_GBK" w:hAnsi="方正仿宋_GBK" w:eastAsia="方正仿宋_GBK" w:cs="方正仿宋_GBK"/>
          <w:color w:val="auto"/>
          <w:kern w:val="2"/>
          <w:sz w:val="32"/>
          <w:szCs w:val="32"/>
          <w:lang w:val="en-US" w:eastAsia="zh-CN" w:bidi="ar-SA"/>
        </w:rPr>
        <w:t>经评价组通过实地调研、查阅资料等方式，采用综合分析法对项目的决策、管理、绩效进行的综合评价分析。</w:t>
      </w:r>
    </w:p>
    <w:p>
      <w:pPr>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kern w:val="2"/>
          <w:sz w:val="32"/>
          <w:szCs w:val="32"/>
          <w:lang w:val="en-US" w:eastAsia="zh-CN" w:bidi="ar-SA"/>
        </w:rPr>
      </w:pPr>
      <w:r>
        <w:rPr>
          <w:rFonts w:hint="eastAsia" w:ascii="方正仿宋_GBK" w:hAnsi="方正仿宋_GBK" w:eastAsia="方正仿宋_GBK" w:cs="方正仿宋_GBK"/>
          <w:color w:val="auto"/>
          <w:kern w:val="2"/>
          <w:sz w:val="32"/>
          <w:szCs w:val="32"/>
          <w:lang w:val="en-US" w:eastAsia="zh-CN" w:bidi="ar-SA"/>
        </w:rPr>
        <w:t>第三阶段：分析评价（2023年1月15日-2月1日）</w:t>
      </w:r>
    </w:p>
    <w:p>
      <w:pPr>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kern w:val="2"/>
          <w:sz w:val="32"/>
          <w:szCs w:val="32"/>
          <w:lang w:val="en-US" w:eastAsia="zh-CN" w:bidi="ar-SA"/>
        </w:rPr>
      </w:pPr>
      <w:r>
        <w:rPr>
          <w:rFonts w:hint="eastAsia" w:ascii="方正仿宋_GBK" w:hAnsi="方正仿宋_GBK" w:eastAsia="方正仿宋_GBK" w:cs="方正仿宋_GBK"/>
          <w:color w:val="auto"/>
          <w:kern w:val="2"/>
          <w:sz w:val="32"/>
          <w:szCs w:val="32"/>
          <w:lang w:val="en-US" w:eastAsia="zh-CN" w:bidi="ar-SA"/>
        </w:rPr>
        <w:t>首先按照指标体系进行定量、定性分析。其次开展量化打分、综合评价工作，形成初步评价结论。</w:t>
      </w:r>
    </w:p>
    <w:p>
      <w:pPr>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kern w:val="2"/>
          <w:sz w:val="32"/>
          <w:szCs w:val="32"/>
          <w:lang w:val="en-US" w:eastAsia="zh-CN" w:bidi="ar-SA"/>
        </w:rPr>
      </w:pPr>
      <w:r>
        <w:rPr>
          <w:rFonts w:hint="eastAsia" w:ascii="方正仿宋_GBK" w:hAnsi="方正仿宋_GBK" w:eastAsia="方正仿宋_GBK" w:cs="方正仿宋_GBK"/>
          <w:color w:val="auto"/>
          <w:kern w:val="2"/>
          <w:sz w:val="32"/>
          <w:szCs w:val="32"/>
          <w:lang w:val="en-US" w:eastAsia="zh-CN" w:bidi="ar-SA"/>
        </w:rPr>
        <w:t>第四阶段：撰写与提交评价报告（2023年2月2日-2月10日）</w:t>
      </w:r>
    </w:p>
    <w:p>
      <w:pPr>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kern w:val="2"/>
          <w:sz w:val="32"/>
          <w:szCs w:val="32"/>
          <w:lang w:val="en-US" w:eastAsia="zh-CN" w:bidi="ar-SA"/>
        </w:rPr>
      </w:pPr>
      <w:r>
        <w:rPr>
          <w:rFonts w:hint="eastAsia" w:ascii="方正仿宋_GBK" w:hAnsi="方正仿宋_GBK" w:eastAsia="方正仿宋_GBK" w:cs="方正仿宋_GBK"/>
          <w:color w:val="auto"/>
          <w:kern w:val="2"/>
          <w:sz w:val="32"/>
          <w:szCs w:val="32"/>
          <w:lang w:val="en-US" w:eastAsia="zh-CN" w:bidi="ar-SA"/>
        </w:rPr>
        <w:t>撰写绩效评价报告，按照新疆维吾尔自治区财政绩效管理信息系统绩效评价模块中统一格式和文本框架撰写绩效评价报告并提交审核。</w:t>
      </w:r>
    </w:p>
    <w:p>
      <w:pPr>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kern w:val="2"/>
          <w:sz w:val="32"/>
          <w:szCs w:val="32"/>
          <w:lang w:val="en-US" w:eastAsia="zh-CN" w:bidi="ar-SA"/>
        </w:rPr>
      </w:pPr>
      <w:r>
        <w:rPr>
          <w:rFonts w:hint="eastAsia" w:ascii="方正仿宋_GBK" w:hAnsi="方正仿宋_GBK" w:eastAsia="方正仿宋_GBK" w:cs="方正仿宋_GBK"/>
          <w:color w:val="auto"/>
          <w:kern w:val="2"/>
          <w:sz w:val="32"/>
          <w:szCs w:val="32"/>
          <w:lang w:val="en-US" w:eastAsia="zh-CN" w:bidi="ar-SA"/>
        </w:rPr>
        <w:t>最后总结项目整体情况，及时落实问题整改，并形成整改报告，最后将项目相关资料存档。</w:t>
      </w:r>
    </w:p>
    <w:p>
      <w:pPr>
        <w:pStyle w:val="3"/>
        <w:keepNext/>
        <w:keepLines/>
        <w:pageBreakBefore w:val="0"/>
        <w:widowControl w:val="0"/>
        <w:kinsoku/>
        <w:wordWrap/>
        <w:overflowPunct/>
        <w:topLinePunct w:val="0"/>
        <w:autoSpaceDE/>
        <w:autoSpaceDN/>
        <w:bidi w:val="0"/>
        <w:adjustRightInd/>
        <w:snapToGrid/>
        <w:spacing w:before="0" w:after="0" w:line="560" w:lineRule="exact"/>
        <w:textAlignment w:val="auto"/>
        <w:rPr>
          <w:rFonts w:hint="eastAsia" w:ascii="方正黑体_GBK" w:hAnsi="方正黑体_GBK" w:eastAsia="方正黑体_GBK" w:cs="方正黑体_GBK"/>
          <w:b w:val="0"/>
          <w:bCs w:val="0"/>
          <w:color w:val="auto"/>
        </w:rPr>
      </w:pPr>
      <w:r>
        <w:rPr>
          <w:rFonts w:hint="eastAsia" w:ascii="方正黑体_GBK" w:hAnsi="方正黑体_GBK" w:eastAsia="方正黑体_GBK" w:cs="方正黑体_GBK"/>
          <w:b w:val="0"/>
          <w:bCs w:val="0"/>
          <w:color w:val="auto"/>
        </w:rPr>
        <w:t>三、综合评价情况及评价结论</w:t>
      </w:r>
      <w:bookmarkEnd w:id="9"/>
    </w:p>
    <w:p>
      <w:pPr>
        <w:pStyle w:val="55"/>
        <w:keepNext/>
        <w:keepLines/>
        <w:pageBreakBefore w:val="0"/>
        <w:widowControl w:val="0"/>
        <w:kinsoku/>
        <w:wordWrap/>
        <w:overflowPunct/>
        <w:topLinePunct w:val="0"/>
        <w:autoSpaceDE/>
        <w:autoSpaceDN/>
        <w:bidi w:val="0"/>
        <w:adjustRightInd/>
        <w:snapToGrid/>
        <w:spacing w:line="560" w:lineRule="exact"/>
        <w:ind w:left="560"/>
        <w:textAlignment w:val="auto"/>
        <w:rPr>
          <w:rFonts w:hint="eastAsia" w:ascii="方正楷体_GBK" w:hAnsi="方正楷体_GBK" w:eastAsia="方正楷体_GBK" w:cs="方正楷体_GBK"/>
          <w:b/>
          <w:bCs/>
          <w:color w:val="auto"/>
          <w:sz w:val="32"/>
        </w:rPr>
      </w:pPr>
      <w:bookmarkStart w:id="10" w:name="_Toc68364665"/>
      <w:r>
        <w:rPr>
          <w:rFonts w:hint="eastAsia" w:ascii="方正楷体_GBK" w:hAnsi="方正楷体_GBK" w:eastAsia="方正楷体_GBK" w:cs="方正楷体_GBK"/>
          <w:b/>
          <w:bCs/>
          <w:color w:val="auto"/>
          <w:sz w:val="32"/>
        </w:rPr>
        <w:t>（一）综合评价情况</w:t>
      </w:r>
      <w:bookmarkEnd w:id="10"/>
    </w:p>
    <w:p>
      <w:pPr>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kern w:val="2"/>
          <w:sz w:val="32"/>
          <w:szCs w:val="32"/>
          <w:highlight w:val="none"/>
          <w:lang w:val="en-US" w:eastAsia="zh-CN" w:bidi="ar-SA"/>
        </w:rPr>
      </w:pPr>
      <w:bookmarkStart w:id="11" w:name="_Toc68364666"/>
      <w:r>
        <w:rPr>
          <w:rFonts w:hint="eastAsia" w:ascii="方正仿宋_GBK" w:hAnsi="方正仿宋_GBK" w:eastAsia="方正仿宋_GBK" w:cs="方正仿宋_GBK"/>
          <w:color w:val="auto"/>
          <w:kern w:val="2"/>
          <w:sz w:val="32"/>
          <w:szCs w:val="32"/>
          <w:highlight w:val="none"/>
          <w:lang w:val="en-US" w:eastAsia="zh-CN" w:bidi="ar-SA"/>
        </w:rPr>
        <w:t>经评价组通过实地调研、综合分析法、问卷调查法等方式，主要采用综合分析法对项目的决策、实施、产出、效益进行综合评价分析，最终评分100分。</w:t>
      </w:r>
    </w:p>
    <w:p>
      <w:pPr>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kern w:val="2"/>
          <w:sz w:val="32"/>
          <w:szCs w:val="32"/>
          <w:highlight w:val="none"/>
          <w:lang w:val="en-US" w:eastAsia="zh-CN" w:bidi="ar-SA"/>
        </w:rPr>
      </w:pPr>
      <w:r>
        <w:rPr>
          <w:rFonts w:hint="eastAsia" w:ascii="方正仿宋_GBK" w:hAnsi="方正仿宋_GBK" w:eastAsia="方正仿宋_GBK" w:cs="方正仿宋_GBK"/>
          <w:color w:val="auto"/>
          <w:kern w:val="2"/>
          <w:sz w:val="32"/>
          <w:szCs w:val="32"/>
          <w:highlight w:val="none"/>
          <w:lang w:val="en-US" w:eastAsia="zh-CN" w:bidi="ar-SA"/>
        </w:rPr>
        <w:t>伽师县第三次全国土壤普查项目</w:t>
      </w:r>
      <w:r>
        <w:rPr>
          <w:rFonts w:hint="eastAsia" w:ascii="方正仿宋_GBK" w:hAnsi="方正仿宋_GBK" w:eastAsia="方正仿宋_GBK" w:cs="方正仿宋_GBK"/>
          <w:color w:val="auto"/>
          <w:sz w:val="32"/>
          <w:szCs w:val="32"/>
          <w:highlight w:val="none"/>
          <w:lang w:val="en-US" w:eastAsia="zh-CN"/>
        </w:rPr>
        <w:t>总体组织规范</w:t>
      </w:r>
      <w:r>
        <w:rPr>
          <w:rFonts w:hint="eastAsia" w:ascii="方正仿宋_GBK" w:hAnsi="方正仿宋_GBK" w:eastAsia="方正仿宋_GBK" w:cs="方正仿宋_GBK"/>
          <w:color w:val="auto"/>
          <w:kern w:val="2"/>
          <w:sz w:val="32"/>
          <w:szCs w:val="32"/>
          <w:highlight w:val="none"/>
          <w:lang w:val="en-US" w:eastAsia="zh-CN" w:bidi="ar-SA"/>
        </w:rPr>
        <w:t>，采集全县土壤样品进行检测。确保到2025年实现对全县耕地，园地，林地，盐碱地，草地等土壤“全面体检”，摸清土壤质量，为守住耕地红线，保护生态环境优化农业生产布局推进农业高质量发展奠定坚实基础。</w:t>
      </w:r>
    </w:p>
    <w:p>
      <w:pPr>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kern w:val="2"/>
          <w:sz w:val="32"/>
          <w:szCs w:val="32"/>
          <w:highlight w:val="none"/>
          <w:lang w:val="en-US" w:eastAsia="zh-CN" w:bidi="ar-SA"/>
        </w:rPr>
      </w:pPr>
      <w:r>
        <w:rPr>
          <w:rFonts w:hint="eastAsia" w:ascii="方正仿宋_GBK" w:hAnsi="方正仿宋_GBK" w:eastAsia="方正仿宋_GBK" w:cs="方正仿宋_GBK"/>
          <w:color w:val="auto"/>
          <w:kern w:val="2"/>
          <w:sz w:val="32"/>
          <w:szCs w:val="32"/>
          <w:highlight w:val="none"/>
          <w:lang w:val="en-US" w:eastAsia="zh-CN" w:bidi="ar-SA"/>
        </w:rPr>
        <w:t>项目决策方面，本项目的立项符合相关法规政策及部门职责，依据充分；项目按照规定的程序申请设立；审批文件、材料符合相关要求；项目前期已经过必要的可行性研究、专家论证、风险评估、绩效评估、集体决策。</w:t>
      </w:r>
    </w:p>
    <w:p>
      <w:pPr>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kern w:val="2"/>
          <w:sz w:val="32"/>
          <w:szCs w:val="32"/>
          <w:highlight w:val="none"/>
          <w:lang w:val="en-US" w:eastAsia="zh-CN" w:bidi="ar-SA"/>
        </w:rPr>
      </w:pPr>
      <w:r>
        <w:rPr>
          <w:rFonts w:hint="eastAsia" w:ascii="方正仿宋_GBK" w:hAnsi="方正仿宋_GBK" w:eastAsia="方正仿宋_GBK" w:cs="方正仿宋_GBK"/>
          <w:color w:val="auto"/>
          <w:kern w:val="2"/>
          <w:sz w:val="32"/>
          <w:szCs w:val="32"/>
          <w:highlight w:val="none"/>
          <w:lang w:val="en-US" w:eastAsia="zh-CN" w:bidi="ar-SA"/>
        </w:rPr>
        <w:t>项目管理方面，2022年本项目预算安排119.88万元，本项目实际实际支出119.88万元，预算执行率100%。项目资金使用合规，项目财务管理制度健全，财务监控到位，所有资金支付均按照国库集中支付制度严格执行，现有项目管理制度执行情况良好。</w:t>
      </w:r>
    </w:p>
    <w:p>
      <w:pPr>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kern w:val="2"/>
          <w:sz w:val="32"/>
          <w:szCs w:val="32"/>
          <w:highlight w:val="none"/>
          <w:lang w:val="en-US" w:eastAsia="zh-CN" w:bidi="ar-SA"/>
        </w:rPr>
      </w:pPr>
      <w:r>
        <w:rPr>
          <w:rFonts w:hint="eastAsia" w:ascii="方正仿宋_GBK" w:hAnsi="方正仿宋_GBK" w:eastAsia="方正仿宋_GBK" w:cs="方正仿宋_GBK"/>
          <w:color w:val="auto"/>
          <w:kern w:val="2"/>
          <w:sz w:val="32"/>
          <w:szCs w:val="32"/>
          <w:highlight w:val="none"/>
          <w:lang w:val="en-US" w:eastAsia="zh-CN" w:bidi="ar-SA"/>
        </w:rPr>
        <w:t>项目产出方面：项目计划是采集我县土壤样品进行检测。</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kern w:val="2"/>
          <w:sz w:val="32"/>
          <w:szCs w:val="32"/>
          <w:highlight w:val="none"/>
          <w:lang w:val="en-US" w:eastAsia="zh-CN" w:bidi="ar-SA"/>
        </w:rPr>
      </w:pPr>
      <w:r>
        <w:rPr>
          <w:rFonts w:hint="eastAsia" w:ascii="方正仿宋_GBK" w:hAnsi="方正仿宋_GBK" w:eastAsia="方正仿宋_GBK" w:cs="方正仿宋_GBK"/>
          <w:color w:val="auto"/>
          <w:kern w:val="2"/>
          <w:sz w:val="32"/>
          <w:szCs w:val="32"/>
          <w:highlight w:val="none"/>
          <w:lang w:val="en-US" w:eastAsia="zh-CN" w:bidi="ar-SA"/>
        </w:rPr>
        <w:t>项目效益方面：</w:t>
      </w:r>
      <w:r>
        <w:rPr>
          <w:rFonts w:hint="eastAsia" w:ascii="方正仿宋_GBK" w:hAnsi="方正仿宋_GBK" w:eastAsia="方正仿宋_GBK" w:cs="方正仿宋_GBK"/>
          <w:color w:val="auto"/>
          <w:sz w:val="32"/>
          <w:szCs w:val="32"/>
          <w:highlight w:val="none"/>
          <w:lang w:val="en-US" w:eastAsia="zh-CN"/>
        </w:rPr>
        <w:t>对我县土壤土壤类型及分布规律、土壤资源现状及变化趋势，真实准确掌握土壤资源质量、性状和利用状况等基础数据，为土壤科学分类、规划利用、改良培肥、保护管理等提供科学支撑，为全县制定经济社会发展和生态建设等重大政策提供决策依据。</w:t>
      </w:r>
    </w:p>
    <w:p>
      <w:pPr>
        <w:pStyle w:val="55"/>
        <w:keepNext/>
        <w:keepLines/>
        <w:pageBreakBefore w:val="0"/>
        <w:widowControl w:val="0"/>
        <w:kinsoku/>
        <w:wordWrap/>
        <w:overflowPunct/>
        <w:topLinePunct w:val="0"/>
        <w:autoSpaceDE/>
        <w:autoSpaceDN/>
        <w:bidi w:val="0"/>
        <w:adjustRightInd/>
        <w:snapToGrid/>
        <w:spacing w:line="560" w:lineRule="exact"/>
        <w:ind w:left="560"/>
        <w:textAlignment w:val="auto"/>
        <w:rPr>
          <w:rFonts w:hint="eastAsia" w:ascii="方正楷体_GBK" w:hAnsi="方正楷体_GBK" w:eastAsia="方正楷体_GBK" w:cs="方正楷体_GBK"/>
          <w:b/>
          <w:bCs/>
          <w:color w:val="auto"/>
          <w:sz w:val="32"/>
          <w:highlight w:val="none"/>
        </w:rPr>
      </w:pPr>
      <w:r>
        <w:rPr>
          <w:rFonts w:hint="eastAsia" w:ascii="方正楷体_GBK" w:hAnsi="方正楷体_GBK" w:eastAsia="方正楷体_GBK" w:cs="方正楷体_GBK"/>
          <w:b/>
          <w:bCs/>
          <w:color w:val="auto"/>
          <w:sz w:val="32"/>
          <w:highlight w:val="none"/>
        </w:rPr>
        <w:t>（二）综合评价结论</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both"/>
        <w:textAlignment w:val="auto"/>
        <w:outlineLvl w:val="9"/>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运用项目组制</w:t>
      </w:r>
      <w:r>
        <w:rPr>
          <w:rFonts w:hint="eastAsia" w:ascii="方正仿宋_GBK" w:hAnsi="方正仿宋_GBK" w:eastAsia="方正仿宋_GBK" w:cs="方正仿宋_GBK"/>
          <w:color w:val="auto"/>
          <w:sz w:val="32"/>
          <w:szCs w:val="32"/>
          <w:highlight w:val="none"/>
          <w:lang w:eastAsia="zh-CN"/>
        </w:rPr>
        <w:t>定</w:t>
      </w:r>
      <w:r>
        <w:rPr>
          <w:rFonts w:hint="eastAsia" w:ascii="方正仿宋_GBK" w:hAnsi="方正仿宋_GBK" w:eastAsia="方正仿宋_GBK" w:cs="方正仿宋_GBK"/>
          <w:color w:val="auto"/>
          <w:sz w:val="32"/>
          <w:szCs w:val="32"/>
          <w:highlight w:val="none"/>
        </w:rPr>
        <w:t>评价指标体系及</w:t>
      </w:r>
      <w:r>
        <w:rPr>
          <w:rFonts w:hint="eastAsia" w:ascii="方正仿宋_GBK" w:hAnsi="方正仿宋_GBK" w:eastAsia="方正仿宋_GBK" w:cs="方正仿宋_GBK"/>
          <w:color w:val="auto"/>
          <w:sz w:val="32"/>
          <w:szCs w:val="32"/>
          <w:highlight w:val="none"/>
        </w:rPr>
        <w:t>财政部《项目支出绩效</w:t>
      </w:r>
      <w:r>
        <w:rPr>
          <w:rFonts w:hint="eastAsia" w:ascii="方正仿宋_GBK" w:hAnsi="方正仿宋_GBK" w:eastAsia="方正仿宋_GBK" w:cs="方正仿宋_GBK"/>
          <w:color w:val="auto"/>
          <w:sz w:val="32"/>
          <w:szCs w:val="32"/>
          <w:highlight w:val="none"/>
        </w:rPr>
        <w:t>评价管理办法》（财预〔2020〕10号）</w:t>
      </w:r>
      <w:r>
        <w:rPr>
          <w:rFonts w:hint="eastAsia" w:ascii="方正仿宋_GBK" w:hAnsi="方正仿宋_GBK" w:eastAsia="方正仿宋_GBK" w:cs="方正仿宋_GBK"/>
          <w:color w:val="auto"/>
          <w:sz w:val="32"/>
          <w:szCs w:val="32"/>
          <w:highlight w:val="none"/>
          <w:lang w:eastAsia="zh-CN"/>
        </w:rPr>
        <w:t>文件</w:t>
      </w:r>
      <w:r>
        <w:rPr>
          <w:rFonts w:hint="eastAsia" w:ascii="方正仿宋_GBK" w:hAnsi="方正仿宋_GBK" w:eastAsia="方正仿宋_GBK" w:cs="方正仿宋_GBK"/>
          <w:color w:val="auto"/>
          <w:sz w:val="32"/>
          <w:szCs w:val="32"/>
          <w:highlight w:val="none"/>
        </w:rPr>
        <w:t>评分标准</w:t>
      </w:r>
      <w:r>
        <w:rPr>
          <w:rFonts w:hint="eastAsia" w:ascii="方正仿宋_GBK" w:hAnsi="方正仿宋_GBK" w:eastAsia="方正仿宋_GBK" w:cs="方正仿宋_GBK"/>
          <w:color w:val="auto"/>
          <w:sz w:val="32"/>
          <w:szCs w:val="32"/>
          <w:highlight w:val="none"/>
          <w:lang w:eastAsia="zh-CN"/>
        </w:rPr>
        <w:t>进行评价，</w:t>
      </w:r>
      <w:r>
        <w:rPr>
          <w:rFonts w:hint="eastAsia" w:ascii="方正仿宋_GBK" w:hAnsi="方正仿宋_GBK" w:eastAsia="方正仿宋_GBK" w:cs="方正仿宋_GBK"/>
          <w:color w:val="auto"/>
          <w:sz w:val="32"/>
          <w:szCs w:val="32"/>
          <w:highlight w:val="none"/>
        </w:rPr>
        <w:t>本次绩效评价</w:t>
      </w:r>
      <w:r>
        <w:rPr>
          <w:rFonts w:hint="eastAsia" w:ascii="方正仿宋_GBK" w:hAnsi="方正仿宋_GBK" w:eastAsia="方正仿宋_GBK" w:cs="方正仿宋_GBK"/>
          <w:color w:val="auto"/>
          <w:sz w:val="32"/>
          <w:szCs w:val="32"/>
          <w:highlight w:val="none"/>
          <w:lang w:val="en-US" w:eastAsia="zh-CN"/>
        </w:rPr>
        <w:t>结果</w:t>
      </w:r>
      <w:r>
        <w:rPr>
          <w:rFonts w:hint="eastAsia" w:ascii="方正仿宋_GBK" w:hAnsi="方正仿宋_GBK" w:eastAsia="方正仿宋_GBK" w:cs="方正仿宋_GBK"/>
          <w:color w:val="auto"/>
          <w:sz w:val="32"/>
          <w:szCs w:val="32"/>
          <w:highlight w:val="none"/>
        </w:rPr>
        <w:t>主要</w:t>
      </w:r>
      <w:r>
        <w:rPr>
          <w:rFonts w:hint="eastAsia" w:ascii="方正仿宋_GBK" w:hAnsi="方正仿宋_GBK" w:eastAsia="方正仿宋_GBK" w:cs="方正仿宋_GBK"/>
          <w:color w:val="auto"/>
          <w:sz w:val="32"/>
          <w:szCs w:val="32"/>
          <w:highlight w:val="none"/>
          <w:lang w:val="en-US" w:eastAsia="zh-CN"/>
        </w:rPr>
        <w:t>采取评分和评级相结合的方式</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lang w:val="en-US" w:eastAsia="zh-CN"/>
        </w:rPr>
        <w:t>具体分值和等级可根据不同评价的内容设定。总分一般设置为</w:t>
      </w:r>
      <w:r>
        <w:rPr>
          <w:rFonts w:hint="eastAsia" w:ascii="方正仿宋_GBK" w:hAnsi="方正仿宋_GBK" w:eastAsia="方正仿宋_GBK" w:cs="方正仿宋_GBK"/>
          <w:color w:val="auto"/>
          <w:sz w:val="32"/>
          <w:szCs w:val="32"/>
          <w:highlight w:val="none"/>
        </w:rPr>
        <w:t>100分</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rPr>
        <w:t>其中项目决策2</w:t>
      </w:r>
      <w:r>
        <w:rPr>
          <w:rFonts w:hint="eastAsia" w:ascii="方正仿宋_GBK" w:hAnsi="方正仿宋_GBK" w:eastAsia="方正仿宋_GBK" w:cs="方正仿宋_GBK"/>
          <w:color w:val="auto"/>
          <w:sz w:val="32"/>
          <w:szCs w:val="32"/>
          <w:highlight w:val="none"/>
          <w:lang w:val="en-US" w:eastAsia="zh-CN"/>
        </w:rPr>
        <w:t>0</w:t>
      </w:r>
      <w:r>
        <w:rPr>
          <w:rFonts w:hint="eastAsia" w:ascii="方正仿宋_GBK" w:hAnsi="方正仿宋_GBK" w:eastAsia="方正仿宋_GBK" w:cs="方正仿宋_GBK"/>
          <w:color w:val="auto"/>
          <w:sz w:val="32"/>
          <w:szCs w:val="32"/>
          <w:highlight w:val="none"/>
        </w:rPr>
        <w:t>分</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rPr>
        <w:t>项目</w:t>
      </w:r>
      <w:r>
        <w:rPr>
          <w:rFonts w:hint="eastAsia" w:ascii="方正仿宋_GBK" w:hAnsi="方正仿宋_GBK" w:eastAsia="方正仿宋_GBK" w:cs="方正仿宋_GBK"/>
          <w:color w:val="auto"/>
          <w:sz w:val="32"/>
          <w:szCs w:val="32"/>
          <w:highlight w:val="none"/>
          <w:lang w:val="en-US" w:eastAsia="zh-CN"/>
        </w:rPr>
        <w:t>过程20</w:t>
      </w:r>
      <w:r>
        <w:rPr>
          <w:rFonts w:hint="eastAsia" w:ascii="方正仿宋_GBK" w:hAnsi="方正仿宋_GBK" w:eastAsia="方正仿宋_GBK" w:cs="方正仿宋_GBK"/>
          <w:color w:val="auto"/>
          <w:sz w:val="32"/>
          <w:szCs w:val="32"/>
          <w:highlight w:val="none"/>
        </w:rPr>
        <w:t>分</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rPr>
        <w:t>项目</w:t>
      </w:r>
      <w:r>
        <w:rPr>
          <w:rFonts w:hint="eastAsia" w:ascii="方正仿宋_GBK" w:hAnsi="方正仿宋_GBK" w:eastAsia="方正仿宋_GBK" w:cs="方正仿宋_GBK"/>
          <w:color w:val="auto"/>
          <w:sz w:val="32"/>
          <w:szCs w:val="32"/>
          <w:highlight w:val="none"/>
          <w:lang w:val="en-US" w:eastAsia="zh-CN"/>
        </w:rPr>
        <w:t>产出40分、项目效益20</w:t>
      </w:r>
      <w:r>
        <w:rPr>
          <w:rFonts w:hint="eastAsia" w:ascii="方正仿宋_GBK" w:hAnsi="方正仿宋_GBK" w:eastAsia="方正仿宋_GBK" w:cs="方正仿宋_GBK"/>
          <w:color w:val="auto"/>
          <w:sz w:val="32"/>
          <w:szCs w:val="32"/>
          <w:highlight w:val="none"/>
        </w:rPr>
        <w:t>分。评价结果分为优、良、中、差四个等级：优（90分（含）—100分）；良（80分（含）—90分）；中（60分（含）—80分）；差（0分—60分）。</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shd w:val="clear"/>
          <w:lang w:val="en-US" w:eastAsia="zh-CN"/>
        </w:rPr>
        <w:t>伽师县农业技术推广中心已完成伽师县2022年第三次全国土壤普查项目，对成盐</w:t>
      </w:r>
      <w:r>
        <w:rPr>
          <w:rFonts w:hint="eastAsia" w:ascii="方正仿宋_GBK" w:hAnsi="方正仿宋_GBK" w:eastAsia="方正仿宋_GBK" w:cs="方正仿宋_GBK"/>
          <w:color w:val="auto"/>
          <w:sz w:val="32"/>
          <w:szCs w:val="32"/>
          <w:highlight w:val="none"/>
          <w:lang w:val="en-US" w:eastAsia="zh-CN"/>
        </w:rPr>
        <w:t>碱地表层样取土壤样品2386个，其中表层样1809个、水溶性大团体样543个、平行样34个，化验检测13987项次。通过此项目对全县耕地、园地、林地、草地、盐碱地等土壤“全面体检”,摸清土壤质量家底，为守住耕地红线、保护生态环境、优化农业生产布局、推进农业高质量发展奠定坚实基础。</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highlight w:val="none"/>
          <w:shd w:val="clear"/>
          <w:lang w:val="en-US" w:eastAsia="zh-CN"/>
        </w:rPr>
      </w:pPr>
      <w:r>
        <w:rPr>
          <w:rFonts w:hint="eastAsia" w:ascii="方正仿宋_GBK" w:hAnsi="方正仿宋_GBK" w:eastAsia="方正仿宋_GBK" w:cs="方正仿宋_GBK"/>
          <w:color w:val="auto"/>
          <w:sz w:val="32"/>
          <w:szCs w:val="32"/>
          <w:highlight w:val="none"/>
          <w:lang w:eastAsia="zh-CN"/>
        </w:rPr>
        <w:t>该项目最</w:t>
      </w:r>
      <w:r>
        <w:rPr>
          <w:rFonts w:hint="eastAsia" w:ascii="方正仿宋_GBK" w:hAnsi="方正仿宋_GBK" w:eastAsia="方正仿宋_GBK" w:cs="方正仿宋_GBK"/>
          <w:color w:val="auto"/>
          <w:sz w:val="32"/>
          <w:szCs w:val="32"/>
          <w:highlight w:val="none"/>
          <w:shd w:val="clear"/>
          <w:lang w:val="en-US" w:eastAsia="zh-CN"/>
        </w:rPr>
        <w:t>终评分100分，绩效评级为“优”，具体得分情况为：项目决策20分、项目过程20分、项目产出40分、项目效益20分。</w:t>
      </w:r>
    </w:p>
    <w:p>
      <w:pPr>
        <w:spacing w:line="560" w:lineRule="exact"/>
        <w:ind w:firstLine="640"/>
        <w:jc w:val="center"/>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shd w:val="clear"/>
          <w:lang w:val="en-US" w:eastAsia="zh-CN"/>
        </w:rPr>
        <w:t>伽师县2022年第三次全国土壤普查</w:t>
      </w:r>
      <w:r>
        <w:rPr>
          <w:rFonts w:hint="eastAsia" w:ascii="方正仿宋_GBK" w:hAnsi="方正仿宋_GBK" w:eastAsia="方正仿宋_GBK" w:cs="方正仿宋_GBK"/>
          <w:color w:val="auto"/>
          <w:sz w:val="32"/>
          <w:szCs w:val="32"/>
          <w:highlight w:val="none"/>
          <w:lang w:val="en-US" w:eastAsia="zh-CN"/>
        </w:rPr>
        <w:t>项目得分情况表</w:t>
      </w:r>
    </w:p>
    <w:tbl>
      <w:tblPr>
        <w:tblStyle w:val="28"/>
        <w:tblW w:w="8325" w:type="dxa"/>
        <w:jc w:val="center"/>
        <w:tblInd w:w="0" w:type="dxa"/>
        <w:shd w:val="clear" w:color="auto" w:fill="auto"/>
        <w:tblLayout w:type="fixed"/>
        <w:tblCellMar>
          <w:top w:w="0" w:type="dxa"/>
          <w:left w:w="0" w:type="dxa"/>
          <w:bottom w:w="0" w:type="dxa"/>
          <w:right w:w="0" w:type="dxa"/>
        </w:tblCellMar>
      </w:tblPr>
      <w:tblGrid>
        <w:gridCol w:w="2317"/>
        <w:gridCol w:w="1840"/>
        <w:gridCol w:w="2083"/>
        <w:gridCol w:w="2085"/>
      </w:tblGrid>
      <w:tr>
        <w:tblPrEx>
          <w:shd w:val="clear" w:color="auto" w:fill="auto"/>
          <w:tblLayout w:type="fixed"/>
          <w:tblCellMar>
            <w:top w:w="0" w:type="dxa"/>
            <w:left w:w="0" w:type="dxa"/>
            <w:bottom w:w="0" w:type="dxa"/>
            <w:right w:w="0" w:type="dxa"/>
          </w:tblCellMar>
        </w:tblPrEx>
        <w:trPr>
          <w:trHeight w:val="392" w:hRule="atLeast"/>
          <w:jc w:val="center"/>
        </w:trPr>
        <w:tc>
          <w:tcPr>
            <w:tcW w:w="23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suppressLineNumbers w:val="0"/>
              <w:spacing w:before="0" w:beforeAutospacing="0" w:after="0" w:afterAutospacing="0" w:line="560" w:lineRule="exact"/>
              <w:ind w:left="0" w:right="0"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一级指标</w:t>
            </w:r>
          </w:p>
        </w:tc>
        <w:tc>
          <w:tcPr>
            <w:tcW w:w="1840" w:type="dxa"/>
            <w:tcBorders>
              <w:top w:val="single" w:color="000000" w:sz="4" w:space="0"/>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suppressLineNumbers w:val="0"/>
              <w:spacing w:before="0" w:beforeAutospacing="0" w:after="0" w:afterAutospacing="0" w:line="560" w:lineRule="exact"/>
              <w:ind w:left="0" w:right="0"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权重</w:t>
            </w:r>
          </w:p>
        </w:tc>
        <w:tc>
          <w:tcPr>
            <w:tcW w:w="2083"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suppressLineNumbers w:val="0"/>
              <w:spacing w:before="0" w:beforeAutospacing="0" w:after="0" w:afterAutospacing="0" w:line="560" w:lineRule="exact"/>
              <w:ind w:left="0" w:right="0"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得分率</w:t>
            </w:r>
          </w:p>
        </w:tc>
        <w:tc>
          <w:tcPr>
            <w:tcW w:w="2085"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suppressLineNumbers w:val="0"/>
              <w:spacing w:before="0" w:beforeAutospacing="0" w:after="0" w:afterAutospacing="0" w:line="560" w:lineRule="exact"/>
              <w:ind w:left="0" w:right="0"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实际得分</w:t>
            </w:r>
          </w:p>
        </w:tc>
      </w:tr>
      <w:tr>
        <w:tblPrEx>
          <w:shd w:val="clear" w:color="auto" w:fill="auto"/>
          <w:tblLayout w:type="fixed"/>
          <w:tblCellMar>
            <w:top w:w="0" w:type="dxa"/>
            <w:left w:w="0" w:type="dxa"/>
            <w:bottom w:w="0" w:type="dxa"/>
            <w:right w:w="0" w:type="dxa"/>
          </w:tblCellMar>
        </w:tblPrEx>
        <w:trPr>
          <w:trHeight w:val="515" w:hRule="atLeast"/>
          <w:jc w:val="center"/>
        </w:trPr>
        <w:tc>
          <w:tcPr>
            <w:tcW w:w="231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suppressLineNumbers w:val="0"/>
              <w:spacing w:before="0" w:beforeAutospacing="0" w:after="0" w:afterAutospacing="0" w:line="560" w:lineRule="exact"/>
              <w:ind w:left="0" w:right="0"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项目决策</w:t>
            </w:r>
          </w:p>
        </w:tc>
        <w:tc>
          <w:tcPr>
            <w:tcW w:w="1840"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suppressLineNumbers w:val="0"/>
              <w:spacing w:before="0" w:beforeAutospacing="0" w:after="0" w:afterAutospacing="0" w:line="560" w:lineRule="exact"/>
              <w:ind w:left="0" w:right="0"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20</w:t>
            </w:r>
          </w:p>
        </w:tc>
        <w:tc>
          <w:tcPr>
            <w:tcW w:w="2083"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suppressLineNumbers w:val="0"/>
              <w:spacing w:before="0" w:beforeAutospacing="0" w:after="0" w:afterAutospacing="0" w:line="560" w:lineRule="exact"/>
              <w:ind w:left="0" w:right="0"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100%</w:t>
            </w:r>
          </w:p>
        </w:tc>
        <w:tc>
          <w:tcPr>
            <w:tcW w:w="2085"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suppressLineNumbers w:val="0"/>
              <w:spacing w:before="0" w:beforeAutospacing="0" w:after="0" w:afterAutospacing="0" w:line="560" w:lineRule="exact"/>
              <w:ind w:left="0" w:right="0"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20</w:t>
            </w:r>
          </w:p>
        </w:tc>
      </w:tr>
      <w:tr>
        <w:tblPrEx>
          <w:tblLayout w:type="fixed"/>
          <w:tblCellMar>
            <w:top w:w="0" w:type="dxa"/>
            <w:left w:w="0" w:type="dxa"/>
            <w:bottom w:w="0" w:type="dxa"/>
            <w:right w:w="0" w:type="dxa"/>
          </w:tblCellMar>
        </w:tblPrEx>
        <w:trPr>
          <w:trHeight w:val="312" w:hRule="atLeast"/>
          <w:jc w:val="center"/>
        </w:trPr>
        <w:tc>
          <w:tcPr>
            <w:tcW w:w="231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suppressLineNumbers w:val="0"/>
              <w:spacing w:before="0" w:beforeAutospacing="0" w:after="0" w:afterAutospacing="0" w:line="560" w:lineRule="exact"/>
              <w:ind w:left="0" w:right="0"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项目过程</w:t>
            </w:r>
          </w:p>
        </w:tc>
        <w:tc>
          <w:tcPr>
            <w:tcW w:w="1840"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suppressLineNumbers w:val="0"/>
              <w:spacing w:before="0" w:beforeAutospacing="0" w:after="0" w:afterAutospacing="0" w:line="560" w:lineRule="exact"/>
              <w:ind w:left="0" w:right="0"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20</w:t>
            </w:r>
          </w:p>
        </w:tc>
        <w:tc>
          <w:tcPr>
            <w:tcW w:w="2083"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suppressLineNumbers w:val="0"/>
              <w:spacing w:before="0" w:beforeAutospacing="0" w:after="0" w:afterAutospacing="0" w:line="560" w:lineRule="exact"/>
              <w:ind w:left="0" w:right="0"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100%</w:t>
            </w:r>
          </w:p>
        </w:tc>
        <w:tc>
          <w:tcPr>
            <w:tcW w:w="2085"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suppressLineNumbers w:val="0"/>
              <w:spacing w:before="0" w:beforeAutospacing="0" w:after="0" w:afterAutospacing="0" w:line="560" w:lineRule="exact"/>
              <w:ind w:left="0" w:right="0"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20</w:t>
            </w:r>
          </w:p>
        </w:tc>
      </w:tr>
      <w:tr>
        <w:tblPrEx>
          <w:shd w:val="clear" w:color="auto" w:fill="auto"/>
          <w:tblLayout w:type="fixed"/>
          <w:tblCellMar>
            <w:top w:w="0" w:type="dxa"/>
            <w:left w:w="0" w:type="dxa"/>
            <w:bottom w:w="0" w:type="dxa"/>
            <w:right w:w="0" w:type="dxa"/>
          </w:tblCellMar>
        </w:tblPrEx>
        <w:trPr>
          <w:trHeight w:val="312" w:hRule="atLeast"/>
          <w:jc w:val="center"/>
        </w:trPr>
        <w:tc>
          <w:tcPr>
            <w:tcW w:w="231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suppressLineNumbers w:val="0"/>
              <w:spacing w:before="0" w:beforeAutospacing="0" w:after="0" w:afterAutospacing="0" w:line="560" w:lineRule="exact"/>
              <w:ind w:left="0" w:right="0"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项目产出</w:t>
            </w:r>
          </w:p>
        </w:tc>
        <w:tc>
          <w:tcPr>
            <w:tcW w:w="1840"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suppressLineNumbers w:val="0"/>
              <w:spacing w:before="0" w:beforeAutospacing="0" w:after="0" w:afterAutospacing="0" w:line="560" w:lineRule="exact"/>
              <w:ind w:left="0" w:right="0"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40</w:t>
            </w:r>
          </w:p>
        </w:tc>
        <w:tc>
          <w:tcPr>
            <w:tcW w:w="2083"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suppressLineNumbers w:val="0"/>
              <w:spacing w:before="0" w:beforeAutospacing="0" w:after="0" w:afterAutospacing="0" w:line="560" w:lineRule="exact"/>
              <w:ind w:left="0" w:right="0"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100%</w:t>
            </w:r>
          </w:p>
        </w:tc>
        <w:tc>
          <w:tcPr>
            <w:tcW w:w="2085"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suppressLineNumbers w:val="0"/>
              <w:spacing w:before="0" w:beforeAutospacing="0" w:after="0" w:afterAutospacing="0" w:line="560" w:lineRule="exact"/>
              <w:ind w:left="0" w:right="0"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40</w:t>
            </w:r>
          </w:p>
        </w:tc>
      </w:tr>
      <w:tr>
        <w:tblPrEx>
          <w:shd w:val="clear" w:color="auto" w:fill="auto"/>
          <w:tblLayout w:type="fixed"/>
          <w:tblCellMar>
            <w:top w:w="0" w:type="dxa"/>
            <w:left w:w="0" w:type="dxa"/>
            <w:bottom w:w="0" w:type="dxa"/>
            <w:right w:w="0" w:type="dxa"/>
          </w:tblCellMar>
        </w:tblPrEx>
        <w:trPr>
          <w:trHeight w:val="390" w:hRule="atLeast"/>
          <w:jc w:val="center"/>
        </w:trPr>
        <w:tc>
          <w:tcPr>
            <w:tcW w:w="231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suppressLineNumbers w:val="0"/>
              <w:spacing w:before="0" w:beforeAutospacing="0" w:after="0" w:afterAutospacing="0" w:line="560" w:lineRule="exact"/>
              <w:ind w:left="0" w:right="0"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项目效益</w:t>
            </w:r>
          </w:p>
        </w:tc>
        <w:tc>
          <w:tcPr>
            <w:tcW w:w="1840"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suppressLineNumbers w:val="0"/>
              <w:spacing w:before="0" w:beforeAutospacing="0" w:after="0" w:afterAutospacing="0" w:line="560" w:lineRule="exact"/>
              <w:ind w:left="0" w:right="0"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20</w:t>
            </w:r>
          </w:p>
        </w:tc>
        <w:tc>
          <w:tcPr>
            <w:tcW w:w="2083"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suppressLineNumbers w:val="0"/>
              <w:spacing w:before="0" w:beforeAutospacing="0" w:after="0" w:afterAutospacing="0" w:line="560" w:lineRule="exact"/>
              <w:ind w:left="0" w:right="0"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100%</w:t>
            </w:r>
          </w:p>
        </w:tc>
        <w:tc>
          <w:tcPr>
            <w:tcW w:w="2085"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suppressLineNumbers w:val="0"/>
              <w:spacing w:before="0" w:beforeAutospacing="0" w:after="0" w:afterAutospacing="0" w:line="560" w:lineRule="exact"/>
              <w:ind w:left="0" w:right="0"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20</w:t>
            </w:r>
          </w:p>
        </w:tc>
      </w:tr>
      <w:tr>
        <w:tblPrEx>
          <w:shd w:val="clear" w:color="auto" w:fill="auto"/>
          <w:tblLayout w:type="fixed"/>
          <w:tblCellMar>
            <w:top w:w="0" w:type="dxa"/>
            <w:left w:w="0" w:type="dxa"/>
            <w:bottom w:w="0" w:type="dxa"/>
            <w:right w:w="0" w:type="dxa"/>
          </w:tblCellMar>
        </w:tblPrEx>
        <w:trPr>
          <w:trHeight w:val="432" w:hRule="atLeast"/>
          <w:jc w:val="center"/>
        </w:trPr>
        <w:tc>
          <w:tcPr>
            <w:tcW w:w="231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suppressLineNumbers w:val="0"/>
              <w:spacing w:before="0" w:beforeAutospacing="0" w:after="0" w:afterAutospacing="0" w:line="560" w:lineRule="exact"/>
              <w:ind w:left="0" w:right="0"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合计</w:t>
            </w:r>
          </w:p>
        </w:tc>
        <w:tc>
          <w:tcPr>
            <w:tcW w:w="1840"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suppressLineNumbers w:val="0"/>
              <w:spacing w:before="0" w:beforeAutospacing="0" w:after="0" w:afterAutospacing="0" w:line="560" w:lineRule="exact"/>
              <w:ind w:left="0" w:right="0"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100</w:t>
            </w:r>
          </w:p>
        </w:tc>
        <w:tc>
          <w:tcPr>
            <w:tcW w:w="2083"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suppressLineNumbers w:val="0"/>
              <w:spacing w:before="0" w:beforeAutospacing="0" w:after="0" w:afterAutospacing="0" w:line="560" w:lineRule="exact"/>
              <w:ind w:left="0" w:right="0"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100%</w:t>
            </w:r>
          </w:p>
        </w:tc>
        <w:tc>
          <w:tcPr>
            <w:tcW w:w="2085"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suppressLineNumbers w:val="0"/>
              <w:spacing w:before="0" w:beforeAutospacing="0" w:after="0" w:afterAutospacing="0" w:line="560" w:lineRule="exact"/>
              <w:ind w:left="0" w:right="0"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100</w:t>
            </w:r>
          </w:p>
        </w:tc>
      </w:tr>
    </w:tbl>
    <w:p>
      <w:pPr>
        <w:pStyle w:val="37"/>
        <w:pageBreakBefore w:val="0"/>
        <w:kinsoku/>
        <w:wordWrap/>
        <w:topLinePunct w:val="0"/>
        <w:autoSpaceDE/>
        <w:autoSpaceDN/>
        <w:bidi w:val="0"/>
        <w:spacing w:line="560" w:lineRule="exact"/>
        <w:ind w:left="0" w:leftChars="0" w:firstLine="0" w:firstLineChars="0"/>
        <w:rPr>
          <w:rFonts w:hint="eastAsia" w:ascii="方正仿宋_GBK" w:hAnsi="方正仿宋_GBK" w:eastAsia="方正仿宋_GBK" w:cs="方正仿宋_GBK"/>
          <w:color w:val="auto"/>
          <w:sz w:val="32"/>
          <w:szCs w:val="32"/>
          <w:highlight w:val="none"/>
          <w:shd w:val="clear"/>
          <w:lang w:val="en-US" w:eastAsia="zh-CN"/>
        </w:rPr>
      </w:pPr>
    </w:p>
    <w:bookmarkEnd w:id="11"/>
    <w:p>
      <w:pPr>
        <w:pStyle w:val="3"/>
        <w:keepNext/>
        <w:keepLines/>
        <w:pageBreakBefore w:val="0"/>
        <w:widowControl w:val="0"/>
        <w:kinsoku/>
        <w:wordWrap/>
        <w:overflowPunct/>
        <w:topLinePunct w:val="0"/>
        <w:autoSpaceDE/>
        <w:autoSpaceDN/>
        <w:bidi w:val="0"/>
        <w:adjustRightInd/>
        <w:snapToGrid/>
        <w:spacing w:before="0" w:after="0" w:line="560" w:lineRule="exact"/>
        <w:textAlignment w:val="auto"/>
        <w:rPr>
          <w:rFonts w:hint="eastAsia" w:ascii="方正黑体_GBK" w:hAnsi="方正黑体_GBK" w:eastAsia="方正黑体_GBK" w:cs="方正黑体_GBK"/>
          <w:b w:val="0"/>
          <w:bCs w:val="0"/>
          <w:color w:val="auto"/>
          <w:highlight w:val="none"/>
        </w:rPr>
      </w:pPr>
      <w:bookmarkStart w:id="12" w:name="_Toc68364667"/>
      <w:r>
        <w:rPr>
          <w:rFonts w:hint="eastAsia" w:ascii="方正黑体_GBK" w:hAnsi="方正黑体_GBK" w:eastAsia="方正黑体_GBK" w:cs="方正黑体_GBK"/>
          <w:b w:val="0"/>
          <w:bCs w:val="0"/>
          <w:color w:val="auto"/>
          <w:highlight w:val="none"/>
        </w:rPr>
        <w:t>四、绩效评价指标分析</w:t>
      </w:r>
      <w:bookmarkEnd w:id="12"/>
    </w:p>
    <w:p>
      <w:pPr>
        <w:pStyle w:val="55"/>
        <w:keepNext/>
        <w:keepLines/>
        <w:pageBreakBefore w:val="0"/>
        <w:widowControl w:val="0"/>
        <w:kinsoku/>
        <w:wordWrap/>
        <w:overflowPunct/>
        <w:topLinePunct w:val="0"/>
        <w:autoSpaceDE/>
        <w:autoSpaceDN/>
        <w:bidi w:val="0"/>
        <w:adjustRightInd/>
        <w:snapToGrid/>
        <w:spacing w:line="560" w:lineRule="exact"/>
        <w:ind w:left="560"/>
        <w:textAlignment w:val="auto"/>
        <w:rPr>
          <w:rFonts w:hint="eastAsia" w:ascii="方正楷体_GBK" w:hAnsi="方正楷体_GBK" w:eastAsia="方正楷体_GBK" w:cs="方正楷体_GBK"/>
          <w:b/>
          <w:bCs/>
          <w:color w:val="auto"/>
          <w:sz w:val="32"/>
          <w:highlight w:val="none"/>
        </w:rPr>
      </w:pPr>
      <w:bookmarkStart w:id="13" w:name="_Toc68364668"/>
      <w:r>
        <w:rPr>
          <w:rFonts w:hint="eastAsia" w:ascii="方正楷体_GBK" w:hAnsi="方正楷体_GBK" w:eastAsia="方正楷体_GBK" w:cs="方正楷体_GBK"/>
          <w:b/>
          <w:bCs/>
          <w:color w:val="auto"/>
          <w:sz w:val="32"/>
          <w:highlight w:val="none"/>
        </w:rPr>
        <w:t>（一）项目决策情况</w:t>
      </w:r>
    </w:p>
    <w:p>
      <w:pPr>
        <w:pageBreakBefore w:val="0"/>
        <w:kinsoku/>
        <w:wordWrap/>
        <w:overflowPunct w:val="0"/>
        <w:topLinePunct w:val="0"/>
        <w:autoSpaceDE/>
        <w:autoSpaceDN/>
        <w:bidi w:val="0"/>
        <w:spacing w:line="560" w:lineRule="exact"/>
        <w:ind w:firstLine="640"/>
        <w:contextualSpacing/>
        <w:rPr>
          <w:rFonts w:hint="eastAsia" w:ascii="方正仿宋_GBK" w:hAnsi="方正仿宋_GBK" w:eastAsia="方正仿宋_GBK" w:cs="方正仿宋_GBK"/>
          <w:color w:val="auto"/>
          <w:kern w:val="0"/>
          <w:sz w:val="32"/>
          <w:szCs w:val="32"/>
          <w:highlight w:val="none"/>
          <w:shd w:val="clear"/>
          <w:lang w:val="en-US" w:eastAsia="zh-CN" w:bidi="ar-SA"/>
        </w:rPr>
      </w:pPr>
      <w:r>
        <w:rPr>
          <w:rFonts w:hint="eastAsia" w:ascii="方正仿宋_GBK" w:hAnsi="方正仿宋_GBK" w:eastAsia="方正仿宋_GBK" w:cs="方正仿宋_GBK"/>
          <w:color w:val="auto"/>
          <w:kern w:val="0"/>
          <w:sz w:val="32"/>
          <w:szCs w:val="32"/>
          <w:highlight w:val="none"/>
          <w:shd w:val="clear"/>
          <w:lang w:val="en-US" w:eastAsia="zh-CN" w:bidi="ar-SA"/>
        </w:rPr>
        <w:t>项目决策类指标包括项目立项、绩效目标和资金投入三方面的内容，由6个三级指标构成，权重分为20分，实际得分20分，得分率为100%。</w:t>
      </w:r>
    </w:p>
    <w:p>
      <w:pPr>
        <w:pageBreakBefore w:val="0"/>
        <w:numPr>
          <w:ilvl w:val="0"/>
          <w:numId w:val="0"/>
        </w:numPr>
        <w:pBdr>
          <w:top w:val="none" w:color="000000" w:sz="0" w:space="0"/>
          <w:left w:val="none" w:color="000000" w:sz="0" w:space="0"/>
          <w:bottom w:val="none" w:color="000000" w:sz="0" w:space="31"/>
          <w:right w:val="none" w:color="000000" w:sz="0" w:space="2"/>
        </w:pBdr>
        <w:kinsoku/>
        <w:wordWrap/>
        <w:overflowPunct/>
        <w:topLinePunct w:val="0"/>
        <w:autoSpaceDE/>
        <w:autoSpaceDN w:val="0"/>
        <w:bidi w:val="0"/>
        <w:adjustRightInd w:val="0"/>
        <w:snapToGrid w:val="0"/>
        <w:spacing w:line="560"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highlight w:val="none"/>
          <w:lang w:eastAsia="zh-CN"/>
        </w:rPr>
        <w:t>（</w:t>
      </w:r>
      <w:r>
        <w:rPr>
          <w:rFonts w:hint="eastAsia" w:ascii="方正仿宋_GBK" w:hAnsi="方正仿宋_GBK" w:eastAsia="方正仿宋_GBK" w:cs="方正仿宋_GBK"/>
          <w:b/>
          <w:bCs/>
          <w:color w:val="auto"/>
          <w:sz w:val="32"/>
          <w:szCs w:val="32"/>
          <w:highlight w:val="none"/>
          <w:lang w:val="en-US" w:eastAsia="zh-CN"/>
        </w:rPr>
        <w:t>1</w:t>
      </w:r>
      <w:r>
        <w:rPr>
          <w:rFonts w:hint="eastAsia" w:ascii="方正仿宋_GBK" w:hAnsi="方正仿宋_GBK" w:eastAsia="方正仿宋_GBK" w:cs="方正仿宋_GBK"/>
          <w:b/>
          <w:bCs/>
          <w:color w:val="auto"/>
          <w:sz w:val="32"/>
          <w:szCs w:val="32"/>
          <w:highlight w:val="none"/>
          <w:lang w:eastAsia="zh-CN"/>
        </w:rPr>
        <w:t>）</w:t>
      </w:r>
      <w:r>
        <w:rPr>
          <w:rFonts w:hint="eastAsia" w:ascii="方正仿宋_GBK" w:hAnsi="方正仿宋_GBK" w:eastAsia="方正仿宋_GBK" w:cs="方正仿宋_GBK"/>
          <w:b/>
          <w:bCs/>
          <w:color w:val="auto"/>
          <w:sz w:val="32"/>
          <w:szCs w:val="32"/>
          <w:highlight w:val="none"/>
        </w:rPr>
        <w:t>立项依据充分性：</w:t>
      </w:r>
      <w:r>
        <w:rPr>
          <w:rFonts w:hint="eastAsia" w:ascii="方正仿宋_GBK" w:hAnsi="方正仿宋_GBK" w:eastAsia="方正仿宋_GBK" w:cs="方正仿宋_GBK"/>
          <w:b w:val="0"/>
          <w:bCs w:val="0"/>
          <w:color w:val="auto"/>
          <w:kern w:val="0"/>
          <w:sz w:val="32"/>
          <w:szCs w:val="32"/>
          <w:highlight w:val="none"/>
          <w:lang w:val="en-US" w:eastAsia="zh-CN" w:bidi="ar-SA"/>
        </w:rPr>
        <w:t>结合</w:t>
      </w:r>
      <w:r>
        <w:rPr>
          <w:rFonts w:hint="eastAsia" w:ascii="方正仿宋_GBK" w:hAnsi="方正仿宋_GBK" w:eastAsia="方正仿宋_GBK" w:cs="方正仿宋_GBK"/>
          <w:color w:val="auto"/>
          <w:kern w:val="0"/>
          <w:sz w:val="32"/>
          <w:szCs w:val="32"/>
          <w:shd w:val="clear"/>
          <w:lang w:val="en-US" w:eastAsia="zh-CN" w:bidi="ar-SA"/>
        </w:rPr>
        <w:t>《关于下达2022年中央农业资源及生态保护补助（统筹整合部分）》</w:t>
      </w:r>
      <w:r>
        <w:rPr>
          <w:rFonts w:hint="eastAsia" w:ascii="方正仿宋_GBK" w:hAnsi="方正仿宋_GBK" w:eastAsia="方正仿宋_GBK" w:cs="方正仿宋_GBK"/>
          <w:bCs w:val="0"/>
          <w:color w:val="auto"/>
          <w:kern w:val="0"/>
          <w:sz w:val="32"/>
          <w:szCs w:val="32"/>
          <w:highlight w:val="none"/>
          <w:lang w:val="en-US" w:eastAsia="zh-CN" w:bidi="ar-SA"/>
        </w:rPr>
        <w:t>（</w:t>
      </w:r>
      <w:r>
        <w:rPr>
          <w:rFonts w:hint="eastAsia" w:ascii="方正仿宋_GBK" w:hAnsi="方正仿宋_GBK" w:eastAsia="方正仿宋_GBK" w:cs="方正仿宋_GBK"/>
          <w:color w:val="auto"/>
          <w:kern w:val="0"/>
          <w:sz w:val="32"/>
          <w:szCs w:val="32"/>
          <w:shd w:val="clear"/>
          <w:lang w:val="en-US" w:eastAsia="zh-CN" w:bidi="ar-SA"/>
        </w:rPr>
        <w:t>喀地财农[2022]12号</w:t>
      </w:r>
      <w:r>
        <w:rPr>
          <w:rFonts w:hint="eastAsia" w:ascii="方正仿宋_GBK" w:hAnsi="方正仿宋_GBK" w:eastAsia="方正仿宋_GBK" w:cs="方正仿宋_GBK"/>
          <w:bCs w:val="0"/>
          <w:color w:val="auto"/>
          <w:kern w:val="0"/>
          <w:sz w:val="32"/>
          <w:szCs w:val="32"/>
          <w:highlight w:val="none"/>
          <w:lang w:val="en-US" w:eastAsia="zh-CN" w:bidi="ar-SA"/>
        </w:rPr>
        <w:t>、</w:t>
      </w:r>
      <w:r>
        <w:rPr>
          <w:rFonts w:hint="eastAsia" w:ascii="方正仿宋_GBK" w:hAnsi="方正仿宋_GBK" w:eastAsia="方正仿宋_GBK" w:cs="方正仿宋_GBK"/>
          <w:color w:val="auto"/>
          <w:kern w:val="0"/>
          <w:sz w:val="32"/>
          <w:szCs w:val="32"/>
          <w:shd w:val="clear"/>
          <w:lang w:val="en-US" w:eastAsia="zh-CN" w:bidi="ar-SA"/>
        </w:rPr>
        <w:t>新财农﹝2022﹞35号</w:t>
      </w:r>
      <w:r>
        <w:rPr>
          <w:rFonts w:hint="eastAsia" w:ascii="方正仿宋_GBK" w:hAnsi="方正仿宋_GBK" w:eastAsia="方正仿宋_GBK" w:cs="方正仿宋_GBK"/>
          <w:bCs w:val="0"/>
          <w:color w:val="auto"/>
          <w:kern w:val="0"/>
          <w:sz w:val="32"/>
          <w:szCs w:val="32"/>
          <w:highlight w:val="none"/>
          <w:lang w:val="en-US" w:eastAsia="zh-CN" w:bidi="ar-SA"/>
        </w:rPr>
        <w:t>）要求并组织实施。围绕伽师县年</w:t>
      </w:r>
      <w:r>
        <w:rPr>
          <w:rFonts w:hint="eastAsia" w:ascii="方正仿宋_GBK" w:hAnsi="方正仿宋_GBK" w:eastAsia="方正仿宋_GBK" w:cs="方正仿宋_GBK"/>
          <w:color w:val="auto"/>
          <w:sz w:val="32"/>
          <w:szCs w:val="32"/>
        </w:rPr>
        <w:t>度工作重点和工作计划制定经费预算，</w:t>
      </w:r>
      <w:r>
        <w:rPr>
          <w:rFonts w:hint="eastAsia" w:ascii="方正仿宋_GBK" w:hAnsi="方正仿宋_GBK" w:eastAsia="方正仿宋_GBK" w:cs="方正仿宋_GBK"/>
          <w:bCs w:val="0"/>
          <w:color w:val="auto"/>
          <w:kern w:val="0"/>
          <w:sz w:val="32"/>
          <w:szCs w:val="32"/>
          <w:highlight w:val="none"/>
          <w:lang w:val="en-US" w:eastAsia="zh-CN" w:bidi="ar-SA"/>
        </w:rPr>
        <w:t>项目立项符合</w:t>
      </w:r>
      <w:r>
        <w:rPr>
          <w:rFonts w:hint="eastAsia" w:ascii="方正仿宋_GBK" w:hAnsi="方正仿宋_GBK" w:eastAsia="方正仿宋_GBK" w:cs="方正仿宋_GBK"/>
          <w:color w:val="auto"/>
          <w:sz w:val="32"/>
          <w:szCs w:val="32"/>
          <w:highlight w:val="none"/>
          <w:lang w:val="en-US" w:eastAsia="zh-CN"/>
        </w:rPr>
        <w:t>伽师县农业技术推广中心行业职责范围</w:t>
      </w:r>
      <w:r>
        <w:rPr>
          <w:rFonts w:hint="eastAsia" w:ascii="方正仿宋_GBK" w:hAnsi="方正仿宋_GBK" w:eastAsia="方正仿宋_GBK" w:cs="方正仿宋_GBK"/>
          <w:bCs w:val="0"/>
          <w:color w:val="auto"/>
          <w:kern w:val="0"/>
          <w:sz w:val="32"/>
          <w:szCs w:val="32"/>
          <w:highlight w:val="none"/>
          <w:lang w:val="en-US" w:eastAsia="zh-CN" w:bidi="ar-SA"/>
        </w:rPr>
        <w:t>，属于部门履职所需，项目属于公共财政支持范围，符合中央、地方事权支出责任，项目与相关部门同类项目或部门内部相关项目不重复，</w:t>
      </w:r>
      <w:r>
        <w:rPr>
          <w:rFonts w:hint="eastAsia" w:ascii="方正仿宋_GBK" w:hAnsi="方正仿宋_GBK" w:eastAsia="方正仿宋_GBK" w:cs="方正仿宋_GBK"/>
          <w:color w:val="auto"/>
          <w:sz w:val="32"/>
          <w:szCs w:val="32"/>
        </w:rPr>
        <w:t>根据评分标准，该指标不扣分，得3分。</w:t>
      </w:r>
    </w:p>
    <w:p>
      <w:pPr>
        <w:pageBreakBefore w:val="0"/>
        <w:numPr>
          <w:ilvl w:val="0"/>
          <w:numId w:val="0"/>
        </w:numPr>
        <w:pBdr>
          <w:top w:val="none" w:color="000000" w:sz="0" w:space="0"/>
          <w:left w:val="none" w:color="000000" w:sz="0" w:space="0"/>
          <w:bottom w:val="none" w:color="000000" w:sz="0" w:space="31"/>
          <w:right w:val="none" w:color="000000" w:sz="0" w:space="2"/>
        </w:pBdr>
        <w:kinsoku/>
        <w:wordWrap/>
        <w:overflowPunct/>
        <w:topLinePunct w:val="0"/>
        <w:autoSpaceDE/>
        <w:autoSpaceDN w:val="0"/>
        <w:bidi w:val="0"/>
        <w:adjustRightInd w:val="0"/>
        <w:snapToGrid w:val="0"/>
        <w:spacing w:line="560" w:lineRule="exact"/>
        <w:ind w:firstLine="640" w:firstLineChars="200"/>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lang w:val="en-US" w:eastAsia="zh-CN"/>
        </w:rPr>
        <w:t>（2）立项程序规范性：</w:t>
      </w:r>
      <w:r>
        <w:rPr>
          <w:rFonts w:hint="eastAsia" w:ascii="方正仿宋_GBK" w:hAnsi="方正仿宋_GBK" w:eastAsia="方正仿宋_GBK" w:cs="方正仿宋_GBK"/>
          <w:color w:val="auto"/>
          <w:kern w:val="0"/>
          <w:sz w:val="32"/>
          <w:szCs w:val="32"/>
          <w:shd w:val="clear"/>
          <w:lang w:val="en-US" w:eastAsia="zh-CN" w:bidi="ar-SA"/>
        </w:rPr>
        <w:t>根据决策依据编制工作计划和经费预算，经过与部门县政府分管领导进行沟通、筛选确定经费预算计划，上党委会研究确定最终预算方案。项目审批文件、材料符合相关要求，根据评分标准，该指标不扣分，得2分。</w:t>
      </w:r>
    </w:p>
    <w:p>
      <w:pPr>
        <w:pageBreakBefore w:val="0"/>
        <w:numPr>
          <w:ilvl w:val="0"/>
          <w:numId w:val="0"/>
        </w:numPr>
        <w:pBdr>
          <w:top w:val="none" w:color="000000" w:sz="0" w:space="0"/>
          <w:left w:val="none" w:color="000000" w:sz="0" w:space="0"/>
          <w:bottom w:val="none" w:color="000000" w:sz="0" w:space="31"/>
          <w:right w:val="none" w:color="000000" w:sz="0" w:space="2"/>
        </w:pBdr>
        <w:kinsoku/>
        <w:wordWrap/>
        <w:overflowPunct/>
        <w:topLinePunct w:val="0"/>
        <w:autoSpaceDE/>
        <w:autoSpaceDN w:val="0"/>
        <w:bidi w:val="0"/>
        <w:adjustRightInd w:val="0"/>
        <w:snapToGrid w:val="0"/>
        <w:spacing w:line="560" w:lineRule="exact"/>
        <w:ind w:firstLine="640" w:firstLineChars="200"/>
        <w:rPr>
          <w:rFonts w:hint="eastAsia" w:ascii="方正仿宋_GBK" w:hAnsi="方正仿宋_GBK" w:eastAsia="方正仿宋_GBK" w:cs="方正仿宋_GBK"/>
          <w:color w:val="auto"/>
          <w:kern w:val="0"/>
          <w:sz w:val="32"/>
          <w:szCs w:val="32"/>
          <w:shd w:val="clear"/>
          <w:lang w:val="en-US" w:eastAsia="zh-CN" w:bidi="ar-SA"/>
        </w:rPr>
      </w:pPr>
      <w:r>
        <w:rPr>
          <w:rFonts w:hint="eastAsia" w:ascii="方正仿宋_GBK" w:hAnsi="方正仿宋_GBK" w:eastAsia="方正仿宋_GBK" w:cs="方正仿宋_GBK"/>
          <w:b/>
          <w:bCs/>
          <w:color w:val="auto"/>
          <w:sz w:val="32"/>
          <w:szCs w:val="32"/>
        </w:rPr>
        <w:t>（3）绩效目标合理性：</w:t>
      </w:r>
      <w:r>
        <w:rPr>
          <w:rFonts w:hint="eastAsia" w:ascii="方正仿宋_GBK" w:hAnsi="方正仿宋_GBK" w:eastAsia="方正仿宋_GBK" w:cs="方正仿宋_GBK"/>
          <w:bCs w:val="0"/>
          <w:color w:val="auto"/>
          <w:kern w:val="0"/>
          <w:sz w:val="32"/>
          <w:szCs w:val="32"/>
          <w:highlight w:val="none"/>
          <w:lang w:val="en-US" w:eastAsia="zh-CN" w:bidi="ar-SA"/>
        </w:rPr>
        <w:t>项目严格按照《2022年自治区分行业分领域绩效指标体系》、</w:t>
      </w:r>
      <w:r>
        <w:rPr>
          <w:rFonts w:hint="eastAsia" w:ascii="方正仿宋_GBK" w:hAnsi="方正仿宋_GBK" w:eastAsia="方正仿宋_GBK" w:cs="方正仿宋_GBK"/>
          <w:color w:val="auto"/>
          <w:kern w:val="0"/>
          <w:sz w:val="32"/>
          <w:szCs w:val="32"/>
          <w:shd w:val="clear"/>
          <w:lang w:val="en-US" w:eastAsia="zh-CN" w:bidi="ar-SA"/>
        </w:rPr>
        <w:t>《伽师县第三次全国土壤普查工作项目实施方案》，</w:t>
      </w:r>
      <w:r>
        <w:rPr>
          <w:rFonts w:hint="eastAsia" w:ascii="方正仿宋_GBK" w:hAnsi="方正仿宋_GBK" w:eastAsia="方正仿宋_GBK" w:cs="方正仿宋_GBK"/>
          <w:bCs w:val="0"/>
          <w:color w:val="auto"/>
          <w:kern w:val="0"/>
          <w:sz w:val="32"/>
          <w:szCs w:val="32"/>
          <w:highlight w:val="none"/>
          <w:lang w:val="en-US" w:eastAsia="zh-CN" w:bidi="ar-SA"/>
        </w:rPr>
        <w:t>设置了《项目支出绩效目标表》，</w:t>
      </w:r>
      <w:r>
        <w:rPr>
          <w:rFonts w:hint="eastAsia" w:ascii="方正仿宋_GBK" w:hAnsi="方正仿宋_GBK" w:eastAsia="方正仿宋_GBK" w:cs="方正仿宋_GBK"/>
          <w:color w:val="auto"/>
          <w:kern w:val="0"/>
          <w:sz w:val="32"/>
          <w:szCs w:val="32"/>
          <w:shd w:val="clear"/>
          <w:lang w:val="en-US" w:eastAsia="zh-CN" w:bidi="ar-SA"/>
        </w:rPr>
        <w:t>明确了总体思路及目标、并对任务进行了详细分解，对目标进行了细化，本项目已按照绩效目标完成数量指标、质量指标、时效指标、成本指标，效益指标，满意度指标，本项目绩效目标设置合理，本项目绩效目标设置合理，预算确定金额、预算批复的项目投资额都为119.88万元，故绩效目标金额与预算确定的项目投资额或资金量相匹配，根据评分标准，该指标不扣分，得3分。</w:t>
      </w:r>
    </w:p>
    <w:p>
      <w:pPr>
        <w:pageBreakBefore w:val="0"/>
        <w:kinsoku/>
        <w:wordWrap/>
        <w:topLinePunct w:val="0"/>
        <w:autoSpaceDE/>
        <w:autoSpaceDN/>
        <w:bidi w:val="0"/>
        <w:spacing w:line="560" w:lineRule="exact"/>
        <w:ind w:firstLine="643"/>
        <w:rPr>
          <w:rFonts w:hint="eastAsia" w:ascii="方正仿宋_GBK" w:hAnsi="方正仿宋_GBK" w:eastAsia="方正仿宋_GBK" w:cs="方正仿宋_GBK"/>
          <w:color w:val="auto"/>
          <w:kern w:val="0"/>
          <w:sz w:val="32"/>
          <w:szCs w:val="32"/>
          <w:shd w:val="clear"/>
          <w:lang w:val="en-US" w:eastAsia="zh-CN" w:bidi="ar-SA"/>
        </w:rPr>
      </w:pPr>
      <w:r>
        <w:rPr>
          <w:rFonts w:hint="eastAsia" w:ascii="方正仿宋_GBK" w:hAnsi="方正仿宋_GBK" w:eastAsia="方正仿宋_GBK" w:cs="方正仿宋_GBK"/>
          <w:b/>
          <w:bCs/>
          <w:color w:val="auto"/>
          <w:sz w:val="32"/>
          <w:szCs w:val="32"/>
        </w:rPr>
        <w:t>（4）绩效指标明确性：</w:t>
      </w:r>
      <w:r>
        <w:rPr>
          <w:rFonts w:hint="eastAsia" w:ascii="方正仿宋_GBK" w:hAnsi="方正仿宋_GBK" w:eastAsia="方正仿宋_GBK" w:cs="方正仿宋_GBK"/>
          <w:color w:val="auto"/>
          <w:kern w:val="0"/>
          <w:sz w:val="32"/>
          <w:szCs w:val="32"/>
          <w:shd w:val="clear"/>
          <w:lang w:val="en-US" w:eastAsia="zh-CN" w:bidi="ar-SA"/>
        </w:rPr>
        <w:t>将项目绩效目标细化分解为具体的绩效指标，本项目所设置绩效指标明确，与项目目标任务数或计划数相对应得，根据评分标准，该指标不扣分，得2分。</w:t>
      </w:r>
    </w:p>
    <w:p>
      <w:pPr>
        <w:pageBreakBefore w:val="0"/>
        <w:kinsoku/>
        <w:wordWrap/>
        <w:topLinePunct w:val="0"/>
        <w:autoSpaceDE/>
        <w:autoSpaceDN/>
        <w:bidi w:val="0"/>
        <w:spacing w:line="560" w:lineRule="exact"/>
        <w:ind w:firstLine="643"/>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b/>
          <w:bCs/>
          <w:color w:val="auto"/>
          <w:sz w:val="32"/>
          <w:szCs w:val="32"/>
        </w:rPr>
        <w:t>（5）预算编制科学性：</w:t>
      </w:r>
      <w:r>
        <w:rPr>
          <w:rFonts w:hint="eastAsia" w:ascii="方正仿宋_GBK" w:hAnsi="方正仿宋_GBK" w:eastAsia="方正仿宋_GBK" w:cs="方正仿宋_GBK"/>
          <w:color w:val="auto"/>
          <w:sz w:val="32"/>
          <w:szCs w:val="32"/>
          <w:lang w:eastAsia="zh-CN"/>
        </w:rPr>
        <w:t>预算编制经过科学论证，内容与项目内容匹配，预算确定的项目投资额与工作任务相匹配，</w:t>
      </w:r>
      <w:r>
        <w:rPr>
          <w:rFonts w:hint="eastAsia" w:ascii="方正仿宋_GBK" w:hAnsi="方正仿宋_GBK" w:eastAsia="方正仿宋_GBK" w:cs="方正仿宋_GBK"/>
          <w:bCs w:val="0"/>
          <w:color w:val="auto"/>
          <w:kern w:val="0"/>
          <w:sz w:val="32"/>
          <w:szCs w:val="32"/>
          <w:highlight w:val="none"/>
          <w:lang w:val="en-US" w:eastAsia="zh-CN" w:bidi="ar-SA"/>
        </w:rPr>
        <w:t>预算额度测算依据充分，严格按照标准编制</w:t>
      </w:r>
      <w:r>
        <w:rPr>
          <w:rFonts w:hint="eastAsia" w:ascii="方正仿宋_GBK" w:hAnsi="方正仿宋_GBK" w:eastAsia="方正仿宋_GBK" w:cs="方正仿宋_GBK"/>
          <w:color w:val="auto"/>
          <w:sz w:val="32"/>
          <w:szCs w:val="32"/>
          <w:lang w:eastAsia="zh-CN"/>
        </w:rPr>
        <w:t>，根据评分标准，该指标不扣分，得5分。</w:t>
      </w:r>
    </w:p>
    <w:p>
      <w:pPr>
        <w:pageBreakBefore w:val="0"/>
        <w:kinsoku/>
        <w:wordWrap/>
        <w:topLinePunct w:val="0"/>
        <w:autoSpaceDE/>
        <w:autoSpaceDN/>
        <w:bidi w:val="0"/>
        <w:spacing w:line="560" w:lineRule="exact"/>
        <w:ind w:firstLine="643"/>
        <w:rPr>
          <w:rFonts w:hint="eastAsia" w:ascii="方正仿宋_GBK" w:hAnsi="方正仿宋_GBK" w:eastAsia="方正仿宋_GBK" w:cs="方正仿宋_GBK"/>
          <w:color w:val="auto"/>
          <w:kern w:val="0"/>
          <w:sz w:val="32"/>
          <w:szCs w:val="32"/>
          <w:shd w:val="clear"/>
          <w:lang w:val="en-US" w:eastAsia="zh-CN" w:bidi="ar-SA"/>
        </w:rPr>
      </w:pPr>
      <w:r>
        <w:rPr>
          <w:rFonts w:hint="eastAsia" w:ascii="方正仿宋_GBK" w:hAnsi="方正仿宋_GBK" w:eastAsia="方正仿宋_GBK" w:cs="方正仿宋_GBK"/>
          <w:b/>
          <w:bCs/>
          <w:color w:val="auto"/>
          <w:sz w:val="32"/>
          <w:szCs w:val="32"/>
        </w:rPr>
        <w:t>（6）资金分配合理性：</w:t>
      </w:r>
      <w:r>
        <w:rPr>
          <w:rFonts w:hint="eastAsia" w:ascii="方正仿宋_GBK" w:hAnsi="方正仿宋_GBK" w:eastAsia="方正仿宋_GBK" w:cs="方正仿宋_GBK"/>
          <w:color w:val="auto"/>
          <w:kern w:val="0"/>
          <w:sz w:val="32"/>
          <w:szCs w:val="32"/>
          <w:shd w:val="clear"/>
          <w:lang w:val="en-US" w:eastAsia="zh-CN" w:bidi="ar-SA"/>
        </w:rPr>
        <w:t>本项目以《关于下达2022年中央农业资源及生态保护补助（统筹整合部分）》新财农﹝2022﹞35号号和喀地财农[2022]12号文件为依据进行资金分配，资金分配与实际相适应，</w:t>
      </w:r>
      <w:r>
        <w:rPr>
          <w:rFonts w:hint="eastAsia" w:ascii="方正仿宋_GBK" w:hAnsi="方正仿宋_GBK" w:eastAsia="方正仿宋_GBK" w:cs="方正仿宋_GBK"/>
          <w:color w:val="auto"/>
          <w:kern w:val="0"/>
          <w:sz w:val="32"/>
          <w:szCs w:val="32"/>
          <w:shd w:val="clear"/>
          <w:lang w:val="en-US" w:eastAsia="zh-Hans" w:bidi="ar-SA"/>
        </w:rPr>
        <w:t>资金分配额度合理</w:t>
      </w:r>
      <w:r>
        <w:rPr>
          <w:rFonts w:hint="eastAsia" w:ascii="方正仿宋_GBK" w:hAnsi="方正仿宋_GBK" w:eastAsia="方正仿宋_GBK" w:cs="方正仿宋_GBK"/>
          <w:color w:val="auto"/>
          <w:kern w:val="0"/>
          <w:sz w:val="32"/>
          <w:szCs w:val="32"/>
          <w:shd w:val="clear"/>
          <w:lang w:val="en-US" w:eastAsia="zh-CN" w:bidi="ar-SA"/>
        </w:rPr>
        <w:t>，根据评分标准，该指标不扣分，得5分。</w:t>
      </w:r>
    </w:p>
    <w:p>
      <w:pPr>
        <w:pStyle w:val="55"/>
        <w:keepNext/>
        <w:keepLines/>
        <w:pageBreakBefore w:val="0"/>
        <w:widowControl w:val="0"/>
        <w:kinsoku/>
        <w:wordWrap/>
        <w:overflowPunct/>
        <w:topLinePunct w:val="0"/>
        <w:autoSpaceDE/>
        <w:autoSpaceDN/>
        <w:bidi w:val="0"/>
        <w:adjustRightInd/>
        <w:snapToGrid/>
        <w:spacing w:line="560" w:lineRule="exact"/>
        <w:ind w:left="560"/>
        <w:textAlignment w:val="auto"/>
        <w:rPr>
          <w:rFonts w:hint="eastAsia" w:ascii="方正楷体_GBK" w:hAnsi="方正楷体_GBK" w:eastAsia="方正楷体_GBK" w:cs="方正楷体_GBK"/>
          <w:b/>
          <w:bCs/>
          <w:color w:val="auto"/>
          <w:sz w:val="32"/>
        </w:rPr>
      </w:pPr>
      <w:r>
        <w:rPr>
          <w:rFonts w:hint="eastAsia" w:ascii="方正楷体_GBK" w:hAnsi="方正楷体_GBK" w:eastAsia="方正楷体_GBK" w:cs="方正楷体_GBK"/>
          <w:b/>
          <w:bCs/>
          <w:color w:val="auto"/>
          <w:sz w:val="32"/>
        </w:rPr>
        <w:t>（二）项目过程情况</w:t>
      </w:r>
    </w:p>
    <w:p>
      <w:pPr>
        <w:pageBreakBefore w:val="0"/>
        <w:kinsoku/>
        <w:wordWrap/>
        <w:topLinePunct w:val="0"/>
        <w:autoSpaceDE/>
        <w:autoSpaceDN/>
        <w:bidi w:val="0"/>
        <w:spacing w:line="560" w:lineRule="exact"/>
        <w:ind w:firstLine="643"/>
        <w:rPr>
          <w:rFonts w:hint="eastAsia" w:ascii="方正仿宋_GBK" w:hAnsi="方正仿宋_GBK" w:eastAsia="方正仿宋_GBK" w:cs="方正仿宋_GBK"/>
          <w:color w:val="auto"/>
          <w:kern w:val="0"/>
          <w:sz w:val="32"/>
          <w:szCs w:val="32"/>
          <w:shd w:val="clear"/>
          <w:lang w:val="en-US" w:eastAsia="zh-CN" w:bidi="ar-SA"/>
        </w:rPr>
      </w:pPr>
      <w:r>
        <w:rPr>
          <w:rFonts w:hint="eastAsia" w:ascii="方正仿宋_GBK" w:hAnsi="方正仿宋_GBK" w:eastAsia="方正仿宋_GBK" w:cs="方正仿宋_GBK"/>
          <w:color w:val="auto"/>
          <w:kern w:val="0"/>
          <w:sz w:val="32"/>
          <w:szCs w:val="32"/>
          <w:shd w:val="clear"/>
          <w:lang w:val="en-US" w:eastAsia="zh-CN" w:bidi="ar-SA"/>
        </w:rPr>
        <w:t>项目过程类指标包括资金管理和组织实施两方面的内容，由5个三级指标构成，权重分为20分，实际得分20分，得分率为100%。</w:t>
      </w:r>
    </w:p>
    <w:p>
      <w:pPr>
        <w:pageBreakBefore w:val="0"/>
        <w:kinsoku/>
        <w:wordWrap/>
        <w:topLinePunct w:val="0"/>
        <w:autoSpaceDE/>
        <w:autoSpaceDN/>
        <w:bidi w:val="0"/>
        <w:spacing w:line="560" w:lineRule="exact"/>
        <w:ind w:firstLine="643"/>
        <w:rPr>
          <w:rFonts w:hint="eastAsia" w:ascii="方正仿宋_GBK" w:hAnsi="方正仿宋_GBK" w:eastAsia="方正仿宋_GBK" w:cs="方正仿宋_GBK"/>
          <w:color w:val="auto"/>
          <w:kern w:val="0"/>
          <w:sz w:val="32"/>
          <w:szCs w:val="32"/>
          <w:shd w:val="clear"/>
          <w:lang w:val="en-US" w:eastAsia="zh-CN" w:bidi="ar-SA"/>
        </w:rPr>
      </w:pPr>
      <w:r>
        <w:rPr>
          <w:rFonts w:hint="eastAsia" w:ascii="方正仿宋_GBK" w:hAnsi="方正仿宋_GBK" w:eastAsia="方正仿宋_GBK" w:cs="方正仿宋_GBK"/>
          <w:b/>
          <w:bCs/>
          <w:color w:val="auto"/>
          <w:sz w:val="32"/>
          <w:szCs w:val="32"/>
        </w:rPr>
        <w:t>（1）资金到位率</w:t>
      </w:r>
      <w:r>
        <w:rPr>
          <w:rFonts w:hint="eastAsia" w:ascii="Times New Roman" w:hAnsi="Times New Roman" w:eastAsia="方正仿宋_GBK" w:cs="方正仿宋_GBK"/>
          <w:b/>
          <w:bCs/>
          <w:color w:val="auto"/>
          <w:sz w:val="32"/>
          <w:szCs w:val="32"/>
        </w:rPr>
        <w:t>：</w:t>
      </w:r>
      <w:r>
        <w:rPr>
          <w:rFonts w:hint="eastAsia" w:ascii="方正仿宋_GBK" w:hAnsi="方正仿宋_GBK" w:eastAsia="方正仿宋_GBK" w:cs="方正仿宋_GBK"/>
          <w:bCs w:val="0"/>
          <w:color w:val="auto"/>
          <w:kern w:val="0"/>
          <w:sz w:val="32"/>
          <w:szCs w:val="32"/>
          <w:highlight w:val="none"/>
          <w:lang w:val="en-US" w:eastAsia="zh-CN" w:bidi="ar-SA"/>
        </w:rPr>
        <w:t>经查证，</w:t>
      </w:r>
      <w:r>
        <w:rPr>
          <w:rFonts w:hint="eastAsia" w:ascii="方正仿宋_GBK" w:hAnsi="方正仿宋_GBK" w:eastAsia="方正仿宋_GBK" w:cs="方正仿宋_GBK"/>
          <w:color w:val="auto"/>
          <w:kern w:val="0"/>
          <w:sz w:val="32"/>
          <w:szCs w:val="32"/>
          <w:shd w:val="clear"/>
          <w:lang w:val="en-US" w:eastAsia="zh-CN" w:bidi="ar-SA"/>
        </w:rPr>
        <w:t>《关于下达2022年中央农业资源及生态保护补助（统筹整合部分）》本项目预算安排总额为119.88万元，实际到位119.88万元，资金到位率100%。</w:t>
      </w:r>
      <w:r>
        <w:rPr>
          <w:rFonts w:hint="eastAsia" w:ascii="方正仿宋_GBK" w:hAnsi="方正仿宋_GBK" w:eastAsia="方正仿宋_GBK" w:cs="方正仿宋_GBK"/>
          <w:bCs w:val="0"/>
          <w:color w:val="auto"/>
          <w:kern w:val="0"/>
          <w:sz w:val="32"/>
          <w:szCs w:val="32"/>
          <w:highlight w:val="none"/>
          <w:lang w:val="en-US" w:eastAsia="zh-CN" w:bidi="ar-SA"/>
        </w:rPr>
        <w:t>资金到位率=（实际到位资金/预算资金）×100%=（</w:t>
      </w:r>
      <w:r>
        <w:rPr>
          <w:rFonts w:hint="eastAsia" w:ascii="方正仿宋_GBK" w:hAnsi="方正仿宋_GBK" w:eastAsia="方正仿宋_GBK" w:cs="方正仿宋_GBK"/>
          <w:color w:val="auto"/>
          <w:kern w:val="0"/>
          <w:sz w:val="32"/>
          <w:szCs w:val="32"/>
          <w:shd w:val="clear"/>
          <w:lang w:val="en-US" w:eastAsia="zh-CN" w:bidi="ar-SA"/>
        </w:rPr>
        <w:t>119.88</w:t>
      </w:r>
      <w:r>
        <w:rPr>
          <w:rFonts w:hint="eastAsia" w:ascii="方正仿宋_GBK" w:hAnsi="方正仿宋_GBK" w:eastAsia="方正仿宋_GBK" w:cs="方正仿宋_GBK"/>
          <w:bCs w:val="0"/>
          <w:color w:val="auto"/>
          <w:kern w:val="0"/>
          <w:sz w:val="32"/>
          <w:szCs w:val="32"/>
          <w:highlight w:val="none"/>
          <w:lang w:val="en-US" w:eastAsia="zh-CN" w:bidi="ar-SA"/>
        </w:rPr>
        <w:t>万元/</w:t>
      </w:r>
      <w:r>
        <w:rPr>
          <w:rFonts w:hint="eastAsia" w:ascii="方正仿宋_GBK" w:hAnsi="方正仿宋_GBK" w:eastAsia="方正仿宋_GBK" w:cs="方正仿宋_GBK"/>
          <w:color w:val="auto"/>
          <w:kern w:val="0"/>
          <w:sz w:val="32"/>
          <w:szCs w:val="32"/>
          <w:shd w:val="clear"/>
          <w:lang w:val="en-US" w:eastAsia="zh-CN" w:bidi="ar-SA"/>
        </w:rPr>
        <w:t>119.88</w:t>
      </w:r>
      <w:r>
        <w:rPr>
          <w:rFonts w:hint="eastAsia" w:ascii="方正仿宋_GBK" w:hAnsi="方正仿宋_GBK" w:eastAsia="方正仿宋_GBK" w:cs="方正仿宋_GBK"/>
          <w:bCs w:val="0"/>
          <w:color w:val="auto"/>
          <w:kern w:val="0"/>
          <w:sz w:val="32"/>
          <w:szCs w:val="32"/>
          <w:highlight w:val="none"/>
          <w:lang w:val="en-US" w:eastAsia="zh-CN" w:bidi="ar-SA"/>
        </w:rPr>
        <w:t>万元）×100%=100%</w:t>
      </w:r>
      <w:r>
        <w:rPr>
          <w:rFonts w:hint="eastAsia" w:ascii="方正仿宋_GBK" w:hAnsi="方正仿宋_GBK" w:eastAsia="方正仿宋_GBK" w:cs="方正仿宋_GBK"/>
          <w:color w:val="auto"/>
          <w:kern w:val="0"/>
          <w:sz w:val="32"/>
          <w:szCs w:val="32"/>
          <w:highlight w:val="none"/>
          <w:lang w:val="en-US" w:eastAsia="zh-CN" w:bidi="ar-SA"/>
        </w:rPr>
        <w:t>。</w:t>
      </w:r>
      <w:r>
        <w:rPr>
          <w:rFonts w:hint="eastAsia" w:ascii="方正仿宋_GBK" w:hAnsi="方正仿宋_GBK" w:eastAsia="方正仿宋_GBK" w:cs="方正仿宋_GBK"/>
          <w:color w:val="auto"/>
          <w:kern w:val="0"/>
          <w:sz w:val="32"/>
          <w:szCs w:val="32"/>
          <w:shd w:val="clear"/>
          <w:lang w:val="en-US" w:eastAsia="zh-CN" w:bidi="ar-SA"/>
        </w:rPr>
        <w:t>财政资金足额拨付到位，能够及时足额按照合同约定将专项资金拨付给联合体单位，根据评分标准，该指标不扣分，得5分。</w:t>
      </w:r>
    </w:p>
    <w:p>
      <w:pPr>
        <w:pageBreakBefore w:val="0"/>
        <w:kinsoku/>
        <w:wordWrap/>
        <w:topLinePunct w:val="0"/>
        <w:autoSpaceDE/>
        <w:autoSpaceDN/>
        <w:bidi w:val="0"/>
        <w:spacing w:line="560" w:lineRule="exact"/>
        <w:ind w:firstLine="643"/>
        <w:rPr>
          <w:rFonts w:hint="eastAsia" w:ascii="方正仿宋_GBK" w:hAnsi="方正仿宋_GBK" w:eastAsia="方正仿宋_GBK" w:cs="方正仿宋_GBK"/>
          <w:color w:val="auto"/>
          <w:kern w:val="0"/>
          <w:sz w:val="32"/>
          <w:szCs w:val="32"/>
          <w:shd w:val="clear"/>
          <w:lang w:val="en-US" w:eastAsia="zh-CN" w:bidi="ar-SA"/>
        </w:rPr>
      </w:pPr>
      <w:r>
        <w:rPr>
          <w:rFonts w:hint="eastAsia" w:ascii="方正仿宋_GBK" w:hAnsi="方正仿宋_GBK" w:eastAsia="方正仿宋_GBK" w:cs="方正仿宋_GBK"/>
          <w:b/>
          <w:bCs/>
          <w:color w:val="auto"/>
          <w:sz w:val="32"/>
          <w:szCs w:val="32"/>
        </w:rPr>
        <w:t>（2）预算执行率：</w:t>
      </w:r>
      <w:r>
        <w:rPr>
          <w:rFonts w:hint="eastAsia" w:ascii="方正仿宋_GBK" w:hAnsi="方正仿宋_GBK" w:eastAsia="方正仿宋_GBK" w:cs="方正仿宋_GBK"/>
          <w:bCs w:val="0"/>
          <w:color w:val="auto"/>
          <w:kern w:val="0"/>
          <w:sz w:val="32"/>
          <w:szCs w:val="32"/>
          <w:highlight w:val="none"/>
          <w:lang w:val="en-US" w:eastAsia="zh-CN" w:bidi="ar-SA"/>
        </w:rPr>
        <w:t>经查证资金支付台账、验收单、合同等资料，该项目实际到位资金为</w:t>
      </w:r>
      <w:r>
        <w:rPr>
          <w:rFonts w:hint="eastAsia" w:ascii="方正仿宋_GBK" w:hAnsi="方正仿宋_GBK" w:eastAsia="方正仿宋_GBK" w:cs="方正仿宋_GBK"/>
          <w:color w:val="auto"/>
          <w:kern w:val="0"/>
          <w:sz w:val="32"/>
          <w:szCs w:val="32"/>
          <w:shd w:val="clear"/>
          <w:lang w:val="en-US" w:eastAsia="zh-CN" w:bidi="ar-SA"/>
        </w:rPr>
        <w:t>119.88万元，实际支出119.88万元，资金执行率100%。</w:t>
      </w:r>
      <w:r>
        <w:rPr>
          <w:rFonts w:hint="eastAsia" w:ascii="方正仿宋_GBK" w:hAnsi="方正仿宋_GBK" w:eastAsia="方正仿宋_GBK" w:cs="方正仿宋_GBK"/>
          <w:bCs w:val="0"/>
          <w:color w:val="auto"/>
          <w:kern w:val="0"/>
          <w:sz w:val="32"/>
          <w:szCs w:val="32"/>
          <w:highlight w:val="none"/>
          <w:lang w:val="en-US" w:eastAsia="zh-CN" w:bidi="ar-SA"/>
        </w:rPr>
        <w:t>预算执行率=（实际支出资金/实际到位资金）×100%=（</w:t>
      </w:r>
      <w:r>
        <w:rPr>
          <w:rFonts w:hint="eastAsia" w:ascii="方正仿宋_GBK" w:hAnsi="方正仿宋_GBK" w:eastAsia="方正仿宋_GBK" w:cs="方正仿宋_GBK"/>
          <w:color w:val="auto"/>
          <w:kern w:val="0"/>
          <w:sz w:val="32"/>
          <w:szCs w:val="32"/>
          <w:shd w:val="clear"/>
          <w:lang w:val="en-US" w:eastAsia="zh-CN" w:bidi="ar-SA"/>
        </w:rPr>
        <w:t>119.88</w:t>
      </w:r>
      <w:r>
        <w:rPr>
          <w:rFonts w:hint="eastAsia" w:ascii="方正仿宋_GBK" w:hAnsi="方正仿宋_GBK" w:eastAsia="方正仿宋_GBK" w:cs="方正仿宋_GBK"/>
          <w:bCs w:val="0"/>
          <w:color w:val="auto"/>
          <w:kern w:val="0"/>
          <w:sz w:val="32"/>
          <w:szCs w:val="32"/>
          <w:highlight w:val="none"/>
          <w:lang w:val="en-US" w:eastAsia="zh-CN" w:bidi="ar-SA"/>
        </w:rPr>
        <w:t>万元/</w:t>
      </w:r>
      <w:r>
        <w:rPr>
          <w:rFonts w:hint="eastAsia" w:ascii="方正仿宋_GBK" w:hAnsi="方正仿宋_GBK" w:eastAsia="方正仿宋_GBK" w:cs="方正仿宋_GBK"/>
          <w:color w:val="auto"/>
          <w:kern w:val="0"/>
          <w:sz w:val="32"/>
          <w:szCs w:val="32"/>
          <w:shd w:val="clear"/>
          <w:lang w:val="en-US" w:eastAsia="zh-CN" w:bidi="ar-SA"/>
        </w:rPr>
        <w:t>119.88</w:t>
      </w:r>
      <w:r>
        <w:rPr>
          <w:rFonts w:hint="eastAsia" w:ascii="方正仿宋_GBK" w:hAnsi="方正仿宋_GBK" w:eastAsia="方正仿宋_GBK" w:cs="方正仿宋_GBK"/>
          <w:bCs w:val="0"/>
          <w:color w:val="auto"/>
          <w:kern w:val="0"/>
          <w:sz w:val="32"/>
          <w:szCs w:val="32"/>
          <w:highlight w:val="none"/>
          <w:lang w:val="en-US" w:eastAsia="zh-CN" w:bidi="ar-SA"/>
        </w:rPr>
        <w:t>万元）×100%=100%。</w:t>
      </w:r>
      <w:r>
        <w:rPr>
          <w:rFonts w:hint="eastAsia" w:ascii="方正仿宋_GBK" w:hAnsi="方正仿宋_GBK" w:eastAsia="方正仿宋_GBK" w:cs="方正仿宋_GBK"/>
          <w:color w:val="auto"/>
          <w:kern w:val="0"/>
          <w:sz w:val="32"/>
          <w:szCs w:val="32"/>
          <w:shd w:val="clear"/>
          <w:lang w:val="en-US" w:eastAsia="zh-CN" w:bidi="ar-SA"/>
        </w:rPr>
        <w:t>预算编制较为详细，项目资金支出总体能够按照预算执行，根据评分标准，该指标不扣分，得5分。</w:t>
      </w:r>
    </w:p>
    <w:p>
      <w:pPr>
        <w:pageBreakBefore w:val="0"/>
        <w:kinsoku/>
        <w:wordWrap/>
        <w:topLinePunct w:val="0"/>
        <w:autoSpaceDE/>
        <w:autoSpaceDN/>
        <w:bidi w:val="0"/>
        <w:spacing w:line="560" w:lineRule="exact"/>
        <w:ind w:firstLine="643"/>
        <w:rPr>
          <w:rFonts w:hint="eastAsia" w:ascii="方正仿宋_GBK" w:hAnsi="方正仿宋_GBK" w:eastAsia="方正仿宋_GBK" w:cs="方正仿宋_GBK"/>
          <w:color w:val="auto"/>
          <w:kern w:val="0"/>
          <w:sz w:val="32"/>
          <w:szCs w:val="32"/>
          <w:shd w:val="clear"/>
          <w:lang w:val="en-US" w:eastAsia="zh-CN" w:bidi="ar-SA"/>
        </w:rPr>
      </w:pPr>
      <w:r>
        <w:rPr>
          <w:rFonts w:hint="eastAsia" w:ascii="方正仿宋_GBK" w:hAnsi="方正仿宋_GBK" w:eastAsia="方正仿宋_GBK" w:cs="方正仿宋_GBK"/>
          <w:b/>
          <w:bCs/>
          <w:color w:val="auto"/>
          <w:sz w:val="32"/>
          <w:szCs w:val="32"/>
        </w:rPr>
        <w:t>（3）资金使用合规性：</w:t>
      </w:r>
      <w:r>
        <w:rPr>
          <w:rFonts w:hint="eastAsia" w:ascii="方正仿宋_GBK" w:hAnsi="方正仿宋_GBK" w:eastAsia="方正仿宋_GBK" w:cs="方正仿宋_GBK"/>
          <w:color w:val="auto"/>
          <w:kern w:val="0"/>
          <w:sz w:val="32"/>
          <w:szCs w:val="32"/>
          <w:shd w:val="clear"/>
          <w:lang w:val="en-US" w:eastAsia="zh-CN" w:bidi="ar-SA"/>
        </w:rPr>
        <w:t>经查证项目的支付凭证，项目资金的使用做到《伽师县农业技术推广中心单位管理制度》“专款专用的使用要求”，资金的拨付有完整的审批程序和手续，资金实际使用方向与预算批复用途一致，不存在截留、挤占、挪用、虚列支出的情况。资金支出符合财务管理制度规定，根据评分标准，该指标不扣分，得5分。</w:t>
      </w:r>
    </w:p>
    <w:p>
      <w:pPr>
        <w:pageBreakBefore w:val="0"/>
        <w:kinsoku/>
        <w:wordWrap/>
        <w:topLinePunct w:val="0"/>
        <w:autoSpaceDE/>
        <w:autoSpaceDN/>
        <w:bidi w:val="0"/>
        <w:spacing w:line="560" w:lineRule="exact"/>
        <w:ind w:firstLine="643"/>
        <w:rPr>
          <w:rFonts w:hint="eastAsia" w:ascii="方正仿宋_GBK" w:hAnsi="方正仿宋_GBK" w:eastAsia="方正仿宋_GBK" w:cs="方正仿宋_GBK"/>
          <w:color w:val="auto"/>
          <w:kern w:val="0"/>
          <w:sz w:val="32"/>
          <w:szCs w:val="32"/>
          <w:shd w:val="clear"/>
          <w:lang w:val="en-US" w:eastAsia="zh-CN" w:bidi="ar-SA"/>
        </w:rPr>
      </w:pPr>
      <w:r>
        <w:rPr>
          <w:rFonts w:hint="eastAsia" w:ascii="方正仿宋_GBK" w:hAnsi="方正仿宋_GBK" w:eastAsia="方正仿宋_GBK" w:cs="方正仿宋_GBK"/>
          <w:b/>
          <w:bCs/>
          <w:color w:val="auto"/>
          <w:sz w:val="32"/>
          <w:szCs w:val="32"/>
        </w:rPr>
        <w:t>（4）管理制度健全性：</w:t>
      </w:r>
      <w:r>
        <w:rPr>
          <w:rFonts w:hint="eastAsia" w:ascii="方正仿宋_GBK" w:hAnsi="方正仿宋_GBK" w:eastAsia="方正仿宋_GBK" w:cs="方正仿宋_GBK"/>
          <w:color w:val="auto"/>
          <w:kern w:val="0"/>
          <w:sz w:val="32"/>
          <w:szCs w:val="32"/>
          <w:shd w:val="clear"/>
          <w:lang w:val="en-US" w:eastAsia="zh-CN" w:bidi="ar-SA"/>
        </w:rPr>
        <w:t>我单位制定了《伽师县农业技术推广中心预算绩效管理工作实施办法》，《伽师县农业技术推广中心财务管理制度》等健全完整的项目管理制度、资金管理办法，相关制度的制定依据《中华人民共和国会计法》、《中华人民共和国预算法》、《事业单位财务规则》、《会计基础工作规范》等国家法律法规文件，符合行政事业单位内控管理要求，财务和业务管理制度合法，合规，完整。根据评分标准，该指标不扣分，得2分。</w:t>
      </w:r>
    </w:p>
    <w:p>
      <w:pPr>
        <w:spacing w:after="100" w:afterAutospacing="1" w:line="480" w:lineRule="exact"/>
        <w:ind w:firstLine="640" w:firstLineChars="200"/>
        <w:contextualSpacing/>
        <w:rPr>
          <w:rFonts w:hint="eastAsia" w:ascii="方正仿宋_GBK" w:hAnsi="方正仿宋_GBK" w:eastAsia="方正仿宋_GBK" w:cs="方正仿宋_GBK"/>
          <w:color w:val="auto"/>
          <w:spacing w:val="2"/>
          <w:sz w:val="32"/>
          <w:szCs w:val="32"/>
        </w:rPr>
      </w:pPr>
      <w:r>
        <w:rPr>
          <w:rFonts w:hint="eastAsia" w:ascii="方正仿宋_GBK" w:hAnsi="方正仿宋_GBK" w:eastAsia="方正仿宋_GBK" w:cs="方正仿宋_GBK"/>
          <w:b/>
          <w:bCs/>
          <w:color w:val="auto"/>
          <w:sz w:val="32"/>
          <w:szCs w:val="32"/>
        </w:rPr>
        <w:t>（5）制度执行有效性：</w:t>
      </w:r>
      <w:r>
        <w:rPr>
          <w:rFonts w:hint="eastAsia" w:ascii="方正仿宋_GBK" w:hAnsi="方正仿宋_GBK" w:eastAsia="方正仿宋_GBK" w:cs="方正仿宋_GBK"/>
          <w:color w:val="auto"/>
          <w:kern w:val="0"/>
          <w:sz w:val="32"/>
          <w:szCs w:val="32"/>
          <w:shd w:val="clear"/>
          <w:lang w:val="en-US" w:eastAsia="zh-CN" w:bidi="ar-SA"/>
        </w:rPr>
        <w:t>该项目支出按照专项资金管理办法经过请示县政府分管领导沟通后，报党支部会议研究执行，财务对资金的使用合法合规性进行监督，年底对资金使用效果进行自评。</w:t>
      </w:r>
      <w:r>
        <w:rPr>
          <w:rFonts w:hint="eastAsia" w:ascii="方正仿宋_GBK" w:hAnsi="方正仿宋_GBK" w:eastAsia="方正仿宋_GBK" w:cs="方正仿宋_GBK"/>
          <w:color w:val="auto"/>
          <w:spacing w:val="2"/>
          <w:sz w:val="32"/>
          <w:szCs w:val="32"/>
        </w:rPr>
        <w:t>为加强对第三次全国土壤普查的组织领导</w:t>
      </w:r>
      <w:r>
        <w:rPr>
          <w:rFonts w:hint="eastAsia" w:ascii="方正仿宋_GBK" w:hAnsi="方正仿宋_GBK" w:eastAsia="方正仿宋_GBK" w:cs="方正仿宋_GBK"/>
          <w:color w:val="auto"/>
          <w:spacing w:val="2"/>
          <w:sz w:val="32"/>
          <w:szCs w:val="32"/>
          <w:lang w:eastAsia="zh-CN"/>
        </w:rPr>
        <w:t>，</w:t>
      </w:r>
      <w:r>
        <w:rPr>
          <w:rFonts w:hint="eastAsia" w:ascii="方正仿宋_GBK" w:hAnsi="方正仿宋_GBK" w:eastAsia="方正仿宋_GBK" w:cs="方正仿宋_GBK"/>
          <w:color w:val="auto"/>
          <w:spacing w:val="2"/>
          <w:sz w:val="32"/>
          <w:szCs w:val="32"/>
        </w:rPr>
        <w:t>特成立伽师县第三次全国土壤普查工作领导小组。</w:t>
      </w:r>
    </w:p>
    <w:p>
      <w:pPr>
        <w:spacing w:after="100" w:afterAutospacing="1" w:line="480" w:lineRule="exact"/>
        <w:ind w:firstLine="972" w:firstLineChars="300"/>
        <w:contextualSpacing/>
        <w:rPr>
          <w:rFonts w:hint="eastAsia" w:ascii="方正仿宋_GBK" w:hAnsi="方正仿宋_GBK" w:eastAsia="方正仿宋_GBK" w:cs="方正仿宋_GBK"/>
          <w:color w:val="auto"/>
          <w:spacing w:val="2"/>
          <w:sz w:val="32"/>
          <w:szCs w:val="32"/>
          <w:lang w:eastAsia="zh-CN"/>
        </w:rPr>
      </w:pPr>
      <w:r>
        <w:rPr>
          <w:rFonts w:hint="eastAsia" w:ascii="方正仿宋_GBK" w:hAnsi="方正仿宋_GBK" w:eastAsia="方正仿宋_GBK" w:cs="方正仿宋_GBK"/>
          <w:b/>
          <w:bCs/>
          <w:color w:val="auto"/>
          <w:spacing w:val="2"/>
          <w:sz w:val="32"/>
          <w:szCs w:val="32"/>
        </w:rPr>
        <w:t>组长：</w:t>
      </w:r>
      <w:r>
        <w:rPr>
          <w:rFonts w:hint="eastAsia" w:ascii="方正仿宋_GBK" w:hAnsi="方正仿宋_GBK" w:eastAsia="方正仿宋_GBK" w:cs="方正仿宋_GBK"/>
          <w:color w:val="auto"/>
          <w:spacing w:val="2"/>
          <w:sz w:val="32"/>
          <w:szCs w:val="32"/>
        </w:rPr>
        <w:t>努尔麦麦提·玉斯因</w:t>
      </w:r>
      <w:r>
        <w:rPr>
          <w:rFonts w:hint="eastAsia" w:ascii="方正仿宋_GBK" w:hAnsi="方正仿宋_GBK" w:eastAsia="方正仿宋_GBK" w:cs="方正仿宋_GBK"/>
          <w:color w:val="auto"/>
          <w:spacing w:val="2"/>
          <w:sz w:val="32"/>
          <w:szCs w:val="32"/>
          <w:lang w:eastAsia="zh-CN"/>
        </w:rPr>
        <w:t>（</w:t>
      </w:r>
      <w:r>
        <w:rPr>
          <w:rFonts w:hint="eastAsia" w:ascii="方正仿宋_GBK" w:hAnsi="方正仿宋_GBK" w:eastAsia="方正仿宋_GBK" w:cs="方正仿宋_GBK"/>
          <w:color w:val="auto"/>
          <w:spacing w:val="2"/>
          <w:sz w:val="32"/>
          <w:szCs w:val="32"/>
          <w:lang w:val="en-US" w:eastAsia="zh-CN"/>
        </w:rPr>
        <w:t>县人民政府副县长</w:t>
      </w:r>
      <w:r>
        <w:rPr>
          <w:rFonts w:hint="eastAsia" w:ascii="方正仿宋_GBK" w:hAnsi="方正仿宋_GBK" w:eastAsia="方正仿宋_GBK" w:cs="方正仿宋_GBK"/>
          <w:color w:val="auto"/>
          <w:spacing w:val="2"/>
          <w:sz w:val="32"/>
          <w:szCs w:val="32"/>
          <w:lang w:eastAsia="zh-CN"/>
        </w:rPr>
        <w:t>）</w:t>
      </w:r>
    </w:p>
    <w:p>
      <w:pPr>
        <w:spacing w:after="100" w:afterAutospacing="1" w:line="480" w:lineRule="exact"/>
        <w:ind w:firstLine="972" w:firstLineChars="300"/>
        <w:contextualSpacing/>
        <w:rPr>
          <w:rFonts w:hint="eastAsia" w:ascii="方正仿宋_GBK" w:hAnsi="方正仿宋_GBK" w:eastAsia="方正仿宋_GBK" w:cs="方正仿宋_GBK"/>
          <w:color w:val="auto"/>
          <w:spacing w:val="2"/>
          <w:sz w:val="32"/>
          <w:szCs w:val="32"/>
        </w:rPr>
      </w:pPr>
      <w:r>
        <w:rPr>
          <w:rFonts w:hint="eastAsia" w:ascii="方正仿宋_GBK" w:hAnsi="方正仿宋_GBK" w:eastAsia="方正仿宋_GBK" w:cs="方正仿宋_GBK"/>
          <w:b/>
          <w:bCs/>
          <w:color w:val="auto"/>
          <w:spacing w:val="2"/>
          <w:sz w:val="32"/>
          <w:szCs w:val="32"/>
        </w:rPr>
        <w:t>副组长</w:t>
      </w:r>
      <w:r>
        <w:rPr>
          <w:rFonts w:hint="eastAsia" w:ascii="方正仿宋_GBK" w:hAnsi="方正仿宋_GBK" w:eastAsia="方正仿宋_GBK" w:cs="方正仿宋_GBK"/>
          <w:color w:val="auto"/>
          <w:spacing w:val="2"/>
          <w:sz w:val="32"/>
          <w:szCs w:val="32"/>
        </w:rPr>
        <w:t>：尚文慧（县农业农村局党委书记、副局长）</w:t>
      </w:r>
    </w:p>
    <w:p>
      <w:pPr>
        <w:spacing w:after="100" w:afterAutospacing="1" w:line="480" w:lineRule="exact"/>
        <w:ind w:firstLine="648" w:firstLineChars="200"/>
        <w:contextualSpacing/>
        <w:rPr>
          <w:rFonts w:hint="eastAsia" w:ascii="方正仿宋_GBK" w:hAnsi="方正仿宋_GBK" w:eastAsia="方正仿宋_GBK" w:cs="方正仿宋_GBK"/>
          <w:color w:val="auto"/>
          <w:spacing w:val="2"/>
          <w:sz w:val="32"/>
          <w:szCs w:val="32"/>
        </w:rPr>
      </w:pPr>
      <w:r>
        <w:rPr>
          <w:rFonts w:hint="eastAsia" w:ascii="方正仿宋_GBK" w:hAnsi="方正仿宋_GBK" w:eastAsia="方正仿宋_GBK" w:cs="方正仿宋_GBK"/>
          <w:color w:val="auto"/>
          <w:spacing w:val="2"/>
          <w:sz w:val="32"/>
          <w:szCs w:val="32"/>
        </w:rPr>
        <w:t>赵红（县财政局党委副书记、局长）</w:t>
      </w:r>
    </w:p>
    <w:p>
      <w:pPr>
        <w:spacing w:after="100" w:afterAutospacing="1" w:line="480" w:lineRule="exact"/>
        <w:ind w:firstLine="2268" w:firstLineChars="700"/>
        <w:contextualSpacing/>
        <w:rPr>
          <w:rFonts w:hint="eastAsia" w:ascii="方正仿宋_GBK" w:hAnsi="方正仿宋_GBK" w:eastAsia="方正仿宋_GBK" w:cs="方正仿宋_GBK"/>
          <w:color w:val="auto"/>
          <w:spacing w:val="2"/>
          <w:sz w:val="32"/>
          <w:szCs w:val="32"/>
        </w:rPr>
      </w:pPr>
      <w:r>
        <w:rPr>
          <w:rFonts w:hint="eastAsia" w:ascii="方正仿宋_GBK" w:hAnsi="方正仿宋_GBK" w:eastAsia="方正仿宋_GBK" w:cs="方正仿宋_GBK"/>
          <w:color w:val="auto"/>
          <w:spacing w:val="2"/>
          <w:sz w:val="32"/>
          <w:szCs w:val="32"/>
        </w:rPr>
        <w:t>艾力西尔扎提·卡米力（县农业农村局党委副书记、局长）</w:t>
      </w:r>
    </w:p>
    <w:p>
      <w:pPr>
        <w:spacing w:after="100" w:afterAutospacing="1" w:line="480" w:lineRule="exact"/>
        <w:ind w:firstLine="2268" w:firstLineChars="700"/>
        <w:contextualSpacing/>
        <w:rPr>
          <w:rFonts w:hint="eastAsia" w:ascii="方正仿宋_GBK" w:hAnsi="方正仿宋_GBK" w:eastAsia="方正仿宋_GBK" w:cs="方正仿宋_GBK"/>
          <w:color w:val="auto"/>
          <w:spacing w:val="2"/>
          <w:sz w:val="32"/>
          <w:szCs w:val="32"/>
        </w:rPr>
      </w:pPr>
      <w:r>
        <w:rPr>
          <w:rFonts w:hint="eastAsia" w:ascii="方正仿宋_GBK" w:hAnsi="方正仿宋_GBK" w:eastAsia="方正仿宋_GBK" w:cs="方正仿宋_GBK"/>
          <w:color w:val="auto"/>
          <w:spacing w:val="2"/>
          <w:sz w:val="32"/>
          <w:szCs w:val="32"/>
        </w:rPr>
        <w:t>张启德（县生态环境局党组副书记、局长）</w:t>
      </w:r>
    </w:p>
    <w:p>
      <w:pPr>
        <w:spacing w:after="100" w:afterAutospacing="1" w:line="480" w:lineRule="exact"/>
        <w:ind w:firstLine="2268" w:firstLineChars="700"/>
        <w:contextualSpacing/>
        <w:rPr>
          <w:rFonts w:hint="eastAsia" w:ascii="方正仿宋_GBK" w:hAnsi="方正仿宋_GBK" w:eastAsia="方正仿宋_GBK" w:cs="方正仿宋_GBK"/>
          <w:color w:val="auto"/>
          <w:spacing w:val="2"/>
          <w:sz w:val="32"/>
          <w:szCs w:val="32"/>
        </w:rPr>
      </w:pPr>
      <w:r>
        <w:rPr>
          <w:rFonts w:hint="eastAsia" w:ascii="方正仿宋_GBK" w:hAnsi="方正仿宋_GBK" w:eastAsia="方正仿宋_GBK" w:cs="方正仿宋_GBK"/>
          <w:color w:val="auto"/>
          <w:spacing w:val="2"/>
          <w:sz w:val="32"/>
          <w:szCs w:val="32"/>
        </w:rPr>
        <w:t>赵博(县发改委主任）</w:t>
      </w:r>
    </w:p>
    <w:p>
      <w:pPr>
        <w:spacing w:after="100" w:afterAutospacing="1" w:line="480" w:lineRule="exact"/>
        <w:ind w:firstLine="2268" w:firstLineChars="700"/>
        <w:contextualSpacing/>
        <w:rPr>
          <w:rFonts w:hint="eastAsia" w:ascii="方正仿宋_GBK" w:hAnsi="方正仿宋_GBK" w:eastAsia="方正仿宋_GBK" w:cs="方正仿宋_GBK"/>
          <w:color w:val="auto"/>
          <w:spacing w:val="2"/>
          <w:sz w:val="32"/>
          <w:szCs w:val="32"/>
        </w:rPr>
      </w:pPr>
      <w:r>
        <w:rPr>
          <w:rFonts w:hint="eastAsia" w:ascii="方正仿宋_GBK" w:hAnsi="方正仿宋_GBK" w:eastAsia="方正仿宋_GBK" w:cs="方正仿宋_GBK"/>
          <w:color w:val="auto"/>
          <w:spacing w:val="2"/>
          <w:sz w:val="32"/>
          <w:szCs w:val="32"/>
        </w:rPr>
        <w:t>姜波（县自然资源局党组副书记、局长）</w:t>
      </w:r>
    </w:p>
    <w:p>
      <w:pPr>
        <w:spacing w:after="100" w:afterAutospacing="1" w:line="480" w:lineRule="exact"/>
        <w:ind w:firstLine="2268" w:firstLineChars="700"/>
        <w:contextualSpacing/>
        <w:rPr>
          <w:rFonts w:hint="eastAsia" w:ascii="方正仿宋_GBK" w:hAnsi="方正仿宋_GBK" w:eastAsia="方正仿宋_GBK" w:cs="方正仿宋_GBK"/>
          <w:color w:val="auto"/>
          <w:spacing w:val="2"/>
          <w:sz w:val="32"/>
          <w:szCs w:val="32"/>
        </w:rPr>
      </w:pPr>
      <w:r>
        <w:rPr>
          <w:rFonts w:hint="eastAsia" w:ascii="方正仿宋_GBK" w:hAnsi="方正仿宋_GBK" w:eastAsia="方正仿宋_GBK" w:cs="方正仿宋_GBK"/>
          <w:color w:val="auto"/>
          <w:spacing w:val="2"/>
          <w:sz w:val="32"/>
          <w:szCs w:val="32"/>
        </w:rPr>
        <w:t>王军辉（县水利局党委副书记、局长）</w:t>
      </w:r>
    </w:p>
    <w:p>
      <w:pPr>
        <w:spacing w:after="100" w:afterAutospacing="1" w:line="480" w:lineRule="exact"/>
        <w:ind w:firstLine="2268" w:firstLineChars="700"/>
        <w:contextualSpacing/>
        <w:rPr>
          <w:rFonts w:hint="eastAsia" w:ascii="方正仿宋_GBK" w:hAnsi="方正仿宋_GBK" w:eastAsia="方正仿宋_GBK" w:cs="方正仿宋_GBK"/>
          <w:color w:val="auto"/>
          <w:spacing w:val="2"/>
          <w:sz w:val="32"/>
          <w:szCs w:val="32"/>
        </w:rPr>
      </w:pPr>
      <w:r>
        <w:rPr>
          <w:rFonts w:hint="eastAsia" w:ascii="方正仿宋_GBK" w:hAnsi="方正仿宋_GBK" w:eastAsia="方正仿宋_GBK" w:cs="方正仿宋_GBK"/>
          <w:color w:val="auto"/>
          <w:spacing w:val="2"/>
          <w:sz w:val="32"/>
          <w:szCs w:val="32"/>
        </w:rPr>
        <w:t>姜华（县统计局党组副书记、局长）</w:t>
      </w:r>
    </w:p>
    <w:p>
      <w:pPr>
        <w:spacing w:after="100" w:afterAutospacing="1" w:line="480" w:lineRule="exact"/>
        <w:ind w:firstLine="972" w:firstLineChars="300"/>
        <w:contextualSpacing/>
        <w:rPr>
          <w:rFonts w:hint="eastAsia" w:ascii="方正仿宋_GBK" w:hAnsi="方正仿宋_GBK" w:eastAsia="方正仿宋_GBK" w:cs="方正仿宋_GBK"/>
          <w:color w:val="auto"/>
          <w:spacing w:val="2"/>
          <w:sz w:val="32"/>
          <w:szCs w:val="32"/>
        </w:rPr>
      </w:pPr>
      <w:r>
        <w:rPr>
          <w:rFonts w:hint="eastAsia" w:ascii="方正仿宋_GBK" w:hAnsi="方正仿宋_GBK" w:eastAsia="方正仿宋_GBK" w:cs="方正仿宋_GBK"/>
          <w:b/>
          <w:bCs/>
          <w:color w:val="auto"/>
          <w:spacing w:val="2"/>
          <w:sz w:val="32"/>
          <w:szCs w:val="32"/>
        </w:rPr>
        <w:t>成员：</w:t>
      </w:r>
      <w:r>
        <w:rPr>
          <w:rFonts w:hint="eastAsia" w:ascii="方正仿宋_GBK" w:hAnsi="方正仿宋_GBK" w:eastAsia="方正仿宋_GBK" w:cs="方正仿宋_GBK"/>
          <w:color w:val="auto"/>
          <w:spacing w:val="2"/>
          <w:sz w:val="32"/>
          <w:szCs w:val="32"/>
        </w:rPr>
        <w:t>梁思学（县农业技术推广中心党支部书记、副主任）</w:t>
      </w:r>
    </w:p>
    <w:p>
      <w:pPr>
        <w:spacing w:after="100" w:afterAutospacing="1" w:line="480" w:lineRule="exact"/>
        <w:ind w:firstLine="972" w:firstLineChars="300"/>
        <w:contextualSpacing/>
        <w:rPr>
          <w:rFonts w:hint="eastAsia" w:ascii="方正仿宋_GBK" w:hAnsi="方正仿宋_GBK" w:eastAsia="方正仿宋_GBK" w:cs="方正仿宋_GBK"/>
          <w:color w:val="auto"/>
          <w:spacing w:val="2"/>
          <w:sz w:val="32"/>
          <w:szCs w:val="32"/>
        </w:rPr>
      </w:pPr>
      <w:r>
        <w:rPr>
          <w:rFonts w:hint="eastAsia" w:ascii="方正仿宋_GBK" w:hAnsi="方正仿宋_GBK" w:eastAsia="方正仿宋_GBK" w:cs="方正仿宋_GBK"/>
          <w:color w:val="auto"/>
          <w:spacing w:val="2"/>
          <w:sz w:val="32"/>
          <w:szCs w:val="32"/>
        </w:rPr>
        <w:t>各乡（镇）乡（镇）长</w:t>
      </w:r>
    </w:p>
    <w:p>
      <w:pPr>
        <w:spacing w:after="100" w:afterAutospacing="1" w:line="480" w:lineRule="exact"/>
        <w:ind w:firstLine="972" w:firstLineChars="300"/>
        <w:contextualSpacing/>
        <w:rPr>
          <w:rFonts w:hint="eastAsia" w:ascii="方正仿宋_GBK" w:hAnsi="方正仿宋_GBK" w:eastAsia="方正仿宋_GBK" w:cs="方正仿宋_GBK"/>
          <w:color w:val="auto"/>
          <w:spacing w:val="2"/>
          <w:sz w:val="32"/>
          <w:szCs w:val="32"/>
        </w:rPr>
      </w:pPr>
      <w:r>
        <w:rPr>
          <w:rFonts w:hint="eastAsia" w:ascii="方正仿宋_GBK" w:hAnsi="方正仿宋_GBK" w:eastAsia="方正仿宋_GBK" w:cs="方正仿宋_GBK"/>
          <w:color w:val="auto"/>
          <w:spacing w:val="2"/>
          <w:sz w:val="32"/>
          <w:szCs w:val="32"/>
        </w:rPr>
        <w:t>县第三次全国土壤普查检测实验室负责人</w:t>
      </w:r>
    </w:p>
    <w:p>
      <w:pPr>
        <w:spacing w:after="100" w:afterAutospacing="1" w:line="480" w:lineRule="exact"/>
        <w:ind w:firstLine="972" w:firstLineChars="300"/>
        <w:contextualSpacing/>
        <w:rPr>
          <w:rFonts w:hint="eastAsia" w:ascii="方正仿宋_GBK" w:hAnsi="方正仿宋_GBK" w:eastAsia="方正仿宋_GBK" w:cs="方正仿宋_GBK"/>
          <w:color w:val="auto"/>
          <w:spacing w:val="2"/>
          <w:sz w:val="32"/>
          <w:szCs w:val="32"/>
        </w:rPr>
      </w:pPr>
      <w:r>
        <w:rPr>
          <w:rFonts w:hint="eastAsia" w:ascii="方正仿宋_GBK" w:hAnsi="方正仿宋_GBK" w:eastAsia="方正仿宋_GBK" w:cs="方正仿宋_GBK"/>
          <w:color w:val="auto"/>
          <w:spacing w:val="2"/>
          <w:sz w:val="32"/>
          <w:szCs w:val="32"/>
        </w:rPr>
        <w:t>县第三次全国土壤普查质控实验室负责人</w:t>
      </w:r>
    </w:p>
    <w:p>
      <w:pPr>
        <w:spacing w:after="100" w:afterAutospacing="1" w:line="480" w:lineRule="exact"/>
        <w:ind w:firstLine="972" w:firstLineChars="300"/>
        <w:contextualSpacing/>
        <w:rPr>
          <w:rFonts w:hint="eastAsia" w:ascii="方正仿宋_GBK" w:hAnsi="方正仿宋_GBK" w:eastAsia="方正仿宋_GBK" w:cs="方正仿宋_GBK"/>
          <w:color w:val="auto"/>
          <w:kern w:val="0"/>
          <w:sz w:val="32"/>
          <w:szCs w:val="32"/>
          <w:highlight w:val="yellow"/>
          <w:shd w:val="clear"/>
          <w:lang w:val="en-US" w:eastAsia="zh-CN" w:bidi="ar-SA"/>
        </w:rPr>
      </w:pPr>
      <w:r>
        <w:rPr>
          <w:rFonts w:hint="eastAsia" w:ascii="方正仿宋_GBK" w:hAnsi="方正仿宋_GBK" w:eastAsia="方正仿宋_GBK" w:cs="方正仿宋_GBK"/>
          <w:color w:val="auto"/>
          <w:spacing w:val="2"/>
          <w:sz w:val="32"/>
          <w:szCs w:val="32"/>
        </w:rPr>
        <w:t>领导小组成员单位相关负责干部</w:t>
      </w:r>
    </w:p>
    <w:p>
      <w:pPr>
        <w:pageBreakBefore w:val="0"/>
        <w:kinsoku/>
        <w:wordWrap/>
        <w:topLinePunct w:val="0"/>
        <w:autoSpaceDE/>
        <w:autoSpaceDN/>
        <w:bidi w:val="0"/>
        <w:spacing w:line="560" w:lineRule="exact"/>
        <w:ind w:firstLine="643"/>
        <w:rPr>
          <w:rFonts w:hint="eastAsia" w:ascii="方正仿宋_GBK" w:hAnsi="方正仿宋_GBK" w:eastAsia="方正仿宋_GBK" w:cs="方正仿宋_GBK"/>
          <w:color w:val="auto"/>
          <w:kern w:val="0"/>
          <w:sz w:val="32"/>
          <w:szCs w:val="32"/>
          <w:shd w:val="clear"/>
          <w:lang w:val="en-US" w:eastAsia="zh-CN" w:bidi="ar-SA"/>
        </w:rPr>
      </w:pPr>
      <w:r>
        <w:rPr>
          <w:rFonts w:hint="eastAsia" w:ascii="方正仿宋_GBK" w:hAnsi="方正仿宋_GBK" w:eastAsia="方正仿宋_GBK" w:cs="方正仿宋_GBK"/>
          <w:color w:val="auto"/>
          <w:kern w:val="0"/>
          <w:sz w:val="32"/>
          <w:szCs w:val="32"/>
          <w:shd w:val="clear"/>
          <w:lang w:val="en-US" w:eastAsia="zh-CN" w:bidi="ar-SA"/>
        </w:rPr>
        <w:t>本项目有效执行各项制度，根据评分标准，该指标不扣分，得3分。</w:t>
      </w:r>
    </w:p>
    <w:p>
      <w:pPr>
        <w:pStyle w:val="55"/>
        <w:keepNext/>
        <w:keepLines/>
        <w:pageBreakBefore w:val="0"/>
        <w:widowControl w:val="0"/>
        <w:kinsoku/>
        <w:wordWrap/>
        <w:overflowPunct/>
        <w:topLinePunct w:val="0"/>
        <w:autoSpaceDE/>
        <w:autoSpaceDN/>
        <w:bidi w:val="0"/>
        <w:adjustRightInd/>
        <w:snapToGrid/>
        <w:spacing w:line="560" w:lineRule="exact"/>
        <w:ind w:left="560"/>
        <w:textAlignment w:val="auto"/>
        <w:rPr>
          <w:rFonts w:hint="eastAsia" w:ascii="方正楷体_GBK" w:hAnsi="方正楷体_GBK" w:eastAsia="方正楷体_GBK" w:cs="方正楷体_GBK"/>
          <w:b/>
          <w:bCs/>
          <w:color w:val="auto"/>
          <w:sz w:val="32"/>
        </w:rPr>
      </w:pPr>
      <w:r>
        <w:rPr>
          <w:rFonts w:hint="eastAsia" w:ascii="方正楷体_GBK" w:hAnsi="方正楷体_GBK" w:eastAsia="方正楷体_GBK" w:cs="方正楷体_GBK"/>
          <w:b/>
          <w:bCs/>
          <w:color w:val="auto"/>
          <w:sz w:val="32"/>
        </w:rPr>
        <w:t>（三）项目产出情况</w:t>
      </w:r>
    </w:p>
    <w:p>
      <w:pPr>
        <w:pageBreakBefore w:val="0"/>
        <w:kinsoku/>
        <w:wordWrap/>
        <w:topLinePunct w:val="0"/>
        <w:autoSpaceDE/>
        <w:autoSpaceDN/>
        <w:bidi w:val="0"/>
        <w:spacing w:line="560" w:lineRule="exact"/>
        <w:ind w:firstLine="643"/>
        <w:rPr>
          <w:rFonts w:hint="eastAsia" w:ascii="方正仿宋_GBK" w:hAnsi="方正仿宋_GBK" w:eastAsia="方正仿宋_GBK" w:cs="方正仿宋_GBK"/>
          <w:color w:val="auto"/>
          <w:kern w:val="0"/>
          <w:sz w:val="32"/>
          <w:szCs w:val="32"/>
          <w:shd w:val="clear"/>
          <w:lang w:val="en-US" w:eastAsia="zh-CN" w:bidi="ar-SA"/>
        </w:rPr>
      </w:pPr>
      <w:r>
        <w:rPr>
          <w:rFonts w:hint="eastAsia" w:ascii="方正仿宋_GBK" w:hAnsi="方正仿宋_GBK" w:eastAsia="方正仿宋_GBK" w:cs="方正仿宋_GBK"/>
          <w:color w:val="auto"/>
          <w:kern w:val="0"/>
          <w:sz w:val="32"/>
          <w:szCs w:val="32"/>
          <w:shd w:val="clear"/>
          <w:lang w:val="en-US" w:eastAsia="zh-CN" w:bidi="ar-SA"/>
        </w:rPr>
        <w:t>项目产出类指标包括产出数量、产出质量、产出时效、产出成本四方面的内容，由4个三级指标构成，权重分为40分，实际得分40分，得分率为100%。</w:t>
      </w:r>
    </w:p>
    <w:p>
      <w:pPr>
        <w:pageBreakBefore w:val="0"/>
        <w:numPr>
          <w:ilvl w:val="0"/>
          <w:numId w:val="2"/>
        </w:numPr>
        <w:kinsoku/>
        <w:wordWrap/>
        <w:topLinePunct w:val="0"/>
        <w:autoSpaceDE/>
        <w:autoSpaceDN/>
        <w:bidi w:val="0"/>
        <w:spacing w:line="560" w:lineRule="exact"/>
        <w:ind w:firstLine="643"/>
        <w:rPr>
          <w:rFonts w:hint="eastAsia" w:ascii="Times New Roman" w:hAnsi="Times New Roman" w:eastAsia="方正仿宋_GBK" w:cs="方正仿宋_GBK"/>
          <w:b/>
          <w:bCs/>
          <w:color w:val="auto"/>
          <w:sz w:val="32"/>
          <w:szCs w:val="32"/>
        </w:rPr>
      </w:pPr>
      <w:r>
        <w:rPr>
          <w:rFonts w:hint="eastAsia" w:ascii="Times New Roman" w:hAnsi="Times New Roman" w:eastAsia="方正仿宋_GBK" w:cs="方正仿宋_GBK"/>
          <w:b/>
          <w:bCs/>
          <w:color w:val="auto"/>
          <w:sz w:val="32"/>
          <w:szCs w:val="32"/>
        </w:rPr>
        <w:t>对于“产出数量”</w:t>
      </w:r>
    </w:p>
    <w:p>
      <w:pPr>
        <w:pageBreakBefore w:val="0"/>
        <w:kinsoku/>
        <w:wordWrap/>
        <w:topLinePunct w:val="0"/>
        <w:autoSpaceDE/>
        <w:autoSpaceDN/>
        <w:bidi w:val="0"/>
        <w:spacing w:line="560" w:lineRule="exact"/>
        <w:ind w:firstLine="643"/>
        <w:rPr>
          <w:rFonts w:hint="eastAsia" w:ascii="方正仿宋_GBK" w:hAnsi="方正仿宋_GBK" w:eastAsia="方正仿宋_GBK" w:cs="方正仿宋_GBK"/>
          <w:color w:val="auto"/>
          <w:kern w:val="0"/>
          <w:sz w:val="32"/>
          <w:szCs w:val="32"/>
          <w:shd w:val="clear"/>
          <w:lang w:val="en-US" w:eastAsia="zh-CN" w:bidi="ar-SA"/>
        </w:rPr>
      </w:pPr>
      <w:r>
        <w:rPr>
          <w:rFonts w:hint="eastAsia" w:ascii="方正仿宋_GBK" w:hAnsi="方正仿宋_GBK" w:eastAsia="方正仿宋_GBK" w:cs="方正仿宋_GBK"/>
          <w:color w:val="auto"/>
          <w:kern w:val="0"/>
          <w:sz w:val="32"/>
          <w:szCs w:val="32"/>
          <w:shd w:val="clear"/>
          <w:lang w:val="en-US" w:eastAsia="zh-CN" w:bidi="ar-SA"/>
        </w:rPr>
        <w:tab/>
      </w:r>
      <w:r>
        <w:rPr>
          <w:rFonts w:hint="eastAsia" w:ascii="方正仿宋_GBK" w:hAnsi="方正仿宋_GBK" w:eastAsia="方正仿宋_GBK" w:cs="方正仿宋_GBK"/>
          <w:color w:val="auto"/>
          <w:kern w:val="0"/>
          <w:sz w:val="32"/>
          <w:szCs w:val="32"/>
          <w:shd w:val="clear"/>
          <w:lang w:val="en-US" w:eastAsia="zh-CN" w:bidi="ar-SA"/>
        </w:rPr>
        <w:t>采集土壤样品流转数量（次）指标，预期指标值大于等于2386次，实际完成值2386次，与预期目标一致，根据评分标准，该指标不扣分，得3分。</w:t>
      </w:r>
    </w:p>
    <w:p>
      <w:pPr>
        <w:pageBreakBefore w:val="0"/>
        <w:kinsoku/>
        <w:wordWrap/>
        <w:topLinePunct w:val="0"/>
        <w:autoSpaceDE/>
        <w:autoSpaceDN/>
        <w:bidi w:val="0"/>
        <w:spacing w:line="560" w:lineRule="exact"/>
        <w:ind w:firstLine="643"/>
        <w:rPr>
          <w:rFonts w:hint="eastAsia" w:eastAsia="方正仿宋_GBK" w:cs="方正仿宋_GBK"/>
          <w:color w:val="auto"/>
          <w:sz w:val="32"/>
          <w:szCs w:val="32"/>
          <w:lang w:val="en-US" w:eastAsia="zh-CN"/>
        </w:rPr>
      </w:pPr>
      <w:r>
        <w:rPr>
          <w:rFonts w:hint="eastAsia" w:ascii="方正仿宋_GBK" w:hAnsi="方正仿宋_GBK" w:eastAsia="方正仿宋_GBK" w:cs="方正仿宋_GBK"/>
          <w:color w:val="auto"/>
          <w:kern w:val="0"/>
          <w:sz w:val="32"/>
          <w:szCs w:val="32"/>
          <w:shd w:val="clear"/>
          <w:lang w:val="en-US" w:eastAsia="zh-CN" w:bidi="ar-SA"/>
        </w:rPr>
        <w:t>土壤样品检测分析数（项次）指标，预期指标值大于等于13987项次，实际完成值13987项次，与预期目标一致，根据评分标准，该指标不扣分，得2分。</w:t>
      </w:r>
    </w:p>
    <w:p>
      <w:pPr>
        <w:pageBreakBefore w:val="0"/>
        <w:kinsoku/>
        <w:wordWrap/>
        <w:topLinePunct w:val="0"/>
        <w:autoSpaceDE/>
        <w:autoSpaceDN/>
        <w:bidi w:val="0"/>
        <w:spacing w:line="560" w:lineRule="exact"/>
        <w:ind w:firstLine="643"/>
        <w:rPr>
          <w:rFonts w:hint="eastAsia" w:ascii="方正仿宋_GBK" w:hAnsi="方正仿宋_GBK" w:eastAsia="方正仿宋_GBK" w:cs="方正仿宋_GBK"/>
          <w:color w:val="auto"/>
          <w:kern w:val="0"/>
          <w:sz w:val="32"/>
          <w:szCs w:val="32"/>
          <w:shd w:val="clear"/>
          <w:lang w:val="en-US" w:eastAsia="zh-CN" w:bidi="ar-SA"/>
        </w:rPr>
      </w:pPr>
      <w:r>
        <w:rPr>
          <w:rFonts w:hint="eastAsia" w:ascii="方正仿宋_GBK" w:hAnsi="方正仿宋_GBK" w:eastAsia="方正仿宋_GBK" w:cs="方正仿宋_GBK"/>
          <w:color w:val="auto"/>
          <w:kern w:val="0"/>
          <w:sz w:val="32"/>
          <w:szCs w:val="32"/>
          <w:shd w:val="clear"/>
          <w:lang w:val="en-US" w:eastAsia="zh-CN" w:bidi="ar-SA"/>
        </w:rPr>
        <w:t>购买取土壤样品的耗材数量（批）指标，预期指标值等于1批，实际完成值1批，与预期目标一致，根据评分标准，该指标不扣分，得3分。</w:t>
      </w:r>
    </w:p>
    <w:p>
      <w:pPr>
        <w:pageBreakBefore w:val="0"/>
        <w:kinsoku/>
        <w:wordWrap/>
        <w:topLinePunct w:val="0"/>
        <w:autoSpaceDE/>
        <w:autoSpaceDN/>
        <w:bidi w:val="0"/>
        <w:spacing w:line="560" w:lineRule="exact"/>
        <w:ind w:firstLine="643"/>
        <w:rPr>
          <w:rFonts w:hint="eastAsia"/>
          <w:color w:val="auto"/>
        </w:rPr>
      </w:pPr>
      <w:r>
        <w:rPr>
          <w:rFonts w:hint="eastAsia" w:ascii="方正仿宋_GBK" w:hAnsi="方正仿宋_GBK" w:eastAsia="方正仿宋_GBK" w:cs="方正仿宋_GBK"/>
          <w:color w:val="auto"/>
          <w:kern w:val="0"/>
          <w:sz w:val="32"/>
          <w:szCs w:val="32"/>
          <w:shd w:val="clear"/>
          <w:lang w:val="en-US" w:eastAsia="zh-CN" w:bidi="ar-SA"/>
        </w:rPr>
        <w:t>购买土壤样品的工具数量（批）指标，预期指标值等于1批，实际完成值1批，与预期目标一致，根据评分标准，该指标不扣分，得2分。</w:t>
      </w:r>
    </w:p>
    <w:p>
      <w:pPr>
        <w:pageBreakBefore w:val="0"/>
        <w:numPr>
          <w:ilvl w:val="0"/>
          <w:numId w:val="2"/>
        </w:numPr>
        <w:kinsoku/>
        <w:wordWrap/>
        <w:topLinePunct w:val="0"/>
        <w:autoSpaceDE/>
        <w:autoSpaceDN/>
        <w:bidi w:val="0"/>
        <w:spacing w:line="560" w:lineRule="exact"/>
        <w:ind w:firstLine="643"/>
        <w:rPr>
          <w:rFonts w:hint="eastAsia" w:ascii="Times New Roman" w:hAnsi="Times New Roman" w:eastAsia="方正仿宋_GBK" w:cs="方正仿宋_GBK"/>
          <w:b/>
          <w:bCs/>
          <w:color w:val="auto"/>
          <w:sz w:val="32"/>
          <w:szCs w:val="32"/>
        </w:rPr>
      </w:pPr>
      <w:r>
        <w:rPr>
          <w:rFonts w:hint="eastAsia" w:ascii="Times New Roman" w:hAnsi="Times New Roman" w:eastAsia="方正仿宋_GBK" w:cs="方正仿宋_GBK"/>
          <w:b/>
          <w:bCs/>
          <w:color w:val="auto"/>
          <w:sz w:val="32"/>
          <w:szCs w:val="32"/>
        </w:rPr>
        <w:t>对于“产出质量”：</w:t>
      </w:r>
    </w:p>
    <w:p>
      <w:pPr>
        <w:pageBreakBefore w:val="0"/>
        <w:kinsoku/>
        <w:wordWrap/>
        <w:topLinePunct w:val="0"/>
        <w:autoSpaceDE/>
        <w:autoSpaceDN/>
        <w:bidi w:val="0"/>
        <w:spacing w:line="560" w:lineRule="exact"/>
        <w:ind w:firstLine="643"/>
        <w:rPr>
          <w:rFonts w:hint="eastAsia" w:ascii="方正仿宋_GBK" w:hAnsi="方正仿宋_GBK" w:eastAsia="方正仿宋_GBK" w:cs="方正仿宋_GBK"/>
          <w:color w:val="auto"/>
          <w:kern w:val="0"/>
          <w:sz w:val="32"/>
          <w:szCs w:val="32"/>
          <w:shd w:val="clear"/>
          <w:lang w:val="en-US" w:eastAsia="zh-CN" w:bidi="ar-SA"/>
        </w:rPr>
      </w:pPr>
      <w:r>
        <w:rPr>
          <w:rFonts w:hint="eastAsia" w:ascii="方正仿宋_GBK" w:hAnsi="方正仿宋_GBK" w:eastAsia="方正仿宋_GBK" w:cs="方正仿宋_GBK"/>
          <w:color w:val="auto"/>
          <w:kern w:val="0"/>
          <w:sz w:val="32"/>
          <w:szCs w:val="32"/>
          <w:shd w:val="clear"/>
          <w:lang w:val="en-US" w:eastAsia="zh-CN" w:bidi="ar-SA"/>
        </w:rPr>
        <w:t>资金使用合规率指标，预期指标值等于100%，实际完成值100%，与预期目标一致，根据评分标准，该指标不扣分，得10分。</w:t>
      </w:r>
    </w:p>
    <w:p>
      <w:pPr>
        <w:pageBreakBefore w:val="0"/>
        <w:kinsoku/>
        <w:wordWrap/>
        <w:topLinePunct w:val="0"/>
        <w:autoSpaceDE/>
        <w:autoSpaceDN/>
        <w:bidi w:val="0"/>
        <w:spacing w:line="560" w:lineRule="exact"/>
        <w:ind w:firstLine="643"/>
        <w:rPr>
          <w:rFonts w:hint="eastAsia" w:ascii="方正仿宋_GBK" w:hAnsi="方正仿宋_GBK" w:eastAsia="方正仿宋_GBK" w:cs="方正仿宋_GBK"/>
          <w:color w:val="auto"/>
          <w:kern w:val="0"/>
          <w:sz w:val="32"/>
          <w:szCs w:val="32"/>
          <w:shd w:val="clear"/>
          <w:lang w:val="en-US" w:eastAsia="zh-CN" w:bidi="ar-SA"/>
        </w:rPr>
      </w:pPr>
      <w:r>
        <w:rPr>
          <w:rFonts w:hint="eastAsia" w:ascii="方正仿宋_GBK" w:hAnsi="方正仿宋_GBK" w:eastAsia="方正仿宋_GBK" w:cs="方正仿宋_GBK"/>
          <w:color w:val="auto"/>
          <w:kern w:val="0"/>
          <w:sz w:val="32"/>
          <w:szCs w:val="32"/>
          <w:shd w:val="clear"/>
          <w:lang w:val="en-US" w:eastAsia="zh-CN" w:bidi="ar-SA"/>
        </w:rPr>
        <w:t>合计得10分。</w:t>
      </w:r>
    </w:p>
    <w:p>
      <w:pPr>
        <w:pageBreakBefore w:val="0"/>
        <w:numPr>
          <w:ilvl w:val="0"/>
          <w:numId w:val="2"/>
        </w:numPr>
        <w:kinsoku/>
        <w:wordWrap/>
        <w:topLinePunct w:val="0"/>
        <w:autoSpaceDE/>
        <w:autoSpaceDN/>
        <w:bidi w:val="0"/>
        <w:spacing w:line="560" w:lineRule="exact"/>
        <w:ind w:firstLine="643"/>
        <w:rPr>
          <w:rFonts w:hint="eastAsia" w:ascii="Times New Roman" w:hAnsi="Times New Roman" w:eastAsia="方正仿宋_GBK" w:cs="方正仿宋_GBK"/>
          <w:b/>
          <w:bCs/>
          <w:color w:val="auto"/>
          <w:sz w:val="32"/>
          <w:szCs w:val="32"/>
        </w:rPr>
      </w:pPr>
      <w:r>
        <w:rPr>
          <w:rFonts w:hint="eastAsia" w:ascii="Times New Roman" w:hAnsi="Times New Roman" w:eastAsia="方正仿宋_GBK" w:cs="方正仿宋_GBK"/>
          <w:b/>
          <w:bCs/>
          <w:color w:val="auto"/>
          <w:sz w:val="32"/>
          <w:szCs w:val="32"/>
        </w:rPr>
        <w:t>对于“产出时效”：</w:t>
      </w:r>
    </w:p>
    <w:p>
      <w:pPr>
        <w:pageBreakBefore w:val="0"/>
        <w:kinsoku/>
        <w:wordWrap/>
        <w:topLinePunct w:val="0"/>
        <w:autoSpaceDE/>
        <w:autoSpaceDN/>
        <w:bidi w:val="0"/>
        <w:spacing w:line="560" w:lineRule="exact"/>
        <w:ind w:firstLine="643"/>
        <w:rPr>
          <w:rFonts w:hint="eastAsia" w:ascii="方正仿宋_GBK" w:hAnsi="方正仿宋_GBK" w:eastAsia="方正仿宋_GBK" w:cs="方正仿宋_GBK"/>
          <w:color w:val="auto"/>
          <w:kern w:val="0"/>
          <w:sz w:val="32"/>
          <w:szCs w:val="32"/>
          <w:shd w:val="clear"/>
          <w:lang w:val="en-US" w:eastAsia="zh-CN" w:bidi="ar-SA"/>
        </w:rPr>
      </w:pPr>
      <w:r>
        <w:rPr>
          <w:rFonts w:hint="eastAsia" w:ascii="方正仿宋_GBK" w:hAnsi="方正仿宋_GBK" w:eastAsia="方正仿宋_GBK" w:cs="方正仿宋_GBK"/>
          <w:color w:val="auto"/>
          <w:kern w:val="0"/>
          <w:sz w:val="32"/>
          <w:szCs w:val="32"/>
          <w:shd w:val="clear"/>
          <w:lang w:val="en-US" w:eastAsia="zh-CN" w:bidi="ar-SA"/>
        </w:rPr>
        <w:t>项目开工率（%）指标，预期指标值等于100%，实际完成值100%，与预期目标一致，根据评分标准，该指标不扣分，得5分。</w:t>
      </w:r>
    </w:p>
    <w:p>
      <w:pPr>
        <w:pageBreakBefore w:val="0"/>
        <w:kinsoku/>
        <w:wordWrap/>
        <w:topLinePunct w:val="0"/>
        <w:autoSpaceDE/>
        <w:autoSpaceDN/>
        <w:bidi w:val="0"/>
        <w:spacing w:line="560" w:lineRule="exact"/>
        <w:ind w:firstLine="643"/>
        <w:rPr>
          <w:rFonts w:hint="eastAsia" w:ascii="方正仿宋_GBK" w:hAnsi="方正仿宋_GBK" w:eastAsia="方正仿宋_GBK" w:cs="方正仿宋_GBK"/>
          <w:color w:val="auto"/>
          <w:kern w:val="0"/>
          <w:sz w:val="32"/>
          <w:szCs w:val="32"/>
          <w:shd w:val="clear"/>
          <w:lang w:val="en-US" w:eastAsia="zh-CN" w:bidi="ar-SA"/>
        </w:rPr>
      </w:pPr>
      <w:r>
        <w:rPr>
          <w:rFonts w:hint="eastAsia" w:ascii="方正仿宋_GBK" w:hAnsi="方正仿宋_GBK" w:eastAsia="方正仿宋_GBK" w:cs="方正仿宋_GBK"/>
          <w:color w:val="auto"/>
          <w:kern w:val="0"/>
          <w:sz w:val="32"/>
          <w:szCs w:val="32"/>
          <w:shd w:val="clear"/>
          <w:lang w:val="en-US" w:eastAsia="zh-CN" w:bidi="ar-SA"/>
        </w:rPr>
        <w:t>项目完工时间指标，预期指标值2022年12月，实际完成值2022年12月，与预期目标一致，根据评分标准，该指标不扣分，得5分。</w:t>
      </w:r>
    </w:p>
    <w:p>
      <w:pPr>
        <w:pageBreakBefore w:val="0"/>
        <w:kinsoku/>
        <w:wordWrap/>
        <w:topLinePunct w:val="0"/>
        <w:autoSpaceDE/>
        <w:autoSpaceDN/>
        <w:bidi w:val="0"/>
        <w:spacing w:line="560" w:lineRule="exact"/>
        <w:ind w:firstLine="643"/>
        <w:rPr>
          <w:rFonts w:hint="eastAsia" w:ascii="方正仿宋_GBK" w:hAnsi="方正仿宋_GBK" w:eastAsia="方正仿宋_GBK" w:cs="方正仿宋_GBK"/>
          <w:color w:val="auto"/>
          <w:kern w:val="0"/>
          <w:sz w:val="32"/>
          <w:szCs w:val="32"/>
          <w:shd w:val="clear"/>
          <w:lang w:val="en-US" w:eastAsia="zh-CN" w:bidi="ar-SA"/>
        </w:rPr>
      </w:pPr>
      <w:r>
        <w:rPr>
          <w:rFonts w:hint="eastAsia" w:ascii="方正仿宋_GBK" w:hAnsi="方正仿宋_GBK" w:eastAsia="方正仿宋_GBK" w:cs="方正仿宋_GBK"/>
          <w:color w:val="auto"/>
          <w:kern w:val="0"/>
          <w:sz w:val="32"/>
          <w:szCs w:val="32"/>
          <w:shd w:val="clear"/>
          <w:lang w:val="en-US" w:eastAsia="zh-CN" w:bidi="ar-SA"/>
        </w:rPr>
        <w:t>合计得10分。</w:t>
      </w:r>
    </w:p>
    <w:p>
      <w:pPr>
        <w:pageBreakBefore w:val="0"/>
        <w:numPr>
          <w:ilvl w:val="0"/>
          <w:numId w:val="0"/>
        </w:numPr>
        <w:kinsoku/>
        <w:wordWrap/>
        <w:topLinePunct w:val="0"/>
        <w:autoSpaceDE/>
        <w:autoSpaceDN/>
        <w:bidi w:val="0"/>
        <w:spacing w:line="560" w:lineRule="exact"/>
        <w:rPr>
          <w:rFonts w:hint="eastAsia" w:ascii="Times New Roman" w:hAnsi="Times New Roman" w:eastAsia="方正仿宋_GBK" w:cs="方正仿宋_GBK"/>
          <w:b/>
          <w:bCs/>
          <w:color w:val="auto"/>
          <w:sz w:val="32"/>
          <w:szCs w:val="32"/>
        </w:rPr>
      </w:pPr>
      <w:r>
        <w:rPr>
          <w:rFonts w:hint="eastAsia" w:ascii="Times New Roman" w:hAnsi="Times New Roman" w:eastAsia="方正仿宋_GBK" w:cs="方正仿宋_GBK"/>
          <w:b/>
          <w:bCs/>
          <w:color w:val="auto"/>
          <w:sz w:val="32"/>
          <w:szCs w:val="32"/>
        </w:rPr>
        <w:t>（4）对于“产出成本”：</w:t>
      </w:r>
    </w:p>
    <w:p>
      <w:pPr>
        <w:pageBreakBefore w:val="0"/>
        <w:kinsoku/>
        <w:wordWrap/>
        <w:topLinePunct w:val="0"/>
        <w:autoSpaceDE/>
        <w:autoSpaceDN/>
        <w:bidi w:val="0"/>
        <w:spacing w:line="560" w:lineRule="exact"/>
        <w:ind w:firstLine="643"/>
        <w:rPr>
          <w:rFonts w:hint="eastAsia" w:ascii="方正仿宋_GBK" w:hAnsi="方正仿宋_GBK" w:eastAsia="方正仿宋_GBK" w:cs="方正仿宋_GBK"/>
          <w:color w:val="auto"/>
          <w:kern w:val="0"/>
          <w:sz w:val="32"/>
          <w:szCs w:val="32"/>
          <w:shd w:val="clear"/>
          <w:lang w:val="en-US" w:eastAsia="zh-CN" w:bidi="ar-SA"/>
        </w:rPr>
      </w:pPr>
      <w:r>
        <w:rPr>
          <w:rFonts w:hint="eastAsia" w:ascii="方正仿宋_GBK" w:hAnsi="方正仿宋_GBK" w:eastAsia="方正仿宋_GBK" w:cs="方正仿宋_GBK"/>
          <w:color w:val="auto"/>
          <w:kern w:val="0"/>
          <w:sz w:val="32"/>
          <w:szCs w:val="32"/>
          <w:shd w:val="clear"/>
          <w:lang w:val="en-US" w:eastAsia="zh-CN" w:bidi="ar-SA"/>
        </w:rPr>
        <w:t>采集土壤样品流转费（万元）指标，预期指标值小于等于8.35万元，实际完成值8.35万元，与预期目标一致，根据评分标准，该指标不扣分，得3分。</w:t>
      </w:r>
    </w:p>
    <w:p>
      <w:pPr>
        <w:pageBreakBefore w:val="0"/>
        <w:kinsoku/>
        <w:wordWrap/>
        <w:topLinePunct w:val="0"/>
        <w:autoSpaceDE/>
        <w:autoSpaceDN/>
        <w:bidi w:val="0"/>
        <w:spacing w:line="560" w:lineRule="exact"/>
        <w:ind w:firstLine="643"/>
        <w:rPr>
          <w:rFonts w:hint="eastAsia" w:ascii="方正仿宋_GBK" w:hAnsi="方正仿宋_GBK" w:eastAsia="方正仿宋_GBK" w:cs="方正仿宋_GBK"/>
          <w:color w:val="auto"/>
          <w:kern w:val="0"/>
          <w:sz w:val="32"/>
          <w:szCs w:val="32"/>
          <w:shd w:val="clear"/>
          <w:lang w:val="en-US" w:eastAsia="zh-CN" w:bidi="ar-SA"/>
        </w:rPr>
      </w:pPr>
      <w:r>
        <w:rPr>
          <w:rFonts w:hint="eastAsia" w:ascii="方正仿宋_GBK" w:hAnsi="方正仿宋_GBK" w:eastAsia="方正仿宋_GBK" w:cs="方正仿宋_GBK"/>
          <w:color w:val="auto"/>
          <w:kern w:val="0"/>
          <w:sz w:val="32"/>
          <w:szCs w:val="32"/>
          <w:shd w:val="clear"/>
          <w:lang w:val="en-US" w:eastAsia="zh-CN" w:bidi="ar-SA"/>
        </w:rPr>
        <w:t>土壤样品检测分析费用（万元）指标，预期指标值小于等于102.05万元，实际完成值102.05万元，与预期目标一致，根据评分标准，该指标不扣分，得2分。</w:t>
      </w:r>
    </w:p>
    <w:p>
      <w:pPr>
        <w:pageBreakBefore w:val="0"/>
        <w:kinsoku/>
        <w:wordWrap/>
        <w:topLinePunct w:val="0"/>
        <w:autoSpaceDE/>
        <w:autoSpaceDN/>
        <w:bidi w:val="0"/>
        <w:spacing w:line="560" w:lineRule="exact"/>
        <w:ind w:firstLine="643"/>
        <w:rPr>
          <w:rFonts w:hint="eastAsia" w:ascii="方正仿宋_GBK" w:hAnsi="方正仿宋_GBK" w:eastAsia="方正仿宋_GBK" w:cs="方正仿宋_GBK"/>
          <w:color w:val="auto"/>
          <w:kern w:val="0"/>
          <w:sz w:val="32"/>
          <w:szCs w:val="32"/>
          <w:shd w:val="clear"/>
          <w:lang w:val="en-US" w:eastAsia="zh-CN" w:bidi="ar-SA"/>
        </w:rPr>
      </w:pPr>
      <w:r>
        <w:rPr>
          <w:rFonts w:hint="eastAsia" w:ascii="方正仿宋_GBK" w:hAnsi="方正仿宋_GBK" w:eastAsia="方正仿宋_GBK" w:cs="方正仿宋_GBK"/>
          <w:color w:val="auto"/>
          <w:kern w:val="0"/>
          <w:sz w:val="32"/>
          <w:szCs w:val="32"/>
          <w:shd w:val="clear"/>
          <w:lang w:val="en-US" w:eastAsia="zh-CN" w:bidi="ar-SA"/>
        </w:rPr>
        <w:t>购置取土壤样品的耗材成本（万元/批）指标，预期指标值小于等于1.474万元/批，实际完成值1.474万元/批，与预期目标一致，根据评分标准，该指标不扣分，得3分。</w:t>
      </w:r>
    </w:p>
    <w:p>
      <w:pPr>
        <w:pageBreakBefore w:val="0"/>
        <w:kinsoku/>
        <w:wordWrap/>
        <w:topLinePunct w:val="0"/>
        <w:autoSpaceDE/>
        <w:autoSpaceDN/>
        <w:bidi w:val="0"/>
        <w:spacing w:line="560" w:lineRule="exact"/>
        <w:ind w:firstLine="643"/>
        <w:rPr>
          <w:rFonts w:hint="eastAsia" w:ascii="方正仿宋_GBK" w:hAnsi="方正仿宋_GBK" w:eastAsia="方正仿宋_GBK" w:cs="方正仿宋_GBK"/>
          <w:b/>
          <w:bCs/>
          <w:color w:val="auto"/>
          <w:kern w:val="0"/>
          <w:sz w:val="32"/>
          <w:szCs w:val="32"/>
          <w:shd w:val="clear"/>
          <w:lang w:val="en-US" w:eastAsia="zh-CN" w:bidi="ar-SA"/>
        </w:rPr>
      </w:pPr>
      <w:r>
        <w:rPr>
          <w:rFonts w:hint="eastAsia" w:ascii="方正仿宋_GBK" w:hAnsi="方正仿宋_GBK" w:eastAsia="方正仿宋_GBK" w:cs="方正仿宋_GBK"/>
          <w:color w:val="auto"/>
          <w:kern w:val="0"/>
          <w:sz w:val="32"/>
          <w:szCs w:val="32"/>
          <w:shd w:val="clear"/>
          <w:lang w:val="en-US" w:eastAsia="zh-CN" w:bidi="ar-SA"/>
        </w:rPr>
        <w:t>购置土壤样品的工具成本（万元/批）指标，预期指标值小于等于8万元/批，实际完成值8万元/批，与预期目标一致，根据评分标准，该指标不扣分，得2分。</w:t>
      </w:r>
    </w:p>
    <w:p>
      <w:pPr>
        <w:pageBreakBefore w:val="0"/>
        <w:kinsoku/>
        <w:wordWrap/>
        <w:topLinePunct w:val="0"/>
        <w:autoSpaceDE/>
        <w:autoSpaceDN/>
        <w:bidi w:val="0"/>
        <w:spacing w:line="560" w:lineRule="exact"/>
        <w:ind w:firstLine="643"/>
        <w:rPr>
          <w:rFonts w:hint="eastAsia"/>
          <w:color w:val="auto"/>
          <w:lang w:val="en-US" w:eastAsia="zh-CN"/>
        </w:rPr>
      </w:pPr>
      <w:r>
        <w:rPr>
          <w:rFonts w:hint="eastAsia" w:ascii="方正仿宋_GBK" w:hAnsi="方正仿宋_GBK" w:eastAsia="方正仿宋_GBK" w:cs="方正仿宋_GBK"/>
          <w:color w:val="auto"/>
          <w:kern w:val="0"/>
          <w:sz w:val="32"/>
          <w:szCs w:val="32"/>
          <w:shd w:val="clear"/>
          <w:lang w:val="en-US" w:eastAsia="zh-CN" w:bidi="ar-SA"/>
        </w:rPr>
        <w:t>合计得10分。</w:t>
      </w:r>
    </w:p>
    <w:p>
      <w:pPr>
        <w:pStyle w:val="55"/>
        <w:keepNext/>
        <w:keepLines/>
        <w:pageBreakBefore w:val="0"/>
        <w:widowControl w:val="0"/>
        <w:kinsoku/>
        <w:wordWrap/>
        <w:overflowPunct/>
        <w:topLinePunct w:val="0"/>
        <w:autoSpaceDE/>
        <w:autoSpaceDN/>
        <w:bidi w:val="0"/>
        <w:adjustRightInd/>
        <w:snapToGrid/>
        <w:spacing w:line="560" w:lineRule="exact"/>
        <w:ind w:left="560"/>
        <w:textAlignment w:val="auto"/>
        <w:rPr>
          <w:rFonts w:hint="eastAsia" w:ascii="方正楷体_GBK" w:hAnsi="方正楷体_GBK" w:eastAsia="方正楷体_GBK" w:cs="方正楷体_GBK"/>
          <w:b/>
          <w:bCs/>
          <w:color w:val="auto"/>
          <w:sz w:val="32"/>
        </w:rPr>
      </w:pPr>
      <w:r>
        <w:rPr>
          <w:rFonts w:hint="eastAsia" w:ascii="方正楷体_GBK" w:hAnsi="方正楷体_GBK" w:eastAsia="方正楷体_GBK" w:cs="方正楷体_GBK"/>
          <w:b/>
          <w:bCs/>
          <w:color w:val="auto"/>
          <w:sz w:val="32"/>
        </w:rPr>
        <w:t>（四）项目效益情况</w:t>
      </w:r>
    </w:p>
    <w:p>
      <w:pPr>
        <w:pageBreakBefore w:val="0"/>
        <w:kinsoku/>
        <w:wordWrap/>
        <w:topLinePunct w:val="0"/>
        <w:autoSpaceDE/>
        <w:autoSpaceDN/>
        <w:bidi w:val="0"/>
        <w:spacing w:line="560" w:lineRule="exact"/>
        <w:ind w:firstLine="643"/>
        <w:rPr>
          <w:rFonts w:hint="eastAsia" w:ascii="方正仿宋_GBK" w:hAnsi="方正仿宋_GBK" w:eastAsia="方正仿宋_GBK" w:cs="方正仿宋_GBK"/>
          <w:color w:val="auto"/>
          <w:kern w:val="0"/>
          <w:sz w:val="32"/>
          <w:szCs w:val="32"/>
          <w:shd w:val="clear"/>
          <w:lang w:val="en-US" w:eastAsia="zh-CN" w:bidi="ar-SA"/>
        </w:rPr>
      </w:pPr>
      <w:r>
        <w:rPr>
          <w:rFonts w:hint="eastAsia" w:ascii="方正仿宋_GBK" w:hAnsi="方正仿宋_GBK" w:eastAsia="方正仿宋_GBK" w:cs="方正仿宋_GBK"/>
          <w:color w:val="auto"/>
          <w:kern w:val="0"/>
          <w:sz w:val="32"/>
          <w:szCs w:val="32"/>
          <w:shd w:val="clear"/>
          <w:lang w:val="en-US" w:eastAsia="zh-CN" w:bidi="ar-SA"/>
        </w:rPr>
        <w:t>项目效益类指标包括项目效益1个方面的内容，由3个三级指标构成，权重分为20分，实际得分20分，得分率为100%。</w:t>
      </w:r>
    </w:p>
    <w:p>
      <w:pPr>
        <w:pageBreakBefore w:val="0"/>
        <w:kinsoku/>
        <w:wordWrap/>
        <w:overflowPunct w:val="0"/>
        <w:topLinePunct w:val="0"/>
        <w:autoSpaceDE/>
        <w:autoSpaceDN/>
        <w:bidi w:val="0"/>
        <w:spacing w:line="560" w:lineRule="exact"/>
        <w:ind w:firstLine="643"/>
        <w:contextualSpacing/>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lang w:val="en-US" w:eastAsia="zh-CN"/>
        </w:rPr>
        <w:t>1.</w:t>
      </w:r>
      <w:r>
        <w:rPr>
          <w:rFonts w:hint="eastAsia" w:ascii="方正仿宋_GBK" w:hAnsi="方正仿宋_GBK" w:eastAsia="方正仿宋_GBK" w:cs="方正仿宋_GBK"/>
          <w:b/>
          <w:bCs/>
          <w:color w:val="auto"/>
          <w:sz w:val="32"/>
          <w:szCs w:val="32"/>
        </w:rPr>
        <w:t>实施效益指标：</w:t>
      </w:r>
    </w:p>
    <w:p>
      <w:pPr>
        <w:pageBreakBefore w:val="0"/>
        <w:kinsoku/>
        <w:wordWrap/>
        <w:topLinePunct w:val="0"/>
        <w:autoSpaceDE/>
        <w:autoSpaceDN/>
        <w:bidi w:val="0"/>
        <w:spacing w:line="560" w:lineRule="exact"/>
        <w:ind w:firstLine="643"/>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lang w:eastAsia="zh-CN"/>
        </w:rPr>
        <w:t>（</w:t>
      </w:r>
      <w:r>
        <w:rPr>
          <w:rFonts w:hint="eastAsia" w:ascii="方正仿宋_GBK" w:hAnsi="方正仿宋_GBK" w:eastAsia="方正仿宋_GBK" w:cs="方正仿宋_GBK"/>
          <w:b/>
          <w:bCs/>
          <w:color w:val="auto"/>
          <w:sz w:val="32"/>
          <w:szCs w:val="32"/>
          <w:lang w:val="en-US" w:eastAsia="zh-CN"/>
        </w:rPr>
        <w:t>1</w:t>
      </w:r>
      <w:r>
        <w:rPr>
          <w:rFonts w:hint="eastAsia" w:ascii="方正仿宋_GBK" w:hAnsi="方正仿宋_GBK" w:eastAsia="方正仿宋_GBK" w:cs="方正仿宋_GBK"/>
          <w:b/>
          <w:bCs/>
          <w:color w:val="auto"/>
          <w:sz w:val="32"/>
          <w:szCs w:val="32"/>
          <w:lang w:eastAsia="zh-CN"/>
        </w:rPr>
        <w:t>）</w:t>
      </w:r>
      <w:r>
        <w:rPr>
          <w:rFonts w:hint="eastAsia" w:ascii="方正仿宋_GBK" w:hAnsi="方正仿宋_GBK" w:eastAsia="方正仿宋_GBK" w:cs="方正仿宋_GBK"/>
          <w:b/>
          <w:bCs/>
          <w:color w:val="auto"/>
          <w:sz w:val="32"/>
          <w:szCs w:val="32"/>
        </w:rPr>
        <w:t>对于“社会效益指标”：</w:t>
      </w:r>
    </w:p>
    <w:p>
      <w:pPr>
        <w:pStyle w:val="13"/>
        <w:pageBreakBefore w:val="0"/>
        <w:kinsoku/>
        <w:wordWrap/>
        <w:topLinePunct w:val="0"/>
        <w:autoSpaceDE/>
        <w:autoSpaceDN/>
        <w:bidi w:val="0"/>
        <w:spacing w:before="0" w:after="0" w:line="560" w:lineRule="exact"/>
        <w:ind w:firstLine="640"/>
        <w:jc w:val="both"/>
        <w:rPr>
          <w:rFonts w:hint="eastAsia" w:ascii="Times New Roman" w:hAnsi="Times New Roman" w:eastAsia="方正仿宋_GBK" w:cs="方正仿宋_GBK"/>
          <w:b w:val="0"/>
          <w:color w:val="auto"/>
          <w:sz w:val="32"/>
          <w:szCs w:val="32"/>
        </w:rPr>
      </w:pPr>
      <w:r>
        <w:rPr>
          <w:rFonts w:hint="eastAsia" w:ascii="Times New Roman" w:hAnsi="Times New Roman" w:eastAsia="方正仿宋_GBK" w:cs="方正仿宋_GBK"/>
          <w:b w:val="0"/>
          <w:color w:val="auto"/>
          <w:sz w:val="32"/>
          <w:szCs w:val="32"/>
          <w:lang w:val="en-US" w:eastAsia="zh-CN"/>
        </w:rPr>
        <w:t>提升土壤资源保护和利用水平指标</w:t>
      </w:r>
      <w:r>
        <w:rPr>
          <w:rFonts w:hint="eastAsia" w:eastAsia="方正仿宋_GBK" w:cs="方正仿宋_GBK"/>
          <w:b w:val="0"/>
          <w:color w:val="auto"/>
          <w:sz w:val="32"/>
          <w:szCs w:val="32"/>
          <w:lang w:val="en-US" w:eastAsia="zh-CN"/>
        </w:rPr>
        <w:t>，</w:t>
      </w:r>
      <w:r>
        <w:rPr>
          <w:rFonts w:hint="eastAsia" w:ascii="Times New Roman" w:hAnsi="Times New Roman" w:eastAsia="方正仿宋_GBK" w:cs="方正仿宋_GBK"/>
          <w:b w:val="0"/>
          <w:color w:val="auto"/>
          <w:sz w:val="32"/>
          <w:szCs w:val="32"/>
          <w:lang w:val="en-US" w:eastAsia="zh-CN"/>
        </w:rPr>
        <w:t>预期指标有效提升</w:t>
      </w:r>
      <w:r>
        <w:rPr>
          <w:rFonts w:hint="eastAsia" w:eastAsia="方正仿宋_GBK" w:cs="方正仿宋_GBK"/>
          <w:b w:val="0"/>
          <w:color w:val="auto"/>
          <w:sz w:val="32"/>
          <w:szCs w:val="32"/>
          <w:lang w:val="en-US" w:eastAsia="zh-CN"/>
        </w:rPr>
        <w:t>，</w:t>
      </w:r>
      <w:r>
        <w:rPr>
          <w:rFonts w:hint="eastAsia" w:ascii="Times New Roman" w:hAnsi="Times New Roman" w:eastAsia="方正仿宋_GBK" w:cs="方正仿宋_GBK"/>
          <w:b w:val="0"/>
          <w:color w:val="auto"/>
          <w:sz w:val="32"/>
          <w:szCs w:val="32"/>
          <w:lang w:val="en-US" w:eastAsia="zh-CN"/>
        </w:rPr>
        <w:t>实际完成值有效提升</w:t>
      </w:r>
      <w:r>
        <w:rPr>
          <w:rFonts w:hint="eastAsia" w:eastAsia="方正仿宋_GBK" w:cs="方正仿宋_GBK"/>
          <w:b w:val="0"/>
          <w:color w:val="auto"/>
          <w:sz w:val="32"/>
          <w:szCs w:val="32"/>
          <w:lang w:val="en-US" w:eastAsia="zh-CN"/>
        </w:rPr>
        <w:t>，</w:t>
      </w:r>
      <w:r>
        <w:rPr>
          <w:rFonts w:hint="eastAsia" w:ascii="Times New Roman" w:hAnsi="Times New Roman" w:eastAsia="方正仿宋_GBK" w:cs="方正仿宋_GBK"/>
          <w:b w:val="0"/>
          <w:color w:val="auto"/>
          <w:sz w:val="32"/>
          <w:szCs w:val="32"/>
        </w:rPr>
        <w:t>与预期指标一致</w:t>
      </w:r>
      <w:r>
        <w:rPr>
          <w:rFonts w:hint="eastAsia" w:eastAsia="方正仿宋_GBK" w:cs="方正仿宋_GBK"/>
          <w:b w:val="0"/>
          <w:color w:val="auto"/>
          <w:sz w:val="32"/>
          <w:szCs w:val="32"/>
          <w:lang w:eastAsia="zh-CN"/>
        </w:rPr>
        <w:t>，</w:t>
      </w:r>
      <w:r>
        <w:rPr>
          <w:rFonts w:hint="eastAsia" w:ascii="Times New Roman" w:hAnsi="Times New Roman" w:eastAsia="方正仿宋_GBK" w:cs="方正仿宋_GBK"/>
          <w:b w:val="0"/>
          <w:color w:val="auto"/>
          <w:sz w:val="32"/>
          <w:szCs w:val="32"/>
        </w:rPr>
        <w:t>根据评分标准</w:t>
      </w:r>
      <w:r>
        <w:rPr>
          <w:rFonts w:hint="eastAsia" w:eastAsia="方正仿宋_GBK" w:cs="方正仿宋_GBK"/>
          <w:b w:val="0"/>
          <w:color w:val="auto"/>
          <w:sz w:val="32"/>
          <w:szCs w:val="32"/>
          <w:lang w:eastAsia="zh-CN"/>
        </w:rPr>
        <w:t>，</w:t>
      </w:r>
      <w:r>
        <w:rPr>
          <w:rFonts w:hint="eastAsia" w:ascii="Times New Roman" w:hAnsi="Times New Roman" w:eastAsia="方正仿宋_GBK" w:cs="方正仿宋_GBK"/>
          <w:b w:val="0"/>
          <w:color w:val="auto"/>
          <w:sz w:val="32"/>
          <w:szCs w:val="32"/>
        </w:rPr>
        <w:t>该指标不扣分</w:t>
      </w:r>
      <w:r>
        <w:rPr>
          <w:rFonts w:hint="eastAsia" w:ascii="方正仿宋_GBK" w:hAnsi="方正仿宋_GBK" w:eastAsia="方正仿宋_GBK" w:cs="方正仿宋_GBK"/>
          <w:b w:val="0"/>
          <w:color w:val="auto"/>
          <w:sz w:val="32"/>
          <w:szCs w:val="32"/>
          <w:lang w:eastAsia="zh-CN"/>
        </w:rPr>
        <w:t>，</w:t>
      </w:r>
      <w:r>
        <w:rPr>
          <w:rFonts w:hint="eastAsia" w:ascii="方正仿宋_GBK" w:hAnsi="方正仿宋_GBK" w:eastAsia="方正仿宋_GBK" w:cs="方正仿宋_GBK"/>
          <w:b w:val="0"/>
          <w:color w:val="auto"/>
          <w:sz w:val="32"/>
          <w:szCs w:val="32"/>
        </w:rPr>
        <w:t>得</w:t>
      </w:r>
      <w:r>
        <w:rPr>
          <w:rFonts w:hint="eastAsia" w:ascii="方正仿宋_GBK" w:hAnsi="方正仿宋_GBK" w:eastAsia="方正仿宋_GBK" w:cs="方正仿宋_GBK"/>
          <w:b w:val="0"/>
          <w:color w:val="auto"/>
          <w:sz w:val="32"/>
          <w:szCs w:val="32"/>
          <w:lang w:val="en-US" w:eastAsia="zh-CN"/>
        </w:rPr>
        <w:t>5</w:t>
      </w:r>
      <w:r>
        <w:rPr>
          <w:rFonts w:hint="eastAsia" w:ascii="方正仿宋_GBK" w:hAnsi="方正仿宋_GBK" w:eastAsia="方正仿宋_GBK" w:cs="方正仿宋_GBK"/>
          <w:b w:val="0"/>
          <w:color w:val="auto"/>
          <w:sz w:val="32"/>
          <w:szCs w:val="32"/>
        </w:rPr>
        <w:t>分。</w:t>
      </w:r>
    </w:p>
    <w:p>
      <w:pPr>
        <w:pageBreakBefore w:val="0"/>
        <w:kinsoku/>
        <w:wordWrap/>
        <w:topLinePunct w:val="0"/>
        <w:autoSpaceDE/>
        <w:autoSpaceDN/>
        <w:bidi w:val="0"/>
        <w:spacing w:line="560" w:lineRule="exact"/>
        <w:ind w:firstLine="643"/>
        <w:rPr>
          <w:rFonts w:hint="eastAsia" w:ascii="方正仿宋_GBK" w:hAnsi="方正仿宋_GBK" w:eastAsia="方正仿宋_GBK" w:cs="方正仿宋_GBK"/>
          <w:b/>
          <w:bCs/>
          <w:color w:val="auto"/>
          <w:sz w:val="32"/>
          <w:szCs w:val="32"/>
          <w:lang w:eastAsia="zh-CN"/>
        </w:rPr>
      </w:pPr>
      <w:r>
        <w:rPr>
          <w:rFonts w:hint="eastAsia" w:ascii="方正仿宋_GBK" w:hAnsi="方正仿宋_GBK" w:eastAsia="方正仿宋_GBK" w:cs="方正仿宋_GBK"/>
          <w:b/>
          <w:bCs/>
          <w:color w:val="auto"/>
          <w:sz w:val="32"/>
          <w:szCs w:val="32"/>
          <w:lang w:eastAsia="zh-CN"/>
        </w:rPr>
        <w:t>（</w:t>
      </w:r>
      <w:r>
        <w:rPr>
          <w:rFonts w:hint="eastAsia" w:ascii="方正仿宋_GBK" w:hAnsi="方正仿宋_GBK" w:eastAsia="方正仿宋_GBK" w:cs="方正仿宋_GBK"/>
          <w:b/>
          <w:bCs/>
          <w:color w:val="auto"/>
          <w:sz w:val="32"/>
          <w:szCs w:val="32"/>
          <w:lang w:val="en-US" w:eastAsia="zh-CN"/>
        </w:rPr>
        <w:t>2</w:t>
      </w:r>
      <w:r>
        <w:rPr>
          <w:rFonts w:hint="eastAsia" w:ascii="方正仿宋_GBK" w:hAnsi="方正仿宋_GBK" w:eastAsia="方正仿宋_GBK" w:cs="方正仿宋_GBK"/>
          <w:b/>
          <w:bCs/>
          <w:color w:val="auto"/>
          <w:sz w:val="32"/>
          <w:szCs w:val="32"/>
          <w:lang w:eastAsia="zh-CN"/>
        </w:rPr>
        <w:t>）对于“可持续</w:t>
      </w:r>
      <w:r>
        <w:rPr>
          <w:rFonts w:hint="eastAsia" w:ascii="方正仿宋_GBK" w:hAnsi="方正仿宋_GBK" w:eastAsia="方正仿宋_GBK" w:cs="方正仿宋_GBK"/>
          <w:b/>
          <w:bCs/>
          <w:color w:val="auto"/>
          <w:sz w:val="32"/>
          <w:szCs w:val="32"/>
          <w:lang w:val="en-US" w:eastAsia="zh-CN"/>
        </w:rPr>
        <w:t>效益</w:t>
      </w:r>
      <w:r>
        <w:rPr>
          <w:rFonts w:hint="eastAsia" w:ascii="方正仿宋_GBK" w:hAnsi="方正仿宋_GBK" w:eastAsia="方正仿宋_GBK" w:cs="方正仿宋_GBK"/>
          <w:b/>
          <w:bCs/>
          <w:color w:val="auto"/>
          <w:sz w:val="32"/>
          <w:szCs w:val="32"/>
          <w:lang w:eastAsia="zh-CN"/>
        </w:rPr>
        <w:t>指标”：</w:t>
      </w:r>
    </w:p>
    <w:p>
      <w:pPr>
        <w:pageBreakBefore w:val="0"/>
        <w:kinsoku/>
        <w:wordWrap/>
        <w:topLinePunct w:val="0"/>
        <w:autoSpaceDE/>
        <w:autoSpaceDN/>
        <w:bidi w:val="0"/>
        <w:spacing w:line="560" w:lineRule="exact"/>
        <w:ind w:firstLine="643"/>
        <w:rPr>
          <w:rFonts w:hint="eastAsia" w:ascii="方正仿宋_GBK" w:hAnsi="方正仿宋_GBK" w:eastAsia="方正仿宋_GBK" w:cs="方正仿宋_GBK"/>
          <w:b w:val="0"/>
          <w:color w:val="auto"/>
          <w:kern w:val="2"/>
          <w:sz w:val="32"/>
          <w:szCs w:val="32"/>
          <w:lang w:val="en-US" w:eastAsia="zh-CN" w:bidi="ar-SA"/>
        </w:rPr>
      </w:pPr>
      <w:r>
        <w:rPr>
          <w:rFonts w:hint="eastAsia" w:ascii="Times New Roman" w:hAnsi="Times New Roman" w:eastAsia="方正仿宋_GBK" w:cs="方正仿宋_GBK"/>
          <w:b w:val="0"/>
          <w:color w:val="auto"/>
          <w:sz w:val="32"/>
          <w:szCs w:val="32"/>
          <w:lang w:val="en-US" w:eastAsia="zh-CN"/>
        </w:rPr>
        <w:tab/>
      </w:r>
      <w:r>
        <w:rPr>
          <w:rFonts w:hint="eastAsia" w:ascii="方正仿宋_GBK" w:hAnsi="方正仿宋_GBK" w:eastAsia="方正仿宋_GBK" w:cs="方正仿宋_GBK"/>
          <w:b w:val="0"/>
          <w:color w:val="auto"/>
          <w:kern w:val="2"/>
          <w:sz w:val="32"/>
          <w:szCs w:val="32"/>
          <w:lang w:val="en-US" w:eastAsia="zh-CN" w:bidi="ar-SA"/>
        </w:rPr>
        <w:t>推进农业高质量发展指标，预期指标持续推进，实际完成值持续推进，与预期指标一致，根据评分标准，该指标不扣分，得5分。</w:t>
      </w:r>
    </w:p>
    <w:p>
      <w:pPr>
        <w:pStyle w:val="13"/>
        <w:pageBreakBefore w:val="0"/>
        <w:kinsoku/>
        <w:wordWrap/>
        <w:topLinePunct w:val="0"/>
        <w:autoSpaceDE/>
        <w:autoSpaceDN/>
        <w:bidi w:val="0"/>
        <w:spacing w:before="0" w:after="0" w:line="560" w:lineRule="exact"/>
        <w:ind w:firstLine="640"/>
        <w:jc w:val="both"/>
        <w:rPr>
          <w:rFonts w:hint="eastAsia" w:ascii="方正仿宋_GBK" w:hAnsi="方正仿宋_GBK" w:eastAsia="方正仿宋_GBK" w:cs="方正仿宋_GBK"/>
          <w:b w:val="0"/>
          <w:color w:val="auto"/>
          <w:kern w:val="2"/>
          <w:sz w:val="32"/>
          <w:szCs w:val="32"/>
          <w:lang w:val="en-US" w:eastAsia="zh-CN" w:bidi="ar-SA"/>
        </w:rPr>
      </w:pPr>
      <w:r>
        <w:rPr>
          <w:rFonts w:hint="eastAsia" w:ascii="方正仿宋_GBK" w:hAnsi="方正仿宋_GBK" w:eastAsia="方正仿宋_GBK" w:cs="方正仿宋_GBK"/>
          <w:b w:val="0"/>
          <w:color w:val="auto"/>
          <w:kern w:val="2"/>
          <w:sz w:val="32"/>
          <w:szCs w:val="32"/>
          <w:lang w:val="en-US" w:eastAsia="zh-CN" w:bidi="ar-SA"/>
        </w:rPr>
        <w:t>合计得10分。</w:t>
      </w:r>
    </w:p>
    <w:p>
      <w:pPr>
        <w:pageBreakBefore w:val="0"/>
        <w:kinsoku/>
        <w:wordWrap/>
        <w:overflowPunct w:val="0"/>
        <w:topLinePunct w:val="0"/>
        <w:autoSpaceDE/>
        <w:autoSpaceDN/>
        <w:bidi w:val="0"/>
        <w:spacing w:line="560" w:lineRule="exact"/>
        <w:ind w:firstLine="643"/>
        <w:contextualSpacing/>
        <w:rPr>
          <w:rFonts w:hint="eastAsia" w:ascii="方正仿宋_GBK" w:hAnsi="方正仿宋_GBK" w:eastAsia="方正仿宋_GBK" w:cs="方正仿宋_GBK"/>
          <w:b/>
          <w:bCs/>
          <w:color w:val="auto"/>
          <w:sz w:val="32"/>
          <w:szCs w:val="32"/>
          <w:lang w:val="en-US" w:eastAsia="zh-CN"/>
        </w:rPr>
      </w:pPr>
      <w:r>
        <w:rPr>
          <w:rFonts w:hint="eastAsia" w:ascii="方正仿宋_GBK" w:hAnsi="方正仿宋_GBK" w:eastAsia="方正仿宋_GBK" w:cs="方正仿宋_GBK"/>
          <w:b/>
          <w:bCs/>
          <w:color w:val="auto"/>
          <w:sz w:val="32"/>
          <w:szCs w:val="32"/>
          <w:lang w:val="en-US" w:eastAsia="zh-CN"/>
        </w:rPr>
        <w:t>2.满意度指标</w:t>
      </w:r>
    </w:p>
    <w:bookmarkEnd w:id="13"/>
    <w:p>
      <w:pPr>
        <w:pStyle w:val="13"/>
        <w:pageBreakBefore w:val="0"/>
        <w:kinsoku/>
        <w:wordWrap/>
        <w:topLinePunct w:val="0"/>
        <w:autoSpaceDE/>
        <w:autoSpaceDN/>
        <w:bidi w:val="0"/>
        <w:spacing w:before="0" w:after="0" w:line="560" w:lineRule="exact"/>
        <w:ind w:firstLine="640"/>
        <w:jc w:val="both"/>
        <w:rPr>
          <w:rFonts w:hint="eastAsia" w:ascii="方正仿宋_GBK" w:hAnsi="方正仿宋_GBK" w:eastAsia="方正仿宋_GBK" w:cs="方正仿宋_GBK"/>
          <w:b w:val="0"/>
          <w:color w:val="auto"/>
          <w:kern w:val="2"/>
          <w:sz w:val="32"/>
          <w:szCs w:val="32"/>
          <w:lang w:val="en-US" w:eastAsia="zh-CN" w:bidi="ar-SA"/>
        </w:rPr>
      </w:pPr>
      <w:r>
        <w:rPr>
          <w:rFonts w:hint="eastAsia" w:ascii="方正仿宋_GBK" w:hAnsi="方正仿宋_GBK" w:eastAsia="方正仿宋_GBK" w:cs="方正仿宋_GBK"/>
          <w:b w:val="0"/>
          <w:color w:val="auto"/>
          <w:kern w:val="2"/>
          <w:sz w:val="32"/>
          <w:szCs w:val="32"/>
          <w:lang w:val="en-US" w:eastAsia="zh-CN" w:bidi="ar-SA"/>
        </w:rPr>
        <w:t>受益农户满意度（%）指标，预期指标大于等于95%，实际完成值等于97.75%，与预期指标一致，根据评分标准，该指标不扣分，得10分。</w:t>
      </w:r>
    </w:p>
    <w:p>
      <w:pPr>
        <w:pStyle w:val="13"/>
        <w:spacing w:before="0" w:after="0" w:line="560" w:lineRule="exact"/>
        <w:ind w:firstLine="640"/>
        <w:jc w:val="both"/>
        <w:rPr>
          <w:rFonts w:hint="eastAsia" w:ascii="方正仿宋_GBK" w:hAnsi="方正仿宋_GBK" w:eastAsia="方正仿宋_GBK" w:cs="方正仿宋_GBK"/>
          <w:b w:val="0"/>
          <w:color w:val="auto"/>
          <w:kern w:val="2"/>
          <w:sz w:val="32"/>
          <w:szCs w:val="32"/>
          <w:lang w:val="en-US" w:eastAsia="zh-CN" w:bidi="ar-SA"/>
        </w:rPr>
      </w:pPr>
      <w:r>
        <w:rPr>
          <w:rFonts w:hint="eastAsia" w:ascii="方正仿宋_GBK" w:hAnsi="方正仿宋_GBK" w:eastAsia="方正仿宋_GBK" w:cs="方正仿宋_GBK"/>
          <w:b w:val="0"/>
          <w:color w:val="auto"/>
          <w:kern w:val="2"/>
          <w:sz w:val="32"/>
          <w:szCs w:val="32"/>
          <w:lang w:val="en-US" w:eastAsia="zh-CN" w:bidi="ar-SA"/>
        </w:rPr>
        <w:t>本次采取发放问卷调查的方式，对受益群众进行问卷调查；在伽师县农技中心组织安排了伽师县第三次全国土壤普查工作项目问卷调研工作，发放问卷223份，收回223份，有效调查问卷为223份。通过对调查问卷的梳理和统计，被调查者中90.58%对该项目的实施很满意，7.17%的受益群众对伽师县第三次全国土壤普查工作项目满意。</w:t>
      </w:r>
    </w:p>
    <w:p>
      <w:pPr>
        <w:pStyle w:val="13"/>
        <w:spacing w:before="0" w:after="0" w:line="560" w:lineRule="exact"/>
        <w:ind w:firstLine="640"/>
        <w:jc w:val="both"/>
        <w:rPr>
          <w:rFonts w:hint="eastAsia" w:ascii="方正仿宋_GBK" w:hAnsi="方正仿宋_GBK" w:eastAsia="方正仿宋_GBK" w:cs="方正仿宋_GBK"/>
          <w:b w:val="0"/>
          <w:color w:val="auto"/>
          <w:kern w:val="2"/>
          <w:sz w:val="32"/>
          <w:szCs w:val="32"/>
          <w:lang w:val="en-US" w:eastAsia="zh-CN" w:bidi="ar-SA"/>
        </w:rPr>
      </w:pPr>
      <w:r>
        <w:rPr>
          <w:rFonts w:hint="eastAsia" w:ascii="方正仿宋_GBK" w:hAnsi="方正仿宋_GBK" w:eastAsia="方正仿宋_GBK" w:cs="方正仿宋_GBK"/>
          <w:b w:val="0"/>
          <w:color w:val="auto"/>
          <w:kern w:val="2"/>
          <w:sz w:val="32"/>
          <w:szCs w:val="32"/>
          <w:lang w:val="en-US" w:eastAsia="zh-CN" w:bidi="ar-SA"/>
        </w:rPr>
        <w:t>满意度指标合计得10分。</w:t>
      </w:r>
    </w:p>
    <w:p>
      <w:pPr>
        <w:pStyle w:val="3"/>
        <w:keepNext/>
        <w:keepLines/>
        <w:pageBreakBefore w:val="0"/>
        <w:widowControl w:val="0"/>
        <w:kinsoku/>
        <w:wordWrap/>
        <w:overflowPunct/>
        <w:topLinePunct w:val="0"/>
        <w:autoSpaceDE/>
        <w:autoSpaceDN/>
        <w:bidi w:val="0"/>
        <w:adjustRightInd/>
        <w:snapToGrid/>
        <w:spacing w:before="0" w:after="0" w:line="560" w:lineRule="exact"/>
        <w:textAlignment w:val="auto"/>
        <w:rPr>
          <w:rFonts w:hint="eastAsia" w:ascii="方正黑体_GBK" w:hAnsi="方正黑体_GBK" w:eastAsia="方正黑体_GBK" w:cs="方正黑体_GBK"/>
          <w:b w:val="0"/>
          <w:bCs w:val="0"/>
          <w:color w:val="auto"/>
          <w:shd w:val="clear" w:color="auto" w:fill="auto"/>
        </w:rPr>
      </w:pPr>
      <w:r>
        <w:rPr>
          <w:rFonts w:hint="eastAsia" w:ascii="方正黑体_GBK" w:hAnsi="方正黑体_GBK" w:eastAsia="方正黑体_GBK" w:cs="方正黑体_GBK"/>
          <w:b w:val="0"/>
          <w:bCs w:val="0"/>
          <w:color w:val="auto"/>
          <w:shd w:val="clear" w:color="auto" w:fill="auto"/>
        </w:rPr>
        <w:t>五、预算执行进度与绩效指标偏差情况</w:t>
      </w:r>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b w:val="0"/>
          <w:color w:val="auto"/>
          <w:kern w:val="2"/>
          <w:sz w:val="32"/>
          <w:szCs w:val="32"/>
          <w:lang w:val="en-US" w:eastAsia="zh-CN" w:bidi="ar-SA"/>
        </w:rPr>
      </w:pPr>
      <w:r>
        <w:rPr>
          <w:rFonts w:hint="eastAsia" w:ascii="方正仿宋_GBK" w:hAnsi="方正仿宋_GBK" w:eastAsia="方正仿宋_GBK" w:cs="方正仿宋_GBK"/>
          <w:b w:val="0"/>
          <w:color w:val="auto"/>
          <w:kern w:val="2"/>
          <w:sz w:val="32"/>
          <w:szCs w:val="32"/>
          <w:lang w:val="en-US" w:eastAsia="zh-CN" w:bidi="ar-SA"/>
        </w:rPr>
        <w:t>伽师县第三次全国土壤普查项目预算119.88万元，到位119.88万元，实际支出119.88万元，预算执行率为100%，项目完成率100%，无偏差。</w:t>
      </w:r>
    </w:p>
    <w:p>
      <w:pPr>
        <w:pStyle w:val="3"/>
        <w:keepNext/>
        <w:keepLines/>
        <w:pageBreakBefore w:val="0"/>
        <w:widowControl w:val="0"/>
        <w:kinsoku/>
        <w:wordWrap/>
        <w:overflowPunct/>
        <w:topLinePunct w:val="0"/>
        <w:autoSpaceDE/>
        <w:autoSpaceDN/>
        <w:bidi w:val="0"/>
        <w:adjustRightInd/>
        <w:snapToGrid/>
        <w:spacing w:before="0" w:after="0" w:line="560" w:lineRule="exact"/>
        <w:textAlignment w:val="auto"/>
        <w:rPr>
          <w:rFonts w:hint="eastAsia" w:ascii="方正黑体_GBK" w:hAnsi="方正黑体_GBK" w:eastAsia="方正黑体_GBK" w:cs="方正黑体_GBK"/>
          <w:b w:val="0"/>
          <w:bCs w:val="0"/>
          <w:color w:val="auto"/>
        </w:rPr>
      </w:pPr>
      <w:bookmarkStart w:id="14" w:name="_Toc68364673"/>
      <w:r>
        <w:rPr>
          <w:rFonts w:hint="eastAsia" w:ascii="方正黑体_GBK" w:hAnsi="方正黑体_GBK" w:eastAsia="方正黑体_GBK" w:cs="方正黑体_GBK"/>
          <w:b w:val="0"/>
          <w:bCs w:val="0"/>
          <w:color w:val="auto"/>
        </w:rPr>
        <w:t>六、主要经验及做法、存在的问题及原因分析</w:t>
      </w:r>
    </w:p>
    <w:p>
      <w:pPr>
        <w:pStyle w:val="55"/>
        <w:keepNext/>
        <w:keepLines/>
        <w:pageBreakBefore w:val="0"/>
        <w:widowControl w:val="0"/>
        <w:kinsoku/>
        <w:wordWrap/>
        <w:overflowPunct/>
        <w:topLinePunct w:val="0"/>
        <w:autoSpaceDE/>
        <w:autoSpaceDN/>
        <w:bidi w:val="0"/>
        <w:adjustRightInd/>
        <w:snapToGrid/>
        <w:spacing w:line="560" w:lineRule="exact"/>
        <w:ind w:left="560"/>
        <w:textAlignment w:val="auto"/>
        <w:rPr>
          <w:rFonts w:hint="eastAsia" w:ascii="方正楷体_GBK" w:hAnsi="方正楷体_GBK" w:eastAsia="方正楷体_GBK" w:cs="方正楷体_GBK"/>
          <w:b/>
          <w:bCs/>
          <w:color w:val="auto"/>
          <w:sz w:val="32"/>
        </w:rPr>
      </w:pPr>
      <w:r>
        <w:rPr>
          <w:rFonts w:hint="eastAsia" w:ascii="方正楷体_GBK" w:hAnsi="方正楷体_GBK" w:eastAsia="方正楷体_GBK" w:cs="方正楷体_GBK"/>
          <w:b/>
          <w:bCs/>
          <w:color w:val="auto"/>
          <w:sz w:val="32"/>
        </w:rPr>
        <w:t>（一）主要经验及做法</w:t>
      </w:r>
      <w:bookmarkEnd w:id="14"/>
    </w:p>
    <w:p>
      <w:pPr>
        <w:pStyle w:val="37"/>
        <w:pageBreakBefore w:val="0"/>
        <w:kinsoku/>
        <w:wordWrap/>
        <w:topLinePunct w:val="0"/>
        <w:autoSpaceDE/>
        <w:autoSpaceDN/>
        <w:bidi w:val="0"/>
        <w:spacing w:line="560" w:lineRule="exact"/>
        <w:ind w:firstLine="640"/>
        <w:rPr>
          <w:rFonts w:hint="default" w:ascii="Times New Roman" w:hAnsi="Times New Roman" w:eastAsia="方正仿宋_GBK" w:cs="方正仿宋_GBK"/>
          <w:color w:val="auto"/>
          <w:sz w:val="32"/>
          <w:szCs w:val="32"/>
          <w:highlight w:val="none"/>
          <w:lang w:val="en-US" w:eastAsia="zh-CN"/>
        </w:rPr>
      </w:pPr>
      <w:r>
        <w:rPr>
          <w:rFonts w:hint="eastAsia" w:ascii="Times New Roman" w:hAnsi="Times New Roman" w:eastAsia="方正仿宋_GBK" w:cs="方正仿宋_GBK"/>
          <w:color w:val="auto"/>
          <w:sz w:val="32"/>
          <w:szCs w:val="32"/>
          <w:highlight w:val="none"/>
          <w:lang w:val="en-US" w:eastAsia="zh-CN"/>
        </w:rPr>
        <w:t>一是本项目能够严格按照《</w:t>
      </w:r>
      <w:r>
        <w:rPr>
          <w:rFonts w:hint="eastAsia" w:ascii="方正仿宋_GBK" w:hAnsi="方正仿宋_GBK" w:eastAsia="方正仿宋_GBK" w:cs="方正仿宋_GBK"/>
          <w:b w:val="0"/>
          <w:color w:val="auto"/>
          <w:kern w:val="2"/>
          <w:sz w:val="32"/>
          <w:szCs w:val="32"/>
          <w:highlight w:val="none"/>
          <w:lang w:val="en-US" w:eastAsia="zh-CN" w:bidi="ar-SA"/>
        </w:rPr>
        <w:t>伽师县第三次全国土壤普查工作</w:t>
      </w:r>
      <w:r>
        <w:rPr>
          <w:rFonts w:hint="eastAsia" w:ascii="Times New Roman" w:hAnsi="Times New Roman" w:eastAsia="方正仿宋_GBK" w:cs="方正仿宋_GBK"/>
          <w:color w:val="auto"/>
          <w:sz w:val="32"/>
          <w:szCs w:val="32"/>
          <w:highlight w:val="none"/>
          <w:lang w:val="en-US" w:eastAsia="zh-CN"/>
        </w:rPr>
        <w:t>项目实施方案》执行</w:t>
      </w:r>
      <w:r>
        <w:rPr>
          <w:rFonts w:hint="eastAsia" w:eastAsia="方正仿宋_GBK" w:cs="方正仿宋_GBK"/>
          <w:color w:val="auto"/>
          <w:sz w:val="32"/>
          <w:szCs w:val="32"/>
          <w:highlight w:val="none"/>
          <w:lang w:val="en-US" w:eastAsia="zh-CN"/>
        </w:rPr>
        <w:t>，</w:t>
      </w:r>
      <w:r>
        <w:rPr>
          <w:rFonts w:hint="eastAsia" w:ascii="Times New Roman" w:hAnsi="Times New Roman" w:eastAsia="方正仿宋_GBK" w:cs="方正仿宋_GBK"/>
          <w:color w:val="auto"/>
          <w:sz w:val="32"/>
          <w:szCs w:val="32"/>
          <w:highlight w:val="none"/>
          <w:lang w:val="en-US" w:eastAsia="zh-CN"/>
        </w:rPr>
        <w:t>项目执行情况较好。二是加强组织领导</w:t>
      </w:r>
      <w:r>
        <w:rPr>
          <w:rFonts w:hint="eastAsia" w:eastAsia="方正仿宋_GBK" w:cs="方正仿宋_GBK"/>
          <w:color w:val="auto"/>
          <w:sz w:val="32"/>
          <w:szCs w:val="32"/>
          <w:highlight w:val="none"/>
          <w:lang w:val="en-US" w:eastAsia="zh-CN"/>
        </w:rPr>
        <w:t>，</w:t>
      </w:r>
      <w:r>
        <w:rPr>
          <w:rFonts w:hint="eastAsia" w:ascii="Times New Roman" w:hAnsi="Times New Roman" w:eastAsia="方正仿宋_GBK" w:cs="方正仿宋_GBK"/>
          <w:color w:val="auto"/>
          <w:sz w:val="32"/>
          <w:szCs w:val="32"/>
          <w:highlight w:val="none"/>
          <w:lang w:val="en-US" w:eastAsia="zh-CN"/>
        </w:rPr>
        <w:t>本项目绩效评价工作</w:t>
      </w:r>
      <w:r>
        <w:rPr>
          <w:rFonts w:hint="eastAsia" w:eastAsia="方正仿宋_GBK" w:cs="方正仿宋_GBK"/>
          <w:color w:val="auto"/>
          <w:sz w:val="32"/>
          <w:szCs w:val="32"/>
          <w:highlight w:val="none"/>
          <w:lang w:val="en-US" w:eastAsia="zh-CN"/>
        </w:rPr>
        <w:t>，</w:t>
      </w:r>
      <w:r>
        <w:rPr>
          <w:rFonts w:hint="eastAsia" w:ascii="Times New Roman" w:hAnsi="Times New Roman" w:eastAsia="方正仿宋_GBK" w:cs="方正仿宋_GBK"/>
          <w:color w:val="auto"/>
          <w:sz w:val="32"/>
          <w:szCs w:val="32"/>
          <w:highlight w:val="none"/>
          <w:lang w:val="en-US" w:eastAsia="zh-CN"/>
        </w:rPr>
        <w:t>有县政府主要领导亲自挂帅</w:t>
      </w:r>
      <w:r>
        <w:rPr>
          <w:rFonts w:hint="eastAsia" w:eastAsia="方正仿宋_GBK" w:cs="方正仿宋_GBK"/>
          <w:color w:val="auto"/>
          <w:sz w:val="32"/>
          <w:szCs w:val="32"/>
          <w:highlight w:val="none"/>
          <w:lang w:val="en-US" w:eastAsia="zh-CN"/>
        </w:rPr>
        <w:t>，</w:t>
      </w:r>
      <w:r>
        <w:rPr>
          <w:rFonts w:hint="eastAsia" w:ascii="Times New Roman" w:hAnsi="Times New Roman" w:eastAsia="方正仿宋_GBK" w:cs="方正仿宋_GBK"/>
          <w:color w:val="auto"/>
          <w:sz w:val="32"/>
          <w:szCs w:val="32"/>
          <w:highlight w:val="none"/>
          <w:lang w:val="en-US" w:eastAsia="zh-CN"/>
        </w:rPr>
        <w:t>管农业分管县领导具体负责</w:t>
      </w:r>
      <w:r>
        <w:rPr>
          <w:rFonts w:hint="eastAsia" w:eastAsia="方正仿宋_GBK" w:cs="方正仿宋_GBK"/>
          <w:color w:val="auto"/>
          <w:sz w:val="32"/>
          <w:szCs w:val="32"/>
          <w:highlight w:val="none"/>
          <w:lang w:val="en-US" w:eastAsia="zh-CN"/>
        </w:rPr>
        <w:t>，</w:t>
      </w:r>
      <w:r>
        <w:rPr>
          <w:rFonts w:hint="eastAsia" w:ascii="Times New Roman" w:hAnsi="Times New Roman" w:eastAsia="方正仿宋_GBK" w:cs="方正仿宋_GBK"/>
          <w:color w:val="auto"/>
          <w:sz w:val="32"/>
          <w:szCs w:val="32"/>
          <w:highlight w:val="none"/>
          <w:lang w:val="en-US" w:eastAsia="zh-CN"/>
        </w:rPr>
        <w:t>从项目到资金</w:t>
      </w:r>
      <w:r>
        <w:rPr>
          <w:rFonts w:hint="eastAsia" w:eastAsia="方正仿宋_GBK" w:cs="方正仿宋_GBK"/>
          <w:color w:val="auto"/>
          <w:sz w:val="32"/>
          <w:szCs w:val="32"/>
          <w:highlight w:val="none"/>
          <w:lang w:val="en-US" w:eastAsia="zh-CN"/>
        </w:rPr>
        <w:t>，</w:t>
      </w:r>
      <w:r>
        <w:rPr>
          <w:rFonts w:hint="eastAsia" w:ascii="Times New Roman" w:hAnsi="Times New Roman" w:eastAsia="方正仿宋_GBK" w:cs="方正仿宋_GBK"/>
          <w:color w:val="auto"/>
          <w:sz w:val="32"/>
          <w:szCs w:val="32"/>
          <w:highlight w:val="none"/>
          <w:lang w:val="en-US" w:eastAsia="zh-CN"/>
        </w:rPr>
        <w:t>均能后很好的执行。</w:t>
      </w:r>
      <w:r>
        <w:rPr>
          <w:rFonts w:hint="eastAsia" w:ascii="Times New Roman" w:hAnsi="Times New Roman" w:eastAsia="方正仿宋_GBK" w:cs="方正仿宋_GBK"/>
          <w:b w:val="0"/>
          <w:bCs w:val="0"/>
          <w:color w:val="auto"/>
          <w:sz w:val="32"/>
          <w:szCs w:val="32"/>
          <w:highlight w:val="none"/>
          <w:lang w:val="en-US" w:eastAsia="zh-CN"/>
        </w:rPr>
        <w:t>三是提前谋划外采工作</w:t>
      </w:r>
      <w:r>
        <w:rPr>
          <w:rFonts w:hint="eastAsia" w:eastAsia="方正仿宋_GBK" w:cs="方正仿宋_GBK"/>
          <w:b w:val="0"/>
          <w:bCs w:val="0"/>
          <w:color w:val="auto"/>
          <w:sz w:val="32"/>
          <w:szCs w:val="32"/>
          <w:highlight w:val="none"/>
          <w:lang w:val="en-US" w:eastAsia="zh-CN"/>
        </w:rPr>
        <w:t>，</w:t>
      </w:r>
      <w:r>
        <w:rPr>
          <w:rFonts w:hint="eastAsia" w:ascii="Times New Roman" w:hAnsi="Times New Roman" w:eastAsia="方正仿宋_GBK" w:cs="方正仿宋_GBK"/>
          <w:b w:val="0"/>
          <w:bCs w:val="0"/>
          <w:color w:val="auto"/>
          <w:sz w:val="32"/>
          <w:szCs w:val="32"/>
          <w:highlight w:val="none"/>
          <w:lang w:val="en-US" w:eastAsia="zh-CN"/>
        </w:rPr>
        <w:t>提前培训外采人员、提前准备好所有工具</w:t>
      </w:r>
      <w:r>
        <w:rPr>
          <w:rFonts w:hint="eastAsia" w:eastAsia="方正仿宋_GBK" w:cs="方正仿宋_GBK"/>
          <w:b w:val="0"/>
          <w:bCs w:val="0"/>
          <w:color w:val="auto"/>
          <w:sz w:val="32"/>
          <w:szCs w:val="32"/>
          <w:highlight w:val="none"/>
          <w:lang w:val="en-US" w:eastAsia="zh-CN"/>
        </w:rPr>
        <w:t>，</w:t>
      </w:r>
      <w:r>
        <w:rPr>
          <w:rFonts w:hint="eastAsia" w:ascii="Times New Roman" w:hAnsi="Times New Roman" w:eastAsia="方正仿宋_GBK" w:cs="方正仿宋_GBK"/>
          <w:b w:val="0"/>
          <w:bCs w:val="0"/>
          <w:color w:val="auto"/>
          <w:sz w:val="32"/>
          <w:szCs w:val="32"/>
          <w:highlight w:val="none"/>
          <w:lang w:eastAsia="zh-CN"/>
        </w:rPr>
        <w:t>加强沟通</w:t>
      </w:r>
      <w:r>
        <w:rPr>
          <w:rFonts w:hint="eastAsia" w:ascii="Times New Roman" w:hAnsi="Times New Roman" w:eastAsia="方正仿宋_GBK" w:cs="方正仿宋_GBK"/>
          <w:b w:val="0"/>
          <w:bCs w:val="0"/>
          <w:color w:val="auto"/>
          <w:sz w:val="32"/>
          <w:szCs w:val="32"/>
          <w:highlight w:val="none"/>
          <w:lang w:val="en-US" w:eastAsia="zh-CN"/>
        </w:rPr>
        <w:t>制备和检测单位。四是外采人员交通工具及人员固定</w:t>
      </w:r>
      <w:r>
        <w:rPr>
          <w:rFonts w:hint="eastAsia" w:eastAsia="方正仿宋_GBK" w:cs="方正仿宋_GBK"/>
          <w:b w:val="0"/>
          <w:bCs w:val="0"/>
          <w:color w:val="auto"/>
          <w:sz w:val="32"/>
          <w:szCs w:val="32"/>
          <w:highlight w:val="none"/>
          <w:lang w:val="en-US" w:eastAsia="zh-CN"/>
        </w:rPr>
        <w:t>，</w:t>
      </w:r>
      <w:r>
        <w:rPr>
          <w:rFonts w:hint="eastAsia" w:ascii="Times New Roman" w:hAnsi="Times New Roman" w:eastAsia="方正仿宋_GBK" w:cs="方正仿宋_GBK"/>
          <w:color w:val="auto"/>
          <w:sz w:val="32"/>
          <w:szCs w:val="32"/>
          <w:highlight w:val="none"/>
          <w:lang w:val="en-US" w:eastAsia="zh-CN"/>
        </w:rPr>
        <w:t>避免耽误外采进度。</w:t>
      </w:r>
    </w:p>
    <w:p>
      <w:pPr>
        <w:pStyle w:val="55"/>
        <w:keepNext/>
        <w:keepLines/>
        <w:pageBreakBefore w:val="0"/>
        <w:widowControl w:val="0"/>
        <w:kinsoku/>
        <w:wordWrap/>
        <w:overflowPunct/>
        <w:topLinePunct w:val="0"/>
        <w:autoSpaceDE/>
        <w:autoSpaceDN/>
        <w:bidi w:val="0"/>
        <w:adjustRightInd/>
        <w:snapToGrid/>
        <w:spacing w:line="560" w:lineRule="exact"/>
        <w:ind w:left="560"/>
        <w:textAlignment w:val="auto"/>
        <w:rPr>
          <w:rFonts w:hint="eastAsia" w:ascii="方正楷体_GBK" w:hAnsi="方正楷体_GBK" w:eastAsia="方正楷体_GBK" w:cs="方正楷体_GBK"/>
          <w:b/>
          <w:bCs/>
          <w:color w:val="auto"/>
          <w:sz w:val="32"/>
          <w:highlight w:val="none"/>
        </w:rPr>
      </w:pPr>
      <w:bookmarkStart w:id="15" w:name="_Toc68364674"/>
      <w:r>
        <w:rPr>
          <w:rFonts w:hint="eastAsia" w:ascii="方正楷体_GBK" w:hAnsi="方正楷体_GBK" w:eastAsia="方正楷体_GBK" w:cs="方正楷体_GBK"/>
          <w:b/>
          <w:bCs/>
          <w:color w:val="auto"/>
          <w:sz w:val="32"/>
          <w:highlight w:val="none"/>
        </w:rPr>
        <w:t>（二）存在问题及原因分析</w:t>
      </w:r>
      <w:bookmarkEnd w:id="15"/>
    </w:p>
    <w:p>
      <w:pPr>
        <w:pStyle w:val="3"/>
        <w:keepNext/>
        <w:keepLines/>
        <w:pageBreakBefore w:val="0"/>
        <w:widowControl w:val="0"/>
        <w:kinsoku/>
        <w:wordWrap/>
        <w:overflowPunct/>
        <w:topLinePunct w:val="0"/>
        <w:autoSpaceDE/>
        <w:autoSpaceDN/>
        <w:bidi w:val="0"/>
        <w:adjustRightInd/>
        <w:snapToGrid/>
        <w:spacing w:before="0" w:after="0" w:line="560" w:lineRule="exact"/>
        <w:textAlignment w:val="auto"/>
        <w:rPr>
          <w:rFonts w:hint="eastAsia" w:ascii="方正仿宋_GBK" w:hAnsi="方正仿宋_GBK" w:eastAsia="方正仿宋_GBK" w:cs="方正仿宋_GBK"/>
          <w:b w:val="0"/>
          <w:bCs w:val="0"/>
          <w:color w:val="auto"/>
          <w:kern w:val="0"/>
          <w:sz w:val="32"/>
          <w:szCs w:val="32"/>
          <w:highlight w:val="none"/>
          <w:lang w:val="en-US" w:eastAsia="zh-CN" w:bidi="ar-SA"/>
        </w:rPr>
      </w:pPr>
      <w:bookmarkStart w:id="16" w:name="_Toc68364675"/>
      <w:r>
        <w:rPr>
          <w:rFonts w:hint="eastAsia" w:ascii="方正仿宋_GBK" w:hAnsi="方正仿宋_GBK" w:eastAsia="方正仿宋_GBK" w:cs="方正仿宋_GBK"/>
          <w:b w:val="0"/>
          <w:bCs w:val="0"/>
          <w:color w:val="auto"/>
          <w:kern w:val="0"/>
          <w:sz w:val="32"/>
          <w:szCs w:val="32"/>
          <w:highlight w:val="none"/>
          <w:lang w:val="en-US" w:eastAsia="zh-CN" w:bidi="ar-SA"/>
        </w:rPr>
        <w:t>预算绩效管理理念有待强化。长期以来形成的“重投入轻管理、重使用轻绩效”的观念还未根除，较多人员误以为预算绩效管理是单位财务人员的工作，绩效理念尚未真正建立，加上缺乏相应的约束激励机制，单位实施预算绩效管理的主动性、积极性不够</w:t>
      </w:r>
    </w:p>
    <w:p>
      <w:pPr>
        <w:pStyle w:val="3"/>
        <w:keepNext/>
        <w:keepLines/>
        <w:pageBreakBefore w:val="0"/>
        <w:widowControl w:val="0"/>
        <w:kinsoku/>
        <w:wordWrap/>
        <w:overflowPunct/>
        <w:topLinePunct w:val="0"/>
        <w:autoSpaceDE/>
        <w:autoSpaceDN/>
        <w:bidi w:val="0"/>
        <w:adjustRightInd/>
        <w:snapToGrid/>
        <w:spacing w:before="0" w:after="0" w:line="560" w:lineRule="exact"/>
        <w:textAlignment w:val="auto"/>
        <w:rPr>
          <w:rFonts w:hint="eastAsia" w:ascii="方正黑体_GBK" w:hAnsi="方正黑体_GBK" w:eastAsia="方正黑体_GBK" w:cs="方正黑体_GBK"/>
          <w:b/>
          <w:bCs/>
          <w:color w:val="auto"/>
          <w:highlight w:val="none"/>
        </w:rPr>
      </w:pPr>
      <w:r>
        <w:rPr>
          <w:rFonts w:hint="eastAsia" w:ascii="方正黑体_GBK" w:hAnsi="方正黑体_GBK" w:eastAsia="方正黑体_GBK" w:cs="方正黑体_GBK"/>
          <w:b/>
          <w:bCs/>
          <w:color w:val="auto"/>
          <w:highlight w:val="none"/>
        </w:rPr>
        <w:t>七、有关建议</w:t>
      </w:r>
      <w:bookmarkEnd w:id="16"/>
    </w:p>
    <w:p>
      <w:pPr>
        <w:pStyle w:val="3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构建好协同机制，提高绩效管理理念。加强对全面实施预算绩效管理工作的组织协调，统一单位人员思想，主动承担预算绩效管理的主体责任，把“独角戏”变成“大合唱”，加快建立内部管理办法，确保预算绩效管理工作有章可依、有规可循。加强预算绩效管理力量，充实预算绩效管理人员，督促指导政策落实。</w:t>
      </w:r>
    </w:p>
    <w:p>
      <w:pPr>
        <w:pStyle w:val="3"/>
        <w:keepNext/>
        <w:keepLines/>
        <w:pageBreakBefore w:val="0"/>
        <w:widowControl w:val="0"/>
        <w:kinsoku/>
        <w:wordWrap/>
        <w:overflowPunct/>
        <w:topLinePunct w:val="0"/>
        <w:autoSpaceDE/>
        <w:autoSpaceDN/>
        <w:bidi w:val="0"/>
        <w:adjustRightInd/>
        <w:snapToGrid/>
        <w:spacing w:before="0" w:after="0" w:line="560" w:lineRule="exact"/>
        <w:textAlignment w:val="auto"/>
        <w:rPr>
          <w:rFonts w:hint="eastAsia" w:ascii="方正黑体_GBK" w:hAnsi="方正黑体_GBK" w:eastAsia="方正黑体_GBK" w:cs="方正黑体_GBK"/>
          <w:b/>
          <w:bCs/>
          <w:color w:val="auto"/>
        </w:rPr>
      </w:pPr>
      <w:bookmarkStart w:id="17" w:name="_Toc68364676"/>
      <w:r>
        <w:rPr>
          <w:rFonts w:hint="eastAsia" w:ascii="方正黑体_GBK" w:hAnsi="方正黑体_GBK" w:eastAsia="方正黑体_GBK" w:cs="方正黑体_GBK"/>
          <w:b/>
          <w:bCs/>
          <w:color w:val="auto"/>
        </w:rPr>
        <w:t>八、其他需要说明的问题</w:t>
      </w:r>
      <w:bookmarkEnd w:id="17"/>
    </w:p>
    <w:p>
      <w:pPr>
        <w:pStyle w:val="37"/>
        <w:pageBreakBefore w:val="0"/>
        <w:kinsoku/>
        <w:wordWrap/>
        <w:topLinePunct w:val="0"/>
        <w:autoSpaceDE/>
        <w:autoSpaceDN/>
        <w:bidi w:val="0"/>
        <w:spacing w:line="560" w:lineRule="exact"/>
        <w:ind w:firstLine="640"/>
        <w:rPr>
          <w:rFonts w:hint="eastAsia" w:ascii="Times New Roman" w:hAnsi="Times New Roman" w:eastAsia="方正仿宋_GBK" w:cs="方正仿宋_GBK"/>
          <w:b/>
          <w:bCs/>
          <w:color w:val="auto"/>
        </w:rPr>
      </w:pPr>
      <w:r>
        <w:rPr>
          <w:rFonts w:hint="eastAsia" w:ascii="Times New Roman" w:hAnsi="Times New Roman" w:eastAsia="方正仿宋_GBK" w:cs="方正仿宋_GBK"/>
          <w:color w:val="auto"/>
          <w:sz w:val="32"/>
          <w:szCs w:val="32"/>
          <w:lang w:val="en-US" w:eastAsia="zh-CN"/>
        </w:rPr>
        <w:t>我单位对上述项目支出绩效评价报告内反映内容的真实性、完整性负责</w:t>
      </w:r>
      <w:r>
        <w:rPr>
          <w:rFonts w:hint="eastAsia" w:eastAsia="方正仿宋_GBK" w:cs="方正仿宋_GBK"/>
          <w:color w:val="auto"/>
          <w:sz w:val="32"/>
          <w:szCs w:val="32"/>
          <w:lang w:val="en-US" w:eastAsia="zh-CN"/>
        </w:rPr>
        <w:t>，</w:t>
      </w:r>
      <w:r>
        <w:rPr>
          <w:rFonts w:hint="eastAsia" w:ascii="Times New Roman" w:hAnsi="Times New Roman" w:eastAsia="方正仿宋_GBK" w:cs="方正仿宋_GBK"/>
          <w:color w:val="auto"/>
          <w:sz w:val="32"/>
          <w:szCs w:val="32"/>
          <w:lang w:val="en-US" w:eastAsia="zh-CN"/>
        </w:rPr>
        <w:t>接受上级部门及社会公众监督。</w:t>
      </w:r>
    </w:p>
    <w:p>
      <w:pPr>
        <w:pStyle w:val="57"/>
        <w:pageBreakBefore w:val="0"/>
        <w:kinsoku/>
        <w:wordWrap/>
        <w:topLinePunct w:val="0"/>
        <w:autoSpaceDE/>
        <w:autoSpaceDN/>
        <w:bidi w:val="0"/>
        <w:spacing w:line="560" w:lineRule="exact"/>
        <w:ind w:firstLine="640" w:firstLineChars="200"/>
        <w:rPr>
          <w:rFonts w:hint="eastAsia" w:ascii="方正仿宋_GBK" w:hAnsi="方正仿宋_GBK" w:eastAsia="方正仿宋_GBK" w:cs="方正仿宋_GBK"/>
          <w:b/>
          <w:bCs/>
          <w:color w:val="auto"/>
        </w:rPr>
      </w:pPr>
      <w:r>
        <w:rPr>
          <w:rFonts w:hint="eastAsia" w:ascii="方正仿宋_GBK" w:hAnsi="方正仿宋_GBK" w:eastAsia="方正仿宋_GBK" w:cs="方正仿宋_GBK"/>
          <w:b/>
          <w:bCs/>
          <w:color w:val="auto"/>
        </w:rPr>
        <w:t>附件：1综合评分表</w:t>
      </w:r>
    </w:p>
    <w:p>
      <w:pPr>
        <w:pStyle w:val="57"/>
        <w:pageBreakBefore w:val="0"/>
        <w:kinsoku/>
        <w:wordWrap/>
        <w:topLinePunct w:val="0"/>
        <w:autoSpaceDE/>
        <w:autoSpaceDN/>
        <w:bidi w:val="0"/>
        <w:spacing w:line="560" w:lineRule="exact"/>
        <w:ind w:firstLine="1601" w:firstLineChars="500"/>
        <w:rPr>
          <w:rFonts w:hint="eastAsia" w:ascii="方正仿宋_GBK" w:hAnsi="方正仿宋_GBK" w:eastAsia="方正仿宋_GBK" w:cs="方正仿宋_GBK"/>
          <w:b/>
          <w:bCs/>
          <w:color w:val="auto"/>
          <w:lang w:val="en-US" w:eastAsia="zh-CN"/>
        </w:rPr>
      </w:pPr>
      <w:r>
        <w:rPr>
          <w:rFonts w:hint="eastAsia" w:ascii="方正仿宋_GBK" w:hAnsi="方正仿宋_GBK" w:eastAsia="方正仿宋_GBK" w:cs="方正仿宋_GBK"/>
          <w:b/>
          <w:bCs/>
          <w:color w:val="auto"/>
          <w:lang w:val="en-US" w:eastAsia="zh-CN"/>
        </w:rPr>
        <w:t>2满意度调查问卷</w:t>
      </w:r>
    </w:p>
    <w:p>
      <w:pPr>
        <w:pStyle w:val="37"/>
        <w:rPr>
          <w:rFonts w:hint="eastAsia"/>
          <w:color w:val="auto"/>
        </w:rPr>
      </w:pPr>
    </w:p>
    <w:p>
      <w:pPr>
        <w:rPr>
          <w:b w:val="0"/>
          <w:color w:val="auto"/>
          <w:sz w:val="24"/>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pageBreakBefore w:val="0"/>
        <w:kinsoku/>
        <w:wordWrap/>
        <w:overflowPunct w:val="0"/>
        <w:topLinePunct w:val="0"/>
        <w:autoSpaceDE/>
        <w:autoSpaceDN/>
        <w:bidi w:val="0"/>
        <w:spacing w:line="560" w:lineRule="exact"/>
        <w:ind w:left="0" w:leftChars="0" w:firstLine="0" w:firstLineChars="0"/>
        <w:contextualSpacing/>
        <w:rPr>
          <w:rFonts w:hint="eastAsia" w:ascii="Times New Roman" w:hAnsi="Times New Roman" w:eastAsia="方正仿宋_GBK" w:cs="方正仿宋_GBK"/>
          <w:b/>
          <w:bCs/>
          <w:color w:val="auto"/>
          <w:sz w:val="32"/>
          <w:szCs w:val="32"/>
          <w:lang w:val="en-US" w:eastAsia="zh-CN"/>
        </w:rPr>
      </w:pPr>
      <w:r>
        <w:rPr>
          <w:rFonts w:hint="eastAsia" w:ascii="Times New Roman" w:hAnsi="Times New Roman" w:eastAsia="方正仿宋_GBK" w:cs="方正仿宋_GBK"/>
          <w:b/>
          <w:bCs/>
          <w:color w:val="auto"/>
          <w:sz w:val="32"/>
          <w:szCs w:val="32"/>
          <w:lang w:val="en-US" w:eastAsia="zh-CN"/>
        </w:rPr>
        <w:t>附件1：综合评分表</w:t>
      </w:r>
    </w:p>
    <w:p>
      <w:pPr>
        <w:pageBreakBefore w:val="0"/>
        <w:kinsoku/>
        <w:wordWrap/>
        <w:topLinePunct w:val="0"/>
        <w:autoSpaceDE/>
        <w:autoSpaceDN/>
        <w:bidi w:val="0"/>
        <w:spacing w:line="560" w:lineRule="exact"/>
        <w:ind w:firstLine="560"/>
        <w:jc w:val="center"/>
        <w:rPr>
          <w:rFonts w:hint="eastAsia" w:ascii="Times New Roman" w:hAnsi="Times New Roman" w:eastAsia="方正仿宋_GBK" w:cs="方正仿宋_GBK"/>
          <w:color w:val="auto"/>
          <w:kern w:val="0"/>
          <w:sz w:val="32"/>
          <w:szCs w:val="32"/>
        </w:rPr>
      </w:pPr>
      <w:r>
        <w:rPr>
          <w:rFonts w:hint="eastAsia" w:ascii="Times New Roman" w:hAnsi="Times New Roman" w:eastAsia="方正仿宋_GBK" w:cs="方正仿宋_GBK"/>
          <w:color w:val="auto"/>
          <w:kern w:val="0"/>
          <w:sz w:val="32"/>
          <w:szCs w:val="32"/>
          <w:lang w:val="en-US" w:eastAsia="zh-CN"/>
        </w:rPr>
        <w:t>伽师县第三次全国土壤普查</w:t>
      </w:r>
      <w:r>
        <w:rPr>
          <w:rFonts w:hint="eastAsia" w:ascii="Times New Roman" w:hAnsi="Times New Roman" w:eastAsia="方正仿宋_GBK" w:cs="方正仿宋_GBK"/>
          <w:color w:val="auto"/>
          <w:kern w:val="0"/>
          <w:sz w:val="32"/>
          <w:szCs w:val="32"/>
        </w:rPr>
        <w:t>项目绩效评价指标体系及评分标准</w:t>
      </w:r>
    </w:p>
    <w:tbl>
      <w:tblPr>
        <w:tblStyle w:val="28"/>
        <w:tblW w:w="905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30"/>
        <w:gridCol w:w="908"/>
        <w:gridCol w:w="1276"/>
        <w:gridCol w:w="5427"/>
        <w:gridCol w:w="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blHeader/>
        </w:trPr>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ascii="方正仿宋_GBK" w:hAnsi="方正仿宋_GBK" w:eastAsia="方正仿宋_GBK" w:cs="方正仿宋_GBK"/>
                <w:b/>
                <w:bCs/>
                <w:i w:val="0"/>
                <w:iCs w:val="0"/>
                <w:color w:val="auto"/>
                <w:sz w:val="24"/>
                <w:szCs w:val="24"/>
                <w:highlight w:val="none"/>
                <w:u w:val="none"/>
              </w:rPr>
            </w:pPr>
            <w:r>
              <w:rPr>
                <w:rFonts w:hint="eastAsia" w:ascii="方正仿宋_GBK" w:hAnsi="方正仿宋_GBK" w:eastAsia="方正仿宋_GBK" w:cs="方正仿宋_GBK"/>
                <w:b/>
                <w:bCs/>
                <w:i w:val="0"/>
                <w:iCs w:val="0"/>
                <w:color w:val="auto"/>
                <w:kern w:val="0"/>
                <w:sz w:val="24"/>
                <w:szCs w:val="24"/>
                <w:highlight w:val="none"/>
                <w:u w:val="none"/>
                <w:lang w:val="en-US" w:eastAsia="zh-CN" w:bidi="ar"/>
              </w:rPr>
              <w:t>一级指标</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b/>
                <w:bCs/>
                <w:i w:val="0"/>
                <w:iCs w:val="0"/>
                <w:color w:val="auto"/>
                <w:sz w:val="24"/>
                <w:szCs w:val="24"/>
                <w:highlight w:val="none"/>
                <w:u w:val="none"/>
              </w:rPr>
            </w:pPr>
            <w:r>
              <w:rPr>
                <w:rFonts w:hint="eastAsia" w:ascii="方正仿宋_GBK" w:hAnsi="方正仿宋_GBK" w:eastAsia="方正仿宋_GBK" w:cs="方正仿宋_GBK"/>
                <w:b/>
                <w:bCs/>
                <w:i w:val="0"/>
                <w:iCs w:val="0"/>
                <w:color w:val="auto"/>
                <w:kern w:val="0"/>
                <w:sz w:val="24"/>
                <w:szCs w:val="24"/>
                <w:highlight w:val="none"/>
                <w:u w:val="none"/>
                <w:lang w:val="en-US" w:eastAsia="zh-CN" w:bidi="ar"/>
              </w:rPr>
              <w:t>二级指标</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b/>
                <w:bCs/>
                <w:i w:val="0"/>
                <w:iCs w:val="0"/>
                <w:color w:val="auto"/>
                <w:sz w:val="24"/>
                <w:szCs w:val="24"/>
                <w:highlight w:val="none"/>
                <w:u w:val="none"/>
              </w:rPr>
            </w:pPr>
            <w:r>
              <w:rPr>
                <w:rFonts w:hint="eastAsia" w:ascii="方正仿宋_GBK" w:hAnsi="方正仿宋_GBK" w:eastAsia="方正仿宋_GBK" w:cs="方正仿宋_GBK"/>
                <w:b/>
                <w:bCs/>
                <w:i w:val="0"/>
                <w:iCs w:val="0"/>
                <w:color w:val="auto"/>
                <w:kern w:val="0"/>
                <w:sz w:val="24"/>
                <w:szCs w:val="24"/>
                <w:highlight w:val="none"/>
                <w:u w:val="none"/>
                <w:lang w:val="en-US" w:eastAsia="zh-CN" w:bidi="ar"/>
              </w:rPr>
              <w:t>三级指标</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b/>
                <w:bCs/>
                <w:i w:val="0"/>
                <w:iCs w:val="0"/>
                <w:color w:val="auto"/>
                <w:sz w:val="24"/>
                <w:szCs w:val="24"/>
                <w:highlight w:val="none"/>
                <w:u w:val="none"/>
              </w:rPr>
            </w:pPr>
            <w:r>
              <w:rPr>
                <w:rFonts w:hint="eastAsia" w:ascii="方正仿宋_GBK" w:hAnsi="方正仿宋_GBK" w:eastAsia="方正仿宋_GBK" w:cs="方正仿宋_GBK"/>
                <w:b/>
                <w:bCs/>
                <w:i w:val="0"/>
                <w:iCs w:val="0"/>
                <w:color w:val="auto"/>
                <w:kern w:val="0"/>
                <w:sz w:val="24"/>
                <w:szCs w:val="24"/>
                <w:highlight w:val="none"/>
                <w:u w:val="none"/>
                <w:lang w:val="en-US" w:eastAsia="zh-CN" w:bidi="ar"/>
              </w:rPr>
              <w:t>评价标准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b/>
                <w:bCs/>
                <w:i w:val="0"/>
                <w:iCs w:val="0"/>
                <w:color w:val="auto"/>
                <w:sz w:val="24"/>
                <w:szCs w:val="24"/>
                <w:highlight w:val="none"/>
                <w:u w:val="none"/>
              </w:rPr>
            </w:pPr>
            <w:r>
              <w:rPr>
                <w:rFonts w:hint="eastAsia" w:ascii="方正仿宋_GBK" w:hAnsi="方正仿宋_GBK" w:eastAsia="方正仿宋_GBK" w:cs="方正仿宋_GBK"/>
                <w:b/>
                <w:bCs/>
                <w:i w:val="0"/>
                <w:iCs w:val="0"/>
                <w:color w:val="auto"/>
                <w:kern w:val="0"/>
                <w:sz w:val="24"/>
                <w:szCs w:val="24"/>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决策（20分）</w:t>
            </w: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项目立项（5分）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立项依据充分性（3分）</w:t>
            </w:r>
          </w:p>
        </w:tc>
        <w:tc>
          <w:tcPr>
            <w:tcW w:w="542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firstLine="0" w:firstLineChars="0"/>
              <w:jc w:val="both"/>
              <w:textAlignment w:val="auto"/>
              <w:rPr>
                <w:rFonts w:hint="default" w:ascii="宋体" w:hAnsi="宋体" w:eastAsia="宋体" w:cs="宋体"/>
                <w:color w:val="auto"/>
                <w:kern w:val="2"/>
                <w:sz w:val="18"/>
                <w:szCs w:val="18"/>
                <w:lang w:val="en-US" w:eastAsia="zh-CN" w:bidi="ar-SA"/>
              </w:rPr>
            </w:pPr>
            <w:r>
              <w:rPr>
                <w:rFonts w:hint="eastAsia" w:ascii="方正仿宋_GBK" w:hAnsi="方正仿宋_GBK" w:eastAsia="方正仿宋_GBK" w:cs="方正仿宋_GBK"/>
                <w:i w:val="0"/>
                <w:iCs w:val="0"/>
                <w:color w:val="auto"/>
                <w:kern w:val="0"/>
                <w:sz w:val="24"/>
                <w:szCs w:val="24"/>
                <w:lang w:val="en-US" w:eastAsia="zh-CN" w:bidi="ar"/>
              </w:rPr>
              <w:t>①项目立项是否符合国家法律法规、国民经济发展规划和相关政策得1分，否则不得分；②项目立项是否符合行业发展规划和政策要求得0.5分，否则不得分；③项目立项是否与部门职责范围相符，属于部门履职所需得0.5分，否则不得分；④项目是否属于公共财政支持范围，是否符合中央、地方事权支出责任划分原则得0.5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⑤项目是否与相关部门同类项目或部门内部相关项目重复</w:t>
            </w:r>
            <w:r>
              <w:rPr>
                <w:rFonts w:hint="eastAsia" w:ascii="方正仿宋_GBK" w:hAnsi="方正仿宋_GBK" w:eastAsia="方正仿宋_GBK" w:cs="方正仿宋_GBK"/>
                <w:i w:val="0"/>
                <w:iCs w:val="0"/>
                <w:color w:val="auto"/>
                <w:kern w:val="0"/>
                <w:sz w:val="24"/>
                <w:szCs w:val="24"/>
                <w:lang w:val="en-US" w:eastAsia="zh-CN" w:bidi="ar"/>
              </w:rPr>
              <w:t>0.5分，否则不得分.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eastAsia="等线" w:cs="Times New Roman"/>
                <w:i w:val="0"/>
                <w:iCs w:val="0"/>
                <w:color w:val="auto"/>
                <w:sz w:val="24"/>
                <w:szCs w:val="24"/>
                <w:highlight w:val="none"/>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立项程序（2分）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①项目是否按照规定的程序申请设立</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②审批文件、材料是否符合相关要求</w:t>
            </w:r>
            <w:r>
              <w:rPr>
                <w:rFonts w:hint="eastAsia" w:ascii="方正仿宋_GBK" w:hAnsi="方正仿宋_GBK" w:eastAsia="方正仿宋_GBK" w:cs="方正仿宋_GBK"/>
                <w:i w:val="0"/>
                <w:iCs w:val="0"/>
                <w:color w:val="auto"/>
                <w:kern w:val="0"/>
                <w:sz w:val="24"/>
                <w:szCs w:val="24"/>
                <w:lang w:val="en-US" w:eastAsia="zh-CN" w:bidi="ar"/>
              </w:rPr>
              <w:t>得0.5分，否则不得分；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③事前是否已经过必要的可行性研究、专家论证、风险评估、绩效评估、集体决策</w:t>
            </w:r>
            <w:r>
              <w:rPr>
                <w:rFonts w:hint="eastAsia" w:ascii="方正仿宋_GBK" w:hAnsi="方正仿宋_GBK" w:eastAsia="方正仿宋_GBK" w:cs="方正仿宋_GBK"/>
                <w:i w:val="0"/>
                <w:iCs w:val="0"/>
                <w:color w:val="auto"/>
                <w:kern w:val="0"/>
                <w:sz w:val="24"/>
                <w:szCs w:val="24"/>
                <w:lang w:val="en-US" w:eastAsia="zh-CN" w:bidi="ar"/>
              </w:rPr>
              <w:t>得0.5分，否则不得分。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eastAsia="等线" w:cs="Times New Roman"/>
                <w:i w:val="0"/>
                <w:iCs w:val="0"/>
                <w:color w:val="auto"/>
                <w:sz w:val="24"/>
                <w:szCs w:val="24"/>
                <w:highlight w:val="none"/>
                <w:u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绩效目标（5分）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绩效目标合理性（3分）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①项目是否有绩效目标</w:t>
            </w:r>
            <w:r>
              <w:rPr>
                <w:rFonts w:hint="eastAsia" w:ascii="方正仿宋_GBK" w:hAnsi="方正仿宋_GBK" w:eastAsia="方正仿宋_GBK" w:cs="方正仿宋_GBK"/>
                <w:i w:val="0"/>
                <w:iCs w:val="0"/>
                <w:color w:val="auto"/>
                <w:kern w:val="0"/>
                <w:sz w:val="24"/>
                <w:szCs w:val="24"/>
                <w:lang w:val="en-US" w:eastAsia="zh-CN" w:bidi="ar"/>
              </w:rPr>
              <w:t>得0.5分，否则不得分；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②项目绩效目标与实际工作内容是否具有相关性</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③项目预期产出效益和效果是否符合正常的业绩水平</w:t>
            </w:r>
            <w:r>
              <w:rPr>
                <w:rFonts w:hint="eastAsia" w:ascii="方正仿宋_GBK" w:hAnsi="方正仿宋_GBK" w:eastAsia="方正仿宋_GBK" w:cs="方正仿宋_GBK"/>
                <w:i w:val="0"/>
                <w:iCs w:val="0"/>
                <w:color w:val="auto"/>
                <w:kern w:val="0"/>
                <w:sz w:val="24"/>
                <w:szCs w:val="24"/>
                <w:lang w:val="en-US" w:eastAsia="zh-CN" w:bidi="ar"/>
              </w:rPr>
              <w:t>得0.5分，否则不得分；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④是否与预算确定的项目投资额或资金量相匹配</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eastAsia="等线" w:cs="Times New Roman"/>
                <w:i w:val="0"/>
                <w:iCs w:val="0"/>
                <w:color w:val="auto"/>
                <w:sz w:val="24"/>
                <w:szCs w:val="24"/>
                <w:highlight w:val="none"/>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绩效指标明确性（2分）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①是否将项目绩效目标细化分解为具体的绩效指标</w:t>
            </w:r>
            <w:r>
              <w:rPr>
                <w:rFonts w:hint="eastAsia" w:ascii="方正仿宋_GBK" w:hAnsi="方正仿宋_GBK" w:eastAsia="方正仿宋_GBK" w:cs="方正仿宋_GBK"/>
                <w:i w:val="0"/>
                <w:iCs w:val="0"/>
                <w:color w:val="auto"/>
                <w:kern w:val="0"/>
                <w:sz w:val="24"/>
                <w:szCs w:val="24"/>
                <w:lang w:val="en-US" w:eastAsia="zh-CN" w:bidi="ar"/>
              </w:rPr>
              <w:t>得0.5分，否则不得分；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②是否通过清晰、可衡量的指标值予以体现</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③是否与项目目标任务数或计划数相对应</w:t>
            </w:r>
            <w:r>
              <w:rPr>
                <w:rFonts w:hint="eastAsia" w:ascii="方正仿宋_GBK" w:hAnsi="方正仿宋_GBK" w:eastAsia="方正仿宋_GBK" w:cs="方正仿宋_GBK"/>
                <w:i w:val="0"/>
                <w:iCs w:val="0"/>
                <w:color w:val="auto"/>
                <w:kern w:val="0"/>
                <w:sz w:val="24"/>
                <w:szCs w:val="24"/>
                <w:lang w:val="en-US" w:eastAsia="zh-CN" w:bidi="ar"/>
              </w:rPr>
              <w:t>得0.5分，否则不得分；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eastAsia="等线" w:cs="Times New Roman"/>
                <w:i w:val="0"/>
                <w:iCs w:val="0"/>
                <w:color w:val="auto"/>
                <w:sz w:val="24"/>
                <w:szCs w:val="24"/>
                <w:highlight w:val="none"/>
                <w:u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资金投入（10分）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预算编制（5分）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①预算编制是否经过科学论证</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②预算内容与项目内容是否匹配</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③预算额度测算依据是否充分，是否按照标准编制</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④预算确定的项目投资额或资金量是否与工作任务相匹配</w:t>
            </w:r>
            <w:r>
              <w:rPr>
                <w:rFonts w:hint="eastAsia" w:ascii="方正仿宋_GBK" w:hAnsi="方正仿宋_GBK" w:eastAsia="方正仿宋_GBK" w:cs="方正仿宋_GBK"/>
                <w:i w:val="0"/>
                <w:iCs w:val="0"/>
                <w:color w:val="auto"/>
                <w:kern w:val="0"/>
                <w:sz w:val="24"/>
                <w:szCs w:val="24"/>
                <w:lang w:val="en-US" w:eastAsia="zh-CN" w:bidi="ar"/>
              </w:rPr>
              <w:t>得2分，否则不得分。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eastAsia="等线" w:cs="Times New Roman"/>
                <w:i w:val="0"/>
                <w:iCs w:val="0"/>
                <w:color w:val="auto"/>
                <w:sz w:val="24"/>
                <w:szCs w:val="24"/>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资金分配合理性（5分）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①预算资金分配依据是否充分</w:t>
            </w:r>
            <w:r>
              <w:rPr>
                <w:rFonts w:hint="eastAsia" w:ascii="方正仿宋_GBK" w:hAnsi="方正仿宋_GBK" w:eastAsia="方正仿宋_GBK" w:cs="方正仿宋_GBK"/>
                <w:i w:val="0"/>
                <w:iCs w:val="0"/>
                <w:color w:val="auto"/>
                <w:kern w:val="0"/>
                <w:sz w:val="24"/>
                <w:szCs w:val="24"/>
                <w:lang w:val="en-US" w:eastAsia="zh-CN" w:bidi="ar"/>
              </w:rPr>
              <w:t>得2.5分，否则不得分；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②资金分配额度是否合理，与项目单位或地方实际是否相适应</w:t>
            </w:r>
            <w:r>
              <w:rPr>
                <w:rFonts w:hint="eastAsia" w:ascii="方正仿宋_GBK" w:hAnsi="方正仿宋_GBK" w:eastAsia="方正仿宋_GBK" w:cs="方正仿宋_GBK"/>
                <w:i w:val="0"/>
                <w:iCs w:val="0"/>
                <w:color w:val="auto"/>
                <w:kern w:val="0"/>
                <w:sz w:val="24"/>
                <w:szCs w:val="24"/>
                <w:lang w:val="en-US" w:eastAsia="zh-CN" w:bidi="ar"/>
              </w:rPr>
              <w:t>得2.5分，否则不得分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eastAsia="等线" w:cs="Times New Roman"/>
                <w:i w:val="0"/>
                <w:iCs w:val="0"/>
                <w:color w:val="auto"/>
                <w:sz w:val="24"/>
                <w:szCs w:val="24"/>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过程（20分）</w:t>
            </w: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资金管理（15分）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资金到位率（5分）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资金到位率=（实际到位资金/预算资金）×100%，实际到位资金：一定时期（本年度或项目期）内落实到具体项目的资金</w:t>
            </w:r>
            <w:r>
              <w:rPr>
                <w:rFonts w:hint="eastAsia" w:ascii="方正仿宋_GBK" w:hAnsi="方正仿宋_GBK" w:eastAsia="方正仿宋_GBK" w:cs="方正仿宋_GBK"/>
                <w:i w:val="0"/>
                <w:iCs w:val="0"/>
                <w:color w:val="auto"/>
                <w:kern w:val="0"/>
                <w:sz w:val="24"/>
                <w:szCs w:val="24"/>
                <w:lang w:val="en-US" w:eastAsia="zh-CN" w:bidi="ar"/>
              </w:rPr>
              <w:t>得2.5分，否则不得分；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预算资金：一定时期（本年度或项目期）内预算安排到具体项目的资金</w:t>
            </w:r>
            <w:r>
              <w:rPr>
                <w:rFonts w:hint="eastAsia" w:ascii="方正仿宋_GBK" w:hAnsi="方正仿宋_GBK" w:eastAsia="方正仿宋_GBK" w:cs="方正仿宋_GBK"/>
                <w:i w:val="0"/>
                <w:iCs w:val="0"/>
                <w:color w:val="auto"/>
                <w:kern w:val="0"/>
                <w:sz w:val="24"/>
                <w:szCs w:val="24"/>
                <w:lang w:val="en-US" w:eastAsia="zh-CN" w:bidi="ar"/>
              </w:rPr>
              <w:t>得2.5分，否则不得分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eastAsia="等线" w:cs="Times New Roman"/>
                <w:i w:val="0"/>
                <w:iCs w:val="0"/>
                <w:color w:val="auto"/>
                <w:sz w:val="24"/>
                <w:szCs w:val="24"/>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预算执行率（5分）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预算执行率</w:t>
            </w:r>
            <w:r>
              <w:rPr>
                <w:rStyle w:val="58"/>
                <w:rFonts w:eastAsia="方正仿宋_GBK"/>
                <w:color w:val="auto"/>
                <w:highlight w:val="none"/>
                <w:lang w:val="en-US" w:eastAsia="zh-CN" w:bidi="ar"/>
              </w:rPr>
              <w:t>=</w:t>
            </w:r>
            <w:r>
              <w:rPr>
                <w:rStyle w:val="46"/>
                <w:color w:val="auto"/>
                <w:highlight w:val="none"/>
                <w:lang w:val="en-US" w:eastAsia="zh-CN" w:bidi="ar"/>
              </w:rPr>
              <w:t>（实际支出资金</w:t>
            </w:r>
            <w:r>
              <w:rPr>
                <w:rStyle w:val="58"/>
                <w:rFonts w:eastAsia="方正仿宋_GBK"/>
                <w:color w:val="auto"/>
                <w:highlight w:val="none"/>
                <w:lang w:val="en-US" w:eastAsia="zh-CN" w:bidi="ar"/>
              </w:rPr>
              <w:t>/</w:t>
            </w:r>
            <w:r>
              <w:rPr>
                <w:rStyle w:val="46"/>
                <w:color w:val="auto"/>
                <w:highlight w:val="none"/>
                <w:lang w:val="en-US" w:eastAsia="zh-CN" w:bidi="ar"/>
              </w:rPr>
              <w:t>实际到位资金）×</w:t>
            </w:r>
            <w:r>
              <w:rPr>
                <w:rStyle w:val="58"/>
                <w:rFonts w:eastAsia="方正仿宋_GBK"/>
                <w:color w:val="auto"/>
                <w:highlight w:val="none"/>
                <w:lang w:val="en-US" w:eastAsia="zh-CN" w:bidi="ar"/>
              </w:rPr>
              <w:t>100%</w:t>
            </w:r>
            <w:r>
              <w:rPr>
                <w:rFonts w:hint="eastAsia" w:ascii="方正仿宋_GBK" w:hAnsi="方正仿宋_GBK" w:eastAsia="方正仿宋_GBK" w:cs="方正仿宋_GBK"/>
                <w:i w:val="0"/>
                <w:iCs w:val="0"/>
                <w:color w:val="auto"/>
                <w:kern w:val="0"/>
                <w:sz w:val="24"/>
                <w:szCs w:val="24"/>
                <w:lang w:val="en-US" w:eastAsia="zh-CN" w:bidi="ar"/>
              </w:rPr>
              <w:t>得2.5分，否则不得分；</w:t>
            </w:r>
            <w:r>
              <w:rPr>
                <w:rStyle w:val="46"/>
                <w:color w:val="auto"/>
                <w:highlight w:val="none"/>
                <w:lang w:val="en-US" w:eastAsia="zh-CN" w:bidi="ar"/>
              </w:rPr>
              <w:t>实际支出资金：一定时期（本年度或项目期）内项目实际拨付的资金</w:t>
            </w:r>
            <w:r>
              <w:rPr>
                <w:rFonts w:hint="eastAsia" w:ascii="方正仿宋_GBK" w:hAnsi="方正仿宋_GBK" w:eastAsia="方正仿宋_GBK" w:cs="方正仿宋_GBK"/>
                <w:i w:val="0"/>
                <w:iCs w:val="0"/>
                <w:color w:val="auto"/>
                <w:kern w:val="0"/>
                <w:sz w:val="24"/>
                <w:szCs w:val="24"/>
                <w:lang w:val="en-US" w:eastAsia="zh-CN" w:bidi="ar"/>
              </w:rPr>
              <w:t>得2.5分，否则不得分。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eastAsia="等线" w:cs="Times New Roman"/>
                <w:i w:val="0"/>
                <w:iCs w:val="0"/>
                <w:color w:val="auto"/>
                <w:sz w:val="24"/>
                <w:szCs w:val="24"/>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资金使用合规性（5分）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①是否符合国家财经法规和财务管理制度以及有关专项资金管理办法的规定</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；②资金的拨付是否有完整的审批程序和手续</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；③是否符合项目预算批复或合同规定的用途</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；④是否存在截留、挤占、挪用、虚列支出等情况</w:t>
            </w:r>
            <w:r>
              <w:rPr>
                <w:rFonts w:hint="eastAsia" w:ascii="方正仿宋_GBK" w:hAnsi="方正仿宋_GBK" w:eastAsia="方正仿宋_GBK" w:cs="方正仿宋_GBK"/>
                <w:i w:val="0"/>
                <w:iCs w:val="0"/>
                <w:color w:val="auto"/>
                <w:kern w:val="0"/>
                <w:sz w:val="24"/>
                <w:szCs w:val="24"/>
                <w:lang w:val="en-US" w:eastAsia="zh-CN" w:bidi="ar"/>
              </w:rPr>
              <w:t>得2分，否则不得分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eastAsia="等线" w:cs="Times New Roman"/>
                <w:i w:val="0"/>
                <w:iCs w:val="0"/>
                <w:color w:val="auto"/>
                <w:sz w:val="24"/>
                <w:szCs w:val="24"/>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组织实施（5分）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管理制度健全性（2分）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①是否已制定或具有相应的财务和业务管理制度</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；②财务和业务管理制度是否合法、合规、完整</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eastAsia="等线" w:cs="Times New Roman"/>
                <w:i w:val="0"/>
                <w:iCs w:val="0"/>
                <w:color w:val="auto"/>
                <w:sz w:val="24"/>
                <w:szCs w:val="24"/>
                <w:highlight w:val="none"/>
                <w:u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制度执行（3分）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①是否遵守相关法律法规和相关管理规定</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；；②项目调整及支出调整手续是否完备</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；③项目合同书、验收报告、技术鉴定等资料是否齐全并及时归档</w:t>
            </w:r>
            <w:r>
              <w:rPr>
                <w:rFonts w:hint="eastAsia" w:ascii="方正仿宋_GBK" w:hAnsi="方正仿宋_GBK" w:eastAsia="方正仿宋_GBK" w:cs="方正仿宋_GBK"/>
                <w:i w:val="0"/>
                <w:iCs w:val="0"/>
                <w:color w:val="auto"/>
                <w:kern w:val="0"/>
                <w:sz w:val="24"/>
                <w:szCs w:val="24"/>
                <w:lang w:val="en-US" w:eastAsia="zh-CN" w:bidi="ar"/>
              </w:rPr>
              <w:t>得0.5分，否则不得分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；；④项目实施的人员条件、场地设备、信息支撑等是否落实到位</w:t>
            </w:r>
            <w:r>
              <w:rPr>
                <w:rFonts w:hint="eastAsia" w:ascii="方正仿宋_GBK" w:hAnsi="方正仿宋_GBK" w:eastAsia="方正仿宋_GBK" w:cs="方正仿宋_GBK"/>
                <w:i w:val="0"/>
                <w:iCs w:val="0"/>
                <w:color w:val="auto"/>
                <w:kern w:val="0"/>
                <w:sz w:val="24"/>
                <w:szCs w:val="24"/>
                <w:lang w:val="en-US" w:eastAsia="zh-CN" w:bidi="ar"/>
              </w:rPr>
              <w:t>得0.5分，否则不得分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eastAsia="等线" w:cs="Times New Roman"/>
                <w:i w:val="0"/>
                <w:iCs w:val="0"/>
                <w:color w:val="auto"/>
                <w:sz w:val="24"/>
                <w:szCs w:val="24"/>
                <w:highlight w:val="none"/>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产出（40分）</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产出数量（</w:t>
            </w:r>
            <w:r>
              <w:rPr>
                <w:rStyle w:val="58"/>
                <w:rFonts w:eastAsia="方正仿宋_GBK"/>
                <w:color w:val="auto"/>
                <w:highlight w:val="none"/>
                <w:lang w:val="en-US" w:eastAsia="zh-CN" w:bidi="ar"/>
              </w:rPr>
              <w:t>10</w:t>
            </w:r>
            <w:r>
              <w:rPr>
                <w:rStyle w:val="46"/>
                <w:color w:val="auto"/>
                <w:highlight w:val="none"/>
                <w:lang w:val="en-US" w:eastAsia="zh-CN" w:bidi="ar"/>
              </w:rPr>
              <w:t>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实际完成率（10分）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color w:val="auto"/>
              </w:rPr>
              <w:t>①</w:t>
            </w:r>
            <w:r>
              <w:rPr>
                <w:rFonts w:hint="eastAsia" w:ascii="方正仿宋_GBK" w:hAnsi="方正仿宋_GBK" w:eastAsia="方正仿宋_GBK" w:cs="方正仿宋_GBK"/>
                <w:i w:val="0"/>
                <w:iCs w:val="0"/>
                <w:color w:val="auto"/>
                <w:kern w:val="0"/>
                <w:sz w:val="24"/>
                <w:szCs w:val="24"/>
                <w:lang w:val="en-US" w:eastAsia="zh-CN" w:bidi="ar"/>
              </w:rPr>
              <w:t>采集土壤样品流转数量（次）指标，完成该指标得满分（3分）否则不得分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ascii="方正仿宋_GBK" w:hAnsi="方正仿宋_GBK" w:eastAsia="方正仿宋_GBK" w:cs="方正仿宋_GBK"/>
                <w:i w:val="0"/>
                <w:iCs w:val="0"/>
                <w:color w:val="auto"/>
                <w:kern w:val="0"/>
                <w:sz w:val="24"/>
                <w:szCs w:val="24"/>
                <w:lang w:val="en-US" w:eastAsia="zh-CN" w:bidi="ar"/>
              </w:rPr>
              <w:t>②土壤样品检测分析数（项次）</w:t>
            </w:r>
            <w:r>
              <w:rPr>
                <w:rFonts w:hint="eastAsia" w:ascii="方正仿宋_GBK" w:hAnsi="方正仿宋_GBK" w:eastAsia="方正仿宋_GBK" w:cs="方正仿宋_GBK"/>
                <w:color w:val="auto"/>
                <w:kern w:val="0"/>
                <w:sz w:val="24"/>
                <w:szCs w:val="24"/>
                <w:lang w:eastAsia="zh-CN" w:bidi="ar"/>
              </w:rPr>
              <w:t>指标，</w:t>
            </w:r>
            <w:r>
              <w:rPr>
                <w:rFonts w:hint="eastAsia" w:ascii="方正仿宋_GBK" w:hAnsi="方正仿宋_GBK" w:eastAsia="方正仿宋_GBK" w:cs="方正仿宋_GBK"/>
                <w:i w:val="0"/>
                <w:iCs w:val="0"/>
                <w:color w:val="auto"/>
                <w:kern w:val="0"/>
                <w:sz w:val="24"/>
                <w:szCs w:val="24"/>
                <w:lang w:val="en-US" w:eastAsia="zh-CN" w:bidi="ar"/>
              </w:rPr>
              <w:t>完成该指标得满分（2分）否则不得分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ascii="方正仿宋_GBK" w:hAnsi="方正仿宋_GBK" w:eastAsia="方正仿宋_GBK" w:cs="方正仿宋_GBK"/>
                <w:i w:val="0"/>
                <w:iCs w:val="0"/>
                <w:color w:val="auto"/>
                <w:kern w:val="0"/>
                <w:sz w:val="24"/>
                <w:szCs w:val="24"/>
                <w:lang w:val="en-US" w:eastAsia="zh-CN" w:bidi="ar"/>
              </w:rPr>
              <w:t>③购买取土样品的耗材数量（批）</w:t>
            </w:r>
            <w:r>
              <w:rPr>
                <w:rFonts w:hint="eastAsia" w:ascii="方正仿宋_GBK" w:hAnsi="方正仿宋_GBK" w:eastAsia="方正仿宋_GBK" w:cs="方正仿宋_GBK"/>
                <w:color w:val="auto"/>
                <w:kern w:val="0"/>
                <w:sz w:val="24"/>
                <w:szCs w:val="24"/>
                <w:lang w:eastAsia="zh-CN" w:bidi="ar"/>
              </w:rPr>
              <w:t>指标，</w:t>
            </w:r>
            <w:r>
              <w:rPr>
                <w:rFonts w:hint="eastAsia" w:ascii="方正仿宋_GBK" w:hAnsi="方正仿宋_GBK" w:eastAsia="方正仿宋_GBK" w:cs="方正仿宋_GBK"/>
                <w:i w:val="0"/>
                <w:iCs w:val="0"/>
                <w:color w:val="auto"/>
                <w:kern w:val="0"/>
                <w:sz w:val="24"/>
                <w:szCs w:val="24"/>
                <w:lang w:val="en-US" w:eastAsia="zh-CN" w:bidi="ar"/>
              </w:rPr>
              <w:t>完成该指标得满分（3分）否则不得分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b/>
                <w:bCs/>
                <w:color w:val="auto"/>
              </w:rPr>
            </w:pPr>
            <w:r>
              <w:rPr>
                <w:rFonts w:hint="eastAsia" w:ascii="方正仿宋_GBK" w:hAnsi="方正仿宋_GBK" w:eastAsia="方正仿宋_GBK" w:cs="方正仿宋_GBK"/>
                <w:i w:val="0"/>
                <w:iCs w:val="0"/>
                <w:color w:val="auto"/>
                <w:kern w:val="0"/>
                <w:sz w:val="24"/>
                <w:szCs w:val="24"/>
                <w:lang w:val="en-US" w:eastAsia="zh-CN" w:bidi="ar"/>
              </w:rPr>
              <w:t>④购买土壤样品的工具数量（批）</w:t>
            </w:r>
            <w:r>
              <w:rPr>
                <w:rFonts w:hint="eastAsia" w:ascii="方正仿宋_GBK" w:hAnsi="方正仿宋_GBK" w:eastAsia="方正仿宋_GBK" w:cs="方正仿宋_GBK"/>
                <w:color w:val="auto"/>
                <w:kern w:val="0"/>
                <w:sz w:val="24"/>
                <w:szCs w:val="24"/>
                <w:lang w:eastAsia="zh-CN" w:bidi="ar"/>
              </w:rPr>
              <w:t>指标</w:t>
            </w:r>
            <w:r>
              <w:rPr>
                <w:rFonts w:hint="eastAsia" w:ascii="方正仿宋_GBK" w:hAnsi="方正仿宋_GBK" w:eastAsia="方正仿宋_GBK" w:cs="方正仿宋_GBK"/>
                <w:i w:val="0"/>
                <w:iCs w:val="0"/>
                <w:color w:val="auto"/>
                <w:kern w:val="0"/>
                <w:sz w:val="24"/>
                <w:szCs w:val="24"/>
                <w:lang w:val="en-US" w:eastAsia="zh-CN" w:bidi="ar"/>
              </w:rPr>
              <w:t>，完成该指标得满分（2分）否则不得分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eastAsia="等线" w:cs="Times New Roman"/>
                <w:i w:val="0"/>
                <w:iCs w:val="0"/>
                <w:color w:val="auto"/>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产出质量（10分）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质量达标率（10分）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kern w:val="0"/>
                <w:sz w:val="24"/>
                <w:szCs w:val="24"/>
                <w:lang w:bidi="ar"/>
              </w:rPr>
              <w:t>①</w:t>
            </w:r>
            <w:r>
              <w:rPr>
                <w:rFonts w:hint="eastAsia" w:ascii="方正仿宋_GBK" w:hAnsi="方正仿宋_GBK" w:eastAsia="方正仿宋_GBK" w:cs="方正仿宋_GBK"/>
                <w:color w:val="auto"/>
                <w:kern w:val="0"/>
                <w:sz w:val="24"/>
                <w:szCs w:val="24"/>
                <w:lang w:eastAsia="zh-CN" w:bidi="ar"/>
              </w:rPr>
              <w:t>资金使用合规</w:t>
            </w:r>
            <w:r>
              <w:rPr>
                <w:rFonts w:hint="eastAsia" w:ascii="方正仿宋_GBK" w:hAnsi="方正仿宋_GBK" w:eastAsia="方正仿宋_GBK" w:cs="方正仿宋_GBK"/>
                <w:color w:val="auto"/>
                <w:kern w:val="0"/>
                <w:sz w:val="24"/>
                <w:szCs w:val="24"/>
                <w:lang w:bidi="ar"/>
              </w:rPr>
              <w:t>率</w:t>
            </w:r>
            <w:r>
              <w:rPr>
                <w:rFonts w:hint="eastAsia" w:ascii="方正仿宋_GBK" w:hAnsi="方正仿宋_GBK" w:eastAsia="方正仿宋_GBK" w:cs="方正仿宋_GBK"/>
                <w:color w:val="auto"/>
                <w:kern w:val="0"/>
                <w:sz w:val="24"/>
                <w:szCs w:val="24"/>
                <w:lang w:bidi="ar"/>
              </w:rPr>
              <w:t>（%）</w:t>
            </w:r>
            <w:r>
              <w:rPr>
                <w:rFonts w:hint="eastAsia" w:ascii="方正仿宋_GBK" w:hAnsi="方正仿宋_GBK" w:eastAsia="方正仿宋_GBK" w:cs="方正仿宋_GBK"/>
                <w:color w:val="auto"/>
                <w:kern w:val="0"/>
                <w:sz w:val="24"/>
                <w:szCs w:val="24"/>
                <w:lang w:eastAsia="zh-CN" w:bidi="ar"/>
              </w:rPr>
              <w:t>指标，</w:t>
            </w:r>
            <w:r>
              <w:rPr>
                <w:rFonts w:hint="eastAsia" w:ascii="方正仿宋_GBK" w:hAnsi="方正仿宋_GBK" w:eastAsia="方正仿宋_GBK" w:cs="方正仿宋_GBK"/>
                <w:color w:val="auto"/>
                <w:kern w:val="0"/>
                <w:sz w:val="24"/>
                <w:szCs w:val="24"/>
                <w:lang w:bidi="ar"/>
              </w:rPr>
              <w:t>完</w:t>
            </w:r>
            <w:r>
              <w:rPr>
                <w:rFonts w:hint="eastAsia" w:ascii="方正仿宋_GBK" w:hAnsi="方正仿宋_GBK" w:eastAsia="方正仿宋_GBK" w:cs="方正仿宋_GBK"/>
                <w:color w:val="auto"/>
                <w:kern w:val="0"/>
                <w:sz w:val="24"/>
                <w:szCs w:val="24"/>
                <w:lang w:bidi="ar"/>
              </w:rPr>
              <w:t>成该指标得满分（</w:t>
            </w:r>
            <w:r>
              <w:rPr>
                <w:rFonts w:hint="eastAsia" w:ascii="方正仿宋_GBK" w:hAnsi="方正仿宋_GBK" w:eastAsia="方正仿宋_GBK" w:cs="方正仿宋_GBK"/>
                <w:color w:val="auto"/>
                <w:kern w:val="0"/>
                <w:sz w:val="24"/>
                <w:szCs w:val="24"/>
                <w:lang w:val="en-US" w:eastAsia="zh-CN" w:bidi="ar"/>
              </w:rPr>
              <w:t>10</w:t>
            </w:r>
            <w:r>
              <w:rPr>
                <w:rFonts w:hint="eastAsia" w:ascii="方正仿宋_GBK" w:hAnsi="方正仿宋_GBK" w:eastAsia="方正仿宋_GBK" w:cs="方正仿宋_GBK"/>
                <w:color w:val="auto"/>
                <w:kern w:val="0"/>
                <w:sz w:val="24"/>
                <w:szCs w:val="24"/>
                <w:lang w:bidi="ar"/>
              </w:rPr>
              <w:t>分）否则不得分；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color w:val="auto"/>
                <w:kern w:val="0"/>
                <w:sz w:val="24"/>
                <w:szCs w:val="24"/>
                <w:lang w:eastAsia="zh-CN" w:bidi="ar"/>
              </w:rPr>
            </w:pPr>
            <w:r>
              <w:rPr>
                <w:rFonts w:hint="eastAsia" w:ascii="方正仿宋_GBK" w:hAnsi="方正仿宋_GBK" w:eastAsia="方正仿宋_GBK" w:cs="方正仿宋_GBK"/>
                <w:color w:val="auto"/>
                <w:kern w:val="0"/>
                <w:sz w:val="24"/>
                <w:szCs w:val="24"/>
                <w:lang w:bidi="ar"/>
              </w:rPr>
              <w:t>质量达标率=（质量达标产出数/实际产出数）×100%。</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color w:val="auto"/>
                <w:kern w:val="0"/>
                <w:sz w:val="24"/>
                <w:szCs w:val="24"/>
                <w:lang w:bidi="ar"/>
              </w:rPr>
              <w:t>质量达标产出数：一定时期（本年度或项目期）内实际达到既定质量标准的产品或服务数量。</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eastAsia="等线" w:cs="Times New Roman"/>
                <w:i w:val="0"/>
                <w:iCs w:val="0"/>
                <w:color w:val="auto"/>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产出时效（10分）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完成及时性（10分）</w:t>
            </w:r>
          </w:p>
        </w:tc>
        <w:tc>
          <w:tcPr>
            <w:tcW w:w="542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eastAsia" w:ascii="方正仿宋_GBK" w:hAnsi="方正仿宋_GBK" w:eastAsia="方正仿宋_GBK" w:cs="方正仿宋_GBK"/>
                <w:color w:val="auto"/>
                <w:kern w:val="0"/>
                <w:sz w:val="24"/>
                <w:szCs w:val="24"/>
                <w:lang w:eastAsia="zh-CN" w:bidi="ar"/>
              </w:rPr>
            </w:pPr>
            <w:r>
              <w:rPr>
                <w:rFonts w:hint="eastAsia" w:ascii="方正仿宋_GBK" w:hAnsi="方正仿宋_GBK" w:eastAsia="方正仿宋_GBK" w:cs="方正仿宋_GBK"/>
                <w:color w:val="auto"/>
                <w:kern w:val="0"/>
                <w:sz w:val="24"/>
                <w:szCs w:val="24"/>
                <w:lang w:bidi="ar"/>
              </w:rPr>
              <w:t>①项目开工率</w:t>
            </w:r>
            <w:r>
              <w:rPr>
                <w:rFonts w:hint="eastAsia" w:ascii="方正仿宋_GBK" w:hAnsi="方正仿宋_GBK" w:eastAsia="方正仿宋_GBK" w:cs="方正仿宋_GBK"/>
                <w:color w:val="auto"/>
                <w:kern w:val="0"/>
                <w:sz w:val="24"/>
                <w:szCs w:val="24"/>
                <w:lang w:bidi="ar"/>
              </w:rPr>
              <w:t>（%）</w:t>
            </w:r>
            <w:r>
              <w:rPr>
                <w:rFonts w:hint="eastAsia" w:ascii="方正仿宋_GBK" w:hAnsi="方正仿宋_GBK" w:eastAsia="方正仿宋_GBK" w:cs="方正仿宋_GBK"/>
                <w:color w:val="auto"/>
                <w:kern w:val="0"/>
                <w:sz w:val="24"/>
                <w:szCs w:val="24"/>
                <w:lang w:eastAsia="zh-CN" w:bidi="ar"/>
              </w:rPr>
              <w:t>指标，</w:t>
            </w:r>
            <w:r>
              <w:rPr>
                <w:rFonts w:hint="eastAsia" w:ascii="方正仿宋_GBK" w:hAnsi="方正仿宋_GBK" w:eastAsia="方正仿宋_GBK" w:cs="方正仿宋_GBK"/>
                <w:color w:val="auto"/>
                <w:kern w:val="0"/>
                <w:sz w:val="24"/>
                <w:szCs w:val="24"/>
                <w:lang w:bidi="ar"/>
              </w:rPr>
              <w:t>完成该指标得满分（</w:t>
            </w:r>
            <w:r>
              <w:rPr>
                <w:rFonts w:hint="eastAsia" w:ascii="方正仿宋_GBK" w:hAnsi="方正仿宋_GBK" w:eastAsia="方正仿宋_GBK" w:cs="方正仿宋_GBK"/>
                <w:color w:val="auto"/>
                <w:kern w:val="0"/>
                <w:sz w:val="24"/>
                <w:szCs w:val="24"/>
                <w:lang w:val="en-US" w:eastAsia="zh-CN" w:bidi="ar"/>
              </w:rPr>
              <w:t>5</w:t>
            </w:r>
            <w:r>
              <w:rPr>
                <w:rFonts w:hint="eastAsia" w:ascii="方正仿宋_GBK" w:hAnsi="方正仿宋_GBK" w:eastAsia="方正仿宋_GBK" w:cs="方正仿宋_GBK"/>
                <w:color w:val="auto"/>
                <w:kern w:val="0"/>
                <w:sz w:val="24"/>
                <w:szCs w:val="24"/>
                <w:lang w:bidi="ar"/>
              </w:rPr>
              <w:t>分）否则不得分；；</w:t>
            </w:r>
          </w:p>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eastAsia" w:ascii="方正仿宋_GBK" w:hAnsi="方正仿宋_GBK" w:eastAsia="方正仿宋_GBK" w:cs="方正仿宋_GBK"/>
                <w:color w:val="auto"/>
                <w:kern w:val="0"/>
                <w:sz w:val="24"/>
                <w:szCs w:val="24"/>
                <w:lang w:eastAsia="zh-CN" w:bidi="ar"/>
              </w:rPr>
            </w:pPr>
            <w:r>
              <w:rPr>
                <w:rFonts w:hint="eastAsia" w:ascii="方正仿宋_GBK" w:hAnsi="方正仿宋_GBK" w:eastAsia="方正仿宋_GBK" w:cs="方正仿宋_GBK"/>
                <w:color w:val="auto"/>
                <w:kern w:val="0"/>
                <w:sz w:val="24"/>
                <w:szCs w:val="24"/>
                <w:lang w:bidi="ar"/>
              </w:rPr>
              <w:t>②项目</w:t>
            </w:r>
            <w:r>
              <w:rPr>
                <w:rFonts w:hint="eastAsia" w:ascii="方正仿宋_GBK" w:hAnsi="方正仿宋_GBK" w:eastAsia="方正仿宋_GBK" w:cs="方正仿宋_GBK"/>
                <w:color w:val="auto"/>
                <w:kern w:val="0"/>
                <w:sz w:val="24"/>
                <w:szCs w:val="24"/>
                <w:lang w:eastAsia="zh-CN" w:bidi="ar"/>
              </w:rPr>
              <w:t>完工</w:t>
            </w:r>
            <w:r>
              <w:rPr>
                <w:rFonts w:hint="eastAsia" w:ascii="方正仿宋_GBK" w:hAnsi="方正仿宋_GBK" w:eastAsia="方正仿宋_GBK" w:cs="方正仿宋_GBK"/>
                <w:color w:val="auto"/>
                <w:kern w:val="0"/>
                <w:sz w:val="24"/>
                <w:szCs w:val="24"/>
                <w:lang w:bidi="ar"/>
              </w:rPr>
              <w:t>时间</w:t>
            </w:r>
            <w:r>
              <w:rPr>
                <w:rFonts w:hint="eastAsia" w:ascii="方正仿宋_GBK" w:hAnsi="方正仿宋_GBK" w:eastAsia="方正仿宋_GBK" w:cs="方正仿宋_GBK"/>
                <w:color w:val="auto"/>
                <w:kern w:val="0"/>
                <w:sz w:val="24"/>
                <w:szCs w:val="24"/>
                <w:lang w:eastAsia="zh-CN" w:bidi="ar"/>
              </w:rPr>
              <w:t>指标</w:t>
            </w:r>
            <w:r>
              <w:rPr>
                <w:rFonts w:hint="eastAsia" w:ascii="方正仿宋_GBK" w:hAnsi="方正仿宋_GBK" w:eastAsia="方正仿宋_GBK" w:cs="方正仿宋_GBK"/>
                <w:color w:val="auto"/>
                <w:kern w:val="0"/>
                <w:sz w:val="24"/>
                <w:szCs w:val="24"/>
                <w:lang w:eastAsia="zh-CN" w:bidi="ar"/>
              </w:rPr>
              <w:t>，</w:t>
            </w:r>
            <w:r>
              <w:rPr>
                <w:rFonts w:hint="eastAsia" w:ascii="方正仿宋_GBK" w:hAnsi="方正仿宋_GBK" w:eastAsia="方正仿宋_GBK" w:cs="方正仿宋_GBK"/>
                <w:color w:val="auto"/>
                <w:kern w:val="0"/>
                <w:sz w:val="24"/>
                <w:szCs w:val="24"/>
                <w:lang w:bidi="ar"/>
              </w:rPr>
              <w:t>完成该指标得满分（</w:t>
            </w:r>
            <w:r>
              <w:rPr>
                <w:rFonts w:hint="eastAsia" w:ascii="方正仿宋_GBK" w:hAnsi="方正仿宋_GBK" w:eastAsia="方正仿宋_GBK" w:cs="方正仿宋_GBK"/>
                <w:color w:val="auto"/>
                <w:kern w:val="0"/>
                <w:sz w:val="24"/>
                <w:szCs w:val="24"/>
                <w:lang w:val="en-US" w:eastAsia="zh-CN" w:bidi="ar"/>
              </w:rPr>
              <w:t>5</w:t>
            </w:r>
            <w:r>
              <w:rPr>
                <w:rFonts w:hint="eastAsia" w:ascii="方正仿宋_GBK" w:hAnsi="方正仿宋_GBK" w:eastAsia="方正仿宋_GBK" w:cs="方正仿宋_GBK"/>
                <w:color w:val="auto"/>
                <w:kern w:val="0"/>
                <w:sz w:val="24"/>
                <w:szCs w:val="24"/>
                <w:lang w:bidi="ar"/>
              </w:rPr>
              <w:t>分）否则不得分；</w:t>
            </w:r>
          </w:p>
          <w:p>
            <w:pPr>
              <w:keepNext w:val="0"/>
              <w:keepLines w:val="0"/>
              <w:pageBreakBefore w:val="0"/>
              <w:widowControl/>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color w:val="auto"/>
                <w:kern w:val="0"/>
                <w:sz w:val="24"/>
                <w:szCs w:val="24"/>
                <w:lang w:bidi="ar"/>
              </w:rPr>
              <w:t>实际完成时间：项目实施单位完成该项目实际所耗用的时间。计划完成时间：按照项目实施计划或相关规定完成该项目所需的时间。</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eastAsia="等线" w:cs="Times New Roman"/>
                <w:i w:val="0"/>
                <w:iCs w:val="0"/>
                <w:color w:val="auto"/>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产出成本（10</w:t>
            </w:r>
            <w:r>
              <w:rPr>
                <w:rStyle w:val="46"/>
                <w:color w:val="auto"/>
                <w:highlight w:val="none"/>
                <w:lang w:val="en-US" w:eastAsia="zh-CN" w:bidi="ar"/>
              </w:rPr>
              <w:t>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成本节约率（10分）</w:t>
            </w:r>
          </w:p>
        </w:tc>
        <w:tc>
          <w:tcPr>
            <w:tcW w:w="542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color w:val="auto"/>
              </w:rPr>
              <w:t>①</w:t>
            </w:r>
            <w:r>
              <w:rPr>
                <w:rFonts w:hint="eastAsia" w:ascii="方正仿宋_GBK" w:hAnsi="方正仿宋_GBK" w:eastAsia="方正仿宋_GBK" w:cs="方正仿宋_GBK"/>
                <w:i w:val="0"/>
                <w:iCs w:val="0"/>
                <w:color w:val="auto"/>
                <w:kern w:val="0"/>
                <w:sz w:val="24"/>
                <w:szCs w:val="24"/>
                <w:lang w:val="en-US" w:eastAsia="zh-CN" w:bidi="ar"/>
              </w:rPr>
              <w:t>采集土壤样品流转费（万元）指标，完成该指标得满分（3分）否则不得分；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ascii="方正仿宋_GBK" w:hAnsi="方正仿宋_GBK" w:eastAsia="方正仿宋_GBK" w:cs="方正仿宋_GBK"/>
                <w:i w:val="0"/>
                <w:iCs w:val="0"/>
                <w:color w:val="auto"/>
                <w:kern w:val="0"/>
                <w:sz w:val="24"/>
                <w:szCs w:val="24"/>
                <w:lang w:val="en-US" w:eastAsia="zh-CN" w:bidi="ar"/>
              </w:rPr>
              <w:t>②土壤样品检测分析费（万元）</w:t>
            </w:r>
            <w:r>
              <w:rPr>
                <w:rFonts w:hint="eastAsia" w:ascii="方正仿宋_GBK" w:hAnsi="方正仿宋_GBK" w:eastAsia="方正仿宋_GBK" w:cs="方正仿宋_GBK"/>
                <w:color w:val="auto"/>
                <w:kern w:val="0"/>
                <w:sz w:val="24"/>
                <w:szCs w:val="24"/>
                <w:lang w:eastAsia="zh-CN" w:bidi="ar"/>
              </w:rPr>
              <w:t>指标，</w:t>
            </w:r>
            <w:r>
              <w:rPr>
                <w:rFonts w:hint="eastAsia" w:ascii="方正仿宋_GBK" w:hAnsi="方正仿宋_GBK" w:eastAsia="方正仿宋_GBK" w:cs="方正仿宋_GBK"/>
                <w:i w:val="0"/>
                <w:iCs w:val="0"/>
                <w:color w:val="auto"/>
                <w:kern w:val="0"/>
                <w:sz w:val="24"/>
                <w:szCs w:val="24"/>
                <w:lang w:val="en-US" w:eastAsia="zh-CN" w:bidi="ar"/>
              </w:rPr>
              <w:t>完成该指标得满分（2分）否则不得分；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ascii="方正仿宋_GBK" w:hAnsi="方正仿宋_GBK" w:eastAsia="方正仿宋_GBK" w:cs="方正仿宋_GBK"/>
                <w:i w:val="0"/>
                <w:iCs w:val="0"/>
                <w:color w:val="auto"/>
                <w:kern w:val="0"/>
                <w:sz w:val="24"/>
                <w:szCs w:val="24"/>
                <w:lang w:val="en-US" w:eastAsia="zh-CN" w:bidi="ar"/>
              </w:rPr>
              <w:t>③购买取土样品的耗材成本（万元/批）</w:t>
            </w:r>
            <w:r>
              <w:rPr>
                <w:rFonts w:hint="eastAsia" w:ascii="方正仿宋_GBK" w:hAnsi="方正仿宋_GBK" w:eastAsia="方正仿宋_GBK" w:cs="方正仿宋_GBK"/>
                <w:color w:val="auto"/>
                <w:kern w:val="0"/>
                <w:sz w:val="24"/>
                <w:szCs w:val="24"/>
                <w:lang w:eastAsia="zh-CN" w:bidi="ar"/>
              </w:rPr>
              <w:t>指标，</w:t>
            </w:r>
            <w:r>
              <w:rPr>
                <w:rFonts w:hint="eastAsia" w:ascii="方正仿宋_GBK" w:hAnsi="方正仿宋_GBK" w:eastAsia="方正仿宋_GBK" w:cs="方正仿宋_GBK"/>
                <w:i w:val="0"/>
                <w:iCs w:val="0"/>
                <w:color w:val="auto"/>
                <w:kern w:val="0"/>
                <w:sz w:val="24"/>
                <w:szCs w:val="24"/>
                <w:lang w:val="en-US" w:eastAsia="zh-CN" w:bidi="ar"/>
              </w:rPr>
              <w:t>完成该指标得满分（3分）否则不得分；</w:t>
            </w:r>
          </w:p>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lang w:val="en-US" w:eastAsia="zh-CN" w:bidi="ar"/>
              </w:rPr>
              <w:t>④购买土壤样品的工具成本（万元/批）</w:t>
            </w:r>
            <w:r>
              <w:rPr>
                <w:rFonts w:hint="eastAsia" w:ascii="方正仿宋_GBK" w:hAnsi="方正仿宋_GBK" w:eastAsia="方正仿宋_GBK" w:cs="方正仿宋_GBK"/>
                <w:color w:val="auto"/>
                <w:kern w:val="0"/>
                <w:sz w:val="24"/>
                <w:szCs w:val="24"/>
                <w:lang w:eastAsia="zh-CN" w:bidi="ar"/>
              </w:rPr>
              <w:t>指标</w:t>
            </w:r>
            <w:r>
              <w:rPr>
                <w:rFonts w:hint="eastAsia" w:ascii="方正仿宋_GBK" w:hAnsi="方正仿宋_GBK" w:eastAsia="方正仿宋_GBK" w:cs="方正仿宋_GBK"/>
                <w:i w:val="0"/>
                <w:iCs w:val="0"/>
                <w:color w:val="auto"/>
                <w:kern w:val="0"/>
                <w:sz w:val="24"/>
                <w:szCs w:val="24"/>
                <w:lang w:val="en-US" w:eastAsia="zh-CN" w:bidi="ar"/>
              </w:rPr>
              <w:t>，完成该指标得满分（2分）否则不得分。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eastAsia="等线" w:cs="Times New Roman"/>
                <w:i w:val="0"/>
                <w:iCs w:val="0"/>
                <w:color w:val="auto"/>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效益（20分）</w:t>
            </w: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项目效益（10分）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实施效益（10分）</w:t>
            </w:r>
          </w:p>
        </w:tc>
        <w:tc>
          <w:tcPr>
            <w:tcW w:w="542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eastAsia" w:ascii="方正仿宋_GBK" w:hAnsi="方正仿宋_GBK" w:eastAsia="方正仿宋_GBK" w:cs="方正仿宋_GBK"/>
                <w:color w:val="auto"/>
                <w:kern w:val="0"/>
                <w:sz w:val="24"/>
                <w:szCs w:val="24"/>
                <w:lang w:eastAsia="zh-CN" w:bidi="ar"/>
              </w:rPr>
            </w:pPr>
            <w:r>
              <w:rPr>
                <w:rFonts w:hint="eastAsia" w:ascii="方正仿宋_GBK" w:hAnsi="方正仿宋_GBK" w:eastAsia="方正仿宋_GBK" w:cs="方正仿宋_GBK"/>
                <w:color w:val="auto"/>
                <w:kern w:val="0"/>
                <w:sz w:val="24"/>
                <w:szCs w:val="24"/>
                <w:lang w:bidi="ar"/>
              </w:rPr>
              <w:t>①经济效益：无</w:t>
            </w:r>
            <w:r>
              <w:rPr>
                <w:rFonts w:hint="eastAsia" w:ascii="方正仿宋_GBK" w:hAnsi="方正仿宋_GBK" w:eastAsia="方正仿宋_GBK" w:cs="方正仿宋_GBK"/>
                <w:color w:val="auto"/>
                <w:kern w:val="0"/>
                <w:sz w:val="24"/>
                <w:szCs w:val="24"/>
                <w:lang w:eastAsia="zh-CN" w:bidi="ar"/>
              </w:rPr>
              <w:t>。</w:t>
            </w:r>
          </w:p>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eastAsia" w:ascii="方正仿宋_GBK" w:hAnsi="方正仿宋_GBK" w:eastAsia="方正仿宋_GBK" w:cs="方正仿宋_GBK"/>
                <w:color w:val="auto"/>
                <w:kern w:val="0"/>
                <w:sz w:val="24"/>
                <w:szCs w:val="24"/>
                <w:lang w:eastAsia="zh-CN" w:bidi="ar"/>
              </w:rPr>
            </w:pPr>
            <w:r>
              <w:rPr>
                <w:rFonts w:hint="eastAsia" w:ascii="方正仿宋_GBK" w:hAnsi="方正仿宋_GBK" w:eastAsia="方正仿宋_GBK" w:cs="方正仿宋_GBK"/>
                <w:color w:val="auto"/>
                <w:kern w:val="0"/>
                <w:sz w:val="24"/>
                <w:szCs w:val="24"/>
                <w:lang w:bidi="ar"/>
              </w:rPr>
              <w:t>②社会效益：</w:t>
            </w:r>
            <w:r>
              <w:rPr>
                <w:rFonts w:hint="eastAsia" w:ascii="方正仿宋_GBK" w:hAnsi="方正仿宋_GBK" w:eastAsia="方正仿宋_GBK" w:cs="方正仿宋_GBK"/>
                <w:color w:val="auto"/>
                <w:kern w:val="0"/>
                <w:sz w:val="24"/>
                <w:szCs w:val="24"/>
                <w:lang w:eastAsia="zh-CN" w:bidi="ar"/>
              </w:rPr>
              <w:t>提升土壤资源保护和利用水平指标，</w:t>
            </w:r>
            <w:r>
              <w:rPr>
                <w:rFonts w:hint="eastAsia" w:ascii="方正仿宋_GBK" w:hAnsi="方正仿宋_GBK" w:eastAsia="方正仿宋_GBK" w:cs="方正仿宋_GBK"/>
                <w:color w:val="auto"/>
                <w:kern w:val="0"/>
                <w:sz w:val="24"/>
                <w:szCs w:val="24"/>
                <w:lang w:bidi="ar"/>
              </w:rPr>
              <w:t>完成该指标得满分（</w:t>
            </w:r>
            <w:r>
              <w:rPr>
                <w:rFonts w:hint="eastAsia" w:ascii="方正仿宋_GBK" w:hAnsi="方正仿宋_GBK" w:eastAsia="方正仿宋_GBK" w:cs="方正仿宋_GBK"/>
                <w:color w:val="auto"/>
                <w:kern w:val="0"/>
                <w:sz w:val="24"/>
                <w:szCs w:val="24"/>
                <w:lang w:val="en-US" w:eastAsia="zh-CN" w:bidi="ar"/>
              </w:rPr>
              <w:t>5</w:t>
            </w:r>
            <w:r>
              <w:rPr>
                <w:rFonts w:hint="eastAsia" w:ascii="方正仿宋_GBK" w:hAnsi="方正仿宋_GBK" w:eastAsia="方正仿宋_GBK" w:cs="方正仿宋_GBK"/>
                <w:color w:val="auto"/>
                <w:kern w:val="0"/>
                <w:sz w:val="24"/>
                <w:szCs w:val="24"/>
                <w:lang w:bidi="ar"/>
              </w:rPr>
              <w:t>分）否则不得分；</w:t>
            </w:r>
          </w:p>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eastAsia" w:ascii="方正仿宋_GBK" w:hAnsi="方正仿宋_GBK" w:eastAsia="方正仿宋_GBK" w:cs="方正仿宋_GBK"/>
                <w:color w:val="auto"/>
                <w:kern w:val="0"/>
                <w:sz w:val="24"/>
                <w:szCs w:val="24"/>
                <w:lang w:eastAsia="zh-CN" w:bidi="ar"/>
              </w:rPr>
            </w:pPr>
            <w:r>
              <w:rPr>
                <w:rFonts w:hint="eastAsia" w:ascii="方正仿宋_GBK" w:hAnsi="方正仿宋_GBK" w:eastAsia="方正仿宋_GBK" w:cs="方正仿宋_GBK"/>
                <w:color w:val="auto"/>
                <w:kern w:val="0"/>
                <w:sz w:val="24"/>
                <w:szCs w:val="24"/>
                <w:lang w:bidi="ar"/>
              </w:rPr>
              <w:t>③生态效益：</w:t>
            </w:r>
            <w:r>
              <w:rPr>
                <w:rFonts w:hint="eastAsia" w:ascii="方正仿宋_GBK" w:hAnsi="方正仿宋_GBK" w:eastAsia="方正仿宋_GBK" w:cs="方正仿宋_GBK"/>
                <w:color w:val="auto"/>
                <w:kern w:val="0"/>
                <w:sz w:val="24"/>
                <w:szCs w:val="24"/>
                <w:lang w:eastAsia="zh-CN" w:bidi="ar"/>
              </w:rPr>
              <w:t>无。</w:t>
            </w:r>
          </w:p>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eastAsia" w:ascii="方正仿宋_GBK" w:hAnsi="方正仿宋_GBK" w:eastAsia="方正仿宋_GBK" w:cs="方正仿宋_GBK"/>
                <w:i w:val="0"/>
                <w:iCs w:val="0"/>
                <w:color w:val="auto"/>
                <w:sz w:val="24"/>
                <w:szCs w:val="24"/>
                <w:highlight w:val="none"/>
                <w:u w:val="none"/>
                <w:lang w:eastAsia="zh-CN"/>
              </w:rPr>
            </w:pPr>
            <w:r>
              <w:rPr>
                <w:rFonts w:hint="eastAsia" w:ascii="方正仿宋_GBK" w:hAnsi="方正仿宋_GBK" w:eastAsia="方正仿宋_GBK" w:cs="方正仿宋_GBK"/>
                <w:color w:val="auto"/>
                <w:kern w:val="0"/>
                <w:sz w:val="24"/>
                <w:szCs w:val="24"/>
                <w:lang w:bidi="ar"/>
              </w:rPr>
              <w:t>④可持续影响：</w:t>
            </w:r>
            <w:r>
              <w:rPr>
                <w:rFonts w:hint="eastAsia" w:ascii="方正仿宋_GBK" w:hAnsi="方正仿宋_GBK" w:eastAsia="方正仿宋_GBK" w:cs="方正仿宋_GBK"/>
                <w:color w:val="auto"/>
                <w:kern w:val="0"/>
                <w:sz w:val="24"/>
                <w:szCs w:val="24"/>
                <w:lang w:eastAsia="zh-CN" w:bidi="ar"/>
              </w:rPr>
              <w:t>推进农业质量发展指标，</w:t>
            </w:r>
            <w:r>
              <w:rPr>
                <w:rFonts w:hint="eastAsia" w:ascii="方正仿宋_GBK" w:hAnsi="方正仿宋_GBK" w:eastAsia="方正仿宋_GBK" w:cs="方正仿宋_GBK"/>
                <w:color w:val="auto"/>
                <w:kern w:val="0"/>
                <w:sz w:val="24"/>
                <w:szCs w:val="24"/>
                <w:lang w:bidi="ar"/>
              </w:rPr>
              <w:t>完成该指标得满分（</w:t>
            </w:r>
            <w:r>
              <w:rPr>
                <w:rFonts w:hint="eastAsia" w:ascii="方正仿宋_GBK" w:hAnsi="方正仿宋_GBK" w:eastAsia="方正仿宋_GBK" w:cs="方正仿宋_GBK"/>
                <w:color w:val="auto"/>
                <w:kern w:val="0"/>
                <w:sz w:val="24"/>
                <w:szCs w:val="24"/>
                <w:lang w:val="en-US" w:eastAsia="zh-CN" w:bidi="ar"/>
              </w:rPr>
              <w:t>5</w:t>
            </w:r>
            <w:r>
              <w:rPr>
                <w:rFonts w:hint="eastAsia" w:ascii="方正仿宋_GBK" w:hAnsi="方正仿宋_GBK" w:eastAsia="方正仿宋_GBK" w:cs="方正仿宋_GBK"/>
                <w:color w:val="auto"/>
                <w:kern w:val="0"/>
                <w:sz w:val="24"/>
                <w:szCs w:val="24"/>
                <w:lang w:bidi="ar"/>
              </w:rPr>
              <w:t>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eastAsia="等线" w:cs="Times New Roman"/>
                <w:i w:val="0"/>
                <w:iCs w:val="0"/>
                <w:color w:val="auto"/>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满意度（10分）</w:t>
            </w:r>
          </w:p>
        </w:tc>
        <w:tc>
          <w:tcPr>
            <w:tcW w:w="542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eastAsia" w:ascii="方正仿宋_GBK" w:hAnsi="方正仿宋_GBK" w:eastAsia="方正仿宋_GBK" w:cs="方正仿宋_GBK"/>
                <w:color w:val="auto"/>
                <w:kern w:val="0"/>
                <w:sz w:val="24"/>
                <w:szCs w:val="24"/>
                <w:lang w:eastAsia="zh-CN" w:bidi="ar"/>
              </w:rPr>
            </w:pPr>
            <w:r>
              <w:rPr>
                <w:rFonts w:hint="eastAsia" w:ascii="方正仿宋_GBK" w:hAnsi="方正仿宋_GBK" w:eastAsia="方正仿宋_GBK" w:cs="方正仿宋_GBK"/>
                <w:color w:val="auto"/>
                <w:kern w:val="0"/>
                <w:sz w:val="24"/>
                <w:szCs w:val="24"/>
                <w:lang w:bidi="ar"/>
              </w:rPr>
              <w:t>根据问卷调查</w:t>
            </w:r>
            <w:r>
              <w:rPr>
                <w:rFonts w:hint="eastAsia" w:ascii="方正仿宋_GBK" w:hAnsi="方正仿宋_GBK" w:eastAsia="方正仿宋_GBK" w:cs="方正仿宋_GBK"/>
                <w:color w:val="auto"/>
                <w:kern w:val="0"/>
                <w:sz w:val="24"/>
                <w:szCs w:val="24"/>
                <w:lang w:eastAsia="zh-CN" w:bidi="ar"/>
              </w:rPr>
              <w:t>，受益农户</w:t>
            </w:r>
            <w:r>
              <w:rPr>
                <w:rFonts w:hint="eastAsia" w:ascii="方正仿宋_GBK" w:hAnsi="方正仿宋_GBK" w:eastAsia="方正仿宋_GBK" w:cs="方正仿宋_GBK"/>
                <w:color w:val="auto"/>
                <w:kern w:val="0"/>
                <w:sz w:val="24"/>
                <w:szCs w:val="24"/>
                <w:lang w:bidi="ar"/>
              </w:rPr>
              <w:t>满意度达到满意的人数：</w:t>
            </w:r>
          </w:p>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eastAsia" w:ascii="方正仿宋_GBK" w:hAnsi="方正仿宋_GBK" w:eastAsia="方正仿宋_GBK" w:cs="方正仿宋_GBK"/>
                <w:color w:val="auto"/>
                <w:kern w:val="0"/>
                <w:sz w:val="24"/>
                <w:szCs w:val="24"/>
                <w:lang w:eastAsia="zh-CN" w:bidi="ar"/>
              </w:rPr>
            </w:pPr>
            <w:r>
              <w:rPr>
                <w:rFonts w:hint="eastAsia" w:ascii="方正仿宋_GBK" w:hAnsi="方正仿宋_GBK" w:eastAsia="方正仿宋_GBK" w:cs="方正仿宋_GBK"/>
                <w:color w:val="auto"/>
                <w:kern w:val="0"/>
                <w:sz w:val="24"/>
                <w:szCs w:val="24"/>
                <w:lang w:bidi="ar"/>
              </w:rPr>
              <w:t>①人数大于等于95%</w:t>
            </w:r>
            <w:r>
              <w:rPr>
                <w:rFonts w:hint="eastAsia" w:ascii="方正仿宋_GBK" w:hAnsi="方正仿宋_GBK" w:eastAsia="方正仿宋_GBK" w:cs="方正仿宋_GBK"/>
                <w:color w:val="auto"/>
                <w:kern w:val="0"/>
                <w:sz w:val="24"/>
                <w:szCs w:val="24"/>
                <w:lang w:eastAsia="zh-CN" w:bidi="ar"/>
              </w:rPr>
              <w:t>，</w:t>
            </w:r>
            <w:r>
              <w:rPr>
                <w:rFonts w:hint="eastAsia" w:ascii="方正仿宋_GBK" w:hAnsi="方正仿宋_GBK" w:eastAsia="方正仿宋_GBK" w:cs="方正仿宋_GBK"/>
                <w:color w:val="auto"/>
                <w:kern w:val="0"/>
                <w:sz w:val="24"/>
                <w:szCs w:val="24"/>
                <w:lang w:bidi="ar"/>
              </w:rPr>
              <w:t>得10分；</w:t>
            </w:r>
          </w:p>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eastAsia" w:ascii="方正仿宋_GBK" w:hAnsi="方正仿宋_GBK" w:eastAsia="方正仿宋_GBK" w:cs="方正仿宋_GBK"/>
                <w:color w:val="auto"/>
                <w:kern w:val="0"/>
                <w:sz w:val="24"/>
                <w:szCs w:val="24"/>
                <w:lang w:eastAsia="zh-CN" w:bidi="ar"/>
              </w:rPr>
            </w:pPr>
            <w:r>
              <w:rPr>
                <w:rFonts w:hint="eastAsia" w:ascii="方正仿宋_GBK" w:hAnsi="方正仿宋_GBK" w:eastAsia="方正仿宋_GBK" w:cs="方正仿宋_GBK"/>
                <w:color w:val="auto"/>
                <w:kern w:val="0"/>
                <w:sz w:val="24"/>
                <w:szCs w:val="24"/>
                <w:lang w:bidi="ar"/>
              </w:rPr>
              <w:t>②人数小于95%大于等于85%</w:t>
            </w:r>
            <w:r>
              <w:rPr>
                <w:rFonts w:hint="eastAsia" w:ascii="方正仿宋_GBK" w:hAnsi="方正仿宋_GBK" w:eastAsia="方正仿宋_GBK" w:cs="方正仿宋_GBK"/>
                <w:color w:val="auto"/>
                <w:kern w:val="0"/>
                <w:sz w:val="24"/>
                <w:szCs w:val="24"/>
                <w:lang w:eastAsia="zh-CN" w:bidi="ar"/>
              </w:rPr>
              <w:t>，</w:t>
            </w:r>
            <w:r>
              <w:rPr>
                <w:rFonts w:hint="eastAsia" w:ascii="方正仿宋_GBK" w:hAnsi="方正仿宋_GBK" w:eastAsia="方正仿宋_GBK" w:cs="方正仿宋_GBK"/>
                <w:color w:val="auto"/>
                <w:kern w:val="0"/>
                <w:sz w:val="24"/>
                <w:szCs w:val="24"/>
                <w:lang w:bidi="ar"/>
              </w:rPr>
              <w:t>得8分；</w:t>
            </w:r>
          </w:p>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eastAsia" w:ascii="方正仿宋_GBK" w:hAnsi="方正仿宋_GBK" w:eastAsia="方正仿宋_GBK" w:cs="方正仿宋_GBK"/>
                <w:color w:val="auto"/>
                <w:kern w:val="0"/>
                <w:sz w:val="24"/>
                <w:szCs w:val="24"/>
                <w:lang w:eastAsia="zh-CN" w:bidi="ar"/>
              </w:rPr>
            </w:pPr>
            <w:r>
              <w:rPr>
                <w:rFonts w:hint="eastAsia" w:ascii="方正仿宋_GBK" w:hAnsi="方正仿宋_GBK" w:eastAsia="方正仿宋_GBK" w:cs="方正仿宋_GBK"/>
                <w:color w:val="auto"/>
                <w:kern w:val="0"/>
                <w:sz w:val="24"/>
                <w:szCs w:val="24"/>
                <w:lang w:bidi="ar"/>
              </w:rPr>
              <w:t>③人数小于85%大于等于70%</w:t>
            </w:r>
            <w:r>
              <w:rPr>
                <w:rFonts w:hint="eastAsia" w:ascii="方正仿宋_GBK" w:hAnsi="方正仿宋_GBK" w:eastAsia="方正仿宋_GBK" w:cs="方正仿宋_GBK"/>
                <w:color w:val="auto"/>
                <w:kern w:val="0"/>
                <w:sz w:val="24"/>
                <w:szCs w:val="24"/>
                <w:lang w:eastAsia="zh-CN" w:bidi="ar"/>
              </w:rPr>
              <w:t>，</w:t>
            </w:r>
            <w:r>
              <w:rPr>
                <w:rFonts w:hint="eastAsia" w:ascii="方正仿宋_GBK" w:hAnsi="方正仿宋_GBK" w:eastAsia="方正仿宋_GBK" w:cs="方正仿宋_GBK"/>
                <w:color w:val="auto"/>
                <w:kern w:val="0"/>
                <w:sz w:val="24"/>
                <w:szCs w:val="24"/>
                <w:lang w:bidi="ar"/>
              </w:rPr>
              <w:t>得5分；</w:t>
            </w:r>
          </w:p>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eastAsia" w:ascii="方正仿宋_GBK" w:hAnsi="方正仿宋_GBK" w:eastAsia="方正仿宋_GBK" w:cs="方正仿宋_GBK"/>
                <w:color w:val="auto"/>
                <w:kern w:val="2"/>
                <w:sz w:val="24"/>
                <w:szCs w:val="24"/>
                <w:lang w:val="en-US" w:eastAsia="zh-CN" w:bidi="ar-SA"/>
              </w:rPr>
            </w:pPr>
            <w:r>
              <w:rPr>
                <w:rFonts w:hint="eastAsia" w:ascii="方正仿宋_GBK" w:hAnsi="方正仿宋_GBK" w:eastAsia="方正仿宋_GBK" w:cs="方正仿宋_GBK"/>
                <w:color w:val="auto"/>
                <w:kern w:val="0"/>
                <w:sz w:val="24"/>
                <w:szCs w:val="24"/>
                <w:lang w:bidi="ar"/>
              </w:rPr>
              <w:t>④人数小于等于70%</w:t>
            </w:r>
            <w:r>
              <w:rPr>
                <w:rFonts w:hint="eastAsia" w:ascii="方正仿宋_GBK" w:hAnsi="方正仿宋_GBK" w:eastAsia="方正仿宋_GBK" w:cs="方正仿宋_GBK"/>
                <w:color w:val="auto"/>
                <w:kern w:val="0"/>
                <w:sz w:val="24"/>
                <w:szCs w:val="24"/>
                <w:lang w:eastAsia="zh-CN" w:bidi="ar"/>
              </w:rPr>
              <w:t>，</w:t>
            </w:r>
            <w:r>
              <w:rPr>
                <w:rFonts w:hint="eastAsia" w:ascii="方正仿宋_GBK" w:hAnsi="方正仿宋_GBK" w:eastAsia="方正仿宋_GBK" w:cs="方正仿宋_GBK"/>
                <w:color w:val="auto"/>
                <w:kern w:val="0"/>
                <w:sz w:val="24"/>
                <w:szCs w:val="24"/>
                <w:lang w:bidi="ar"/>
              </w:rPr>
              <w:t>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eastAsia="等线" w:cs="Times New Roman"/>
                <w:i w:val="0"/>
                <w:iCs w:val="0"/>
                <w:color w:val="auto"/>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合计</w:t>
            </w:r>
          </w:p>
        </w:tc>
        <w:tc>
          <w:tcPr>
            <w:tcW w:w="218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default" w:ascii="Times New Roman" w:hAnsi="Times New Roman" w:eastAsia="等线" w:cs="Times New Roman"/>
                <w:i w:val="0"/>
                <w:iCs w:val="0"/>
                <w:color w:val="auto"/>
                <w:sz w:val="24"/>
                <w:szCs w:val="24"/>
                <w:highlight w:val="none"/>
                <w:u w:val="none"/>
              </w:rPr>
            </w:pP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eastAsia="等线" w:cs="Times New Roman"/>
                <w:i w:val="0"/>
                <w:iCs w:val="0"/>
                <w:color w:val="auto"/>
                <w:sz w:val="24"/>
                <w:szCs w:val="24"/>
                <w:highlight w:val="none"/>
                <w:u w:val="none"/>
                <w:lang w:val="en-US" w:eastAsia="zh-CN"/>
              </w:rPr>
              <w:t>100</w:t>
            </w:r>
          </w:p>
        </w:tc>
      </w:tr>
    </w:tbl>
    <w:p>
      <w:pPr>
        <w:pageBreakBefore w:val="0"/>
        <w:kinsoku/>
        <w:wordWrap/>
        <w:overflowPunct w:val="0"/>
        <w:topLinePunct w:val="0"/>
        <w:autoSpaceDE/>
        <w:autoSpaceDN/>
        <w:bidi w:val="0"/>
        <w:spacing w:line="560" w:lineRule="exact"/>
        <w:ind w:left="0" w:leftChars="0" w:firstLine="0" w:firstLineChars="0"/>
        <w:contextualSpacing/>
        <w:rPr>
          <w:rFonts w:hint="eastAsia" w:ascii="Times New Roman" w:hAnsi="Times New Roman" w:eastAsia="方正仿宋_GBK" w:cs="方正仿宋_GBK"/>
          <w:b/>
          <w:bCs/>
          <w:color w:val="auto"/>
          <w:kern w:val="2"/>
          <w:sz w:val="32"/>
          <w:szCs w:val="32"/>
          <w:lang w:val="en-US" w:eastAsia="zh-CN" w:bidi="ar-SA"/>
        </w:rPr>
      </w:pPr>
      <w:r>
        <w:rPr>
          <w:rFonts w:hint="eastAsia" w:ascii="Times New Roman" w:hAnsi="Times New Roman" w:eastAsia="方正仿宋_GBK" w:cs="方正仿宋_GBK"/>
          <w:b/>
          <w:bCs/>
          <w:color w:val="auto"/>
          <w:kern w:val="2"/>
          <w:sz w:val="32"/>
          <w:szCs w:val="32"/>
          <w:lang w:val="en-US" w:eastAsia="zh-CN" w:bidi="ar-SA"/>
        </w:rPr>
        <w:t>附件2：满意度调查问卷</w:t>
      </w:r>
    </w:p>
    <w:p>
      <w:pPr>
        <w:keepLines w:val="0"/>
        <w:spacing w:after="400"/>
        <w:ind w:firstLine="160"/>
        <w:jc w:val="center"/>
        <w:rPr>
          <w:color w:val="auto"/>
        </w:rPr>
      </w:pPr>
      <w:r>
        <w:rPr>
          <w:b/>
          <w:color w:val="auto"/>
          <w:sz w:val="32"/>
        </w:rPr>
        <w:t>伽师县第三次全国土壤普工作满意度调查</w:t>
      </w:r>
    </w:p>
    <w:p>
      <w:pPr>
        <w:rPr>
          <w:b/>
          <w:color w:val="auto"/>
          <w:sz w:val="32"/>
        </w:rPr>
      </w:pPr>
      <w:r>
        <w:rPr>
          <w:b w:val="0"/>
          <w:color w:val="auto"/>
          <w:sz w:val="24"/>
        </w:rPr>
        <w:t>第1题第三次全国土壤普查工作的普查对象?</w:t>
      </w:r>
      <w:r>
        <w:rPr>
          <w:b w:val="0"/>
          <w:color w:val="auto"/>
          <w:sz w:val="24"/>
        </w:rPr>
        <w:t>[单选题]</w:t>
      </w:r>
    </w:p>
    <w:p>
      <w:pPr>
        <w:rPr>
          <w:b w:val="0"/>
          <w:color w:val="auto"/>
          <w:sz w:val="24"/>
        </w:rPr>
      </w:pPr>
    </w:p>
    <w:tbl>
      <w:tblPr>
        <w:tblStyle w:val="28"/>
        <w:tblW w:w="9060"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4514"/>
        <w:gridCol w:w="1263"/>
        <w:gridCol w:w="3283"/>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514" w:type="dxa"/>
            <w:shd w:val="clear" w:color="auto" w:fill="F5F5F5"/>
            <w:vAlign w:val="center"/>
          </w:tcPr>
          <w:p>
            <w:pPr>
              <w:jc w:val="left"/>
              <w:rPr>
                <w:color w:val="auto"/>
              </w:rPr>
            </w:pPr>
            <w:r>
              <w:rPr>
                <w:color w:val="auto"/>
              </w:rPr>
              <w:t>选项</w:t>
            </w:r>
          </w:p>
        </w:tc>
        <w:tc>
          <w:tcPr>
            <w:tcW w:w="1263" w:type="dxa"/>
            <w:shd w:val="clear" w:color="auto" w:fill="F5F5F5"/>
            <w:vAlign w:val="center"/>
          </w:tcPr>
          <w:p>
            <w:pPr>
              <w:jc w:val="center"/>
              <w:rPr>
                <w:color w:val="auto"/>
              </w:rPr>
            </w:pPr>
            <w:r>
              <w:rPr>
                <w:color w:val="auto"/>
              </w:rPr>
              <w:t>小计</w:t>
            </w:r>
          </w:p>
        </w:tc>
        <w:tc>
          <w:tcPr>
            <w:tcW w:w="3283" w:type="dxa"/>
            <w:shd w:val="clear" w:color="auto" w:fill="F5F5F5"/>
            <w:vAlign w:val="center"/>
          </w:tcPr>
          <w:p>
            <w:pPr>
              <w:jc w:val="left"/>
              <w:rPr>
                <w:color w:val="auto"/>
              </w:rPr>
            </w:pPr>
            <w:r>
              <w:rPr>
                <w:color w:val="auto"/>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514" w:type="dxa"/>
            <w:shd w:val="clear" w:color="auto" w:fill="FFFFFF"/>
            <w:vAlign w:val="center"/>
          </w:tcPr>
          <w:p>
            <w:pPr>
              <w:jc w:val="left"/>
              <w:rPr>
                <w:color w:val="auto"/>
              </w:rPr>
            </w:pPr>
            <w:r>
              <w:rPr>
                <w:color w:val="auto"/>
              </w:rPr>
              <w:t>全国耕地、园地、林地、草地等农用地和部分未利用地的土壤</w:t>
            </w:r>
          </w:p>
        </w:tc>
        <w:tc>
          <w:tcPr>
            <w:tcW w:w="1263" w:type="dxa"/>
            <w:shd w:val="clear" w:color="auto" w:fill="FFFFFF"/>
            <w:vAlign w:val="center"/>
          </w:tcPr>
          <w:p>
            <w:pPr>
              <w:jc w:val="center"/>
              <w:rPr>
                <w:color w:val="auto"/>
              </w:rPr>
            </w:pPr>
            <w:r>
              <w:rPr>
                <w:color w:val="auto"/>
              </w:rPr>
              <w:t>213</w:t>
            </w:r>
          </w:p>
        </w:tc>
        <w:tc>
          <w:tcPr>
            <w:tcW w:w="3283" w:type="dxa"/>
            <w:shd w:val="clear" w:color="auto" w:fill="FFFFFF"/>
            <w:vAlign w:val="center"/>
          </w:tcPr>
          <w:p>
            <w:pPr>
              <w:jc w:val="left"/>
              <w:rPr>
                <w:color w:val="auto"/>
              </w:rPr>
            </w:pPr>
            <w:r>
              <w:rPr>
                <w:color w:val="auto"/>
              </w:rPr>
              <w:drawing>
                <wp:inline distT="0" distB="0" distL="114300" distR="114300">
                  <wp:extent cx="1285875" cy="114300"/>
                  <wp:effectExtent l="0" t="0" r="9525" b="0"/>
                  <wp:docPr id="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
                          <pic:cNvPicPr>
                            <a:picLocks noChangeAspect="1"/>
                          </pic:cNvPicPr>
                        </pic:nvPicPr>
                        <pic:blipFill>
                          <a:blip r:embed="rId6"/>
                          <a:stretch>
                            <a:fillRect/>
                          </a:stretch>
                        </pic:blipFill>
                        <pic:spPr>
                          <a:xfrm>
                            <a:off x="0" y="0"/>
                            <a:ext cx="1285875" cy="114300"/>
                          </a:xfrm>
                          <a:prstGeom prst="rect">
                            <a:avLst/>
                          </a:prstGeom>
                          <a:noFill/>
                          <a:ln>
                            <a:noFill/>
                          </a:ln>
                        </pic:spPr>
                      </pic:pic>
                    </a:graphicData>
                  </a:graphic>
                </wp:inline>
              </w:drawing>
            </w:r>
            <w:r>
              <w:rPr>
                <w:color w:val="auto"/>
              </w:rPr>
              <w:drawing>
                <wp:inline distT="0" distB="0" distL="114300" distR="114300">
                  <wp:extent cx="66675" cy="114300"/>
                  <wp:effectExtent l="0" t="0" r="9525" b="0"/>
                  <wp:docPr id="3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
                          <pic:cNvPicPr>
                            <a:picLocks noChangeAspect="1"/>
                          </pic:cNvPicPr>
                        </pic:nvPicPr>
                        <pic:blipFill>
                          <a:blip r:embed="rId7"/>
                          <a:stretch>
                            <a:fillRect/>
                          </a:stretch>
                        </pic:blipFill>
                        <pic:spPr>
                          <a:xfrm>
                            <a:off x="0" y="0"/>
                            <a:ext cx="66675" cy="114300"/>
                          </a:xfrm>
                          <a:prstGeom prst="rect">
                            <a:avLst/>
                          </a:prstGeom>
                          <a:noFill/>
                          <a:ln>
                            <a:noFill/>
                          </a:ln>
                        </pic:spPr>
                      </pic:pic>
                    </a:graphicData>
                  </a:graphic>
                </wp:inline>
              </w:drawing>
            </w:r>
            <w:r>
              <w:rPr>
                <w:color w:val="auto"/>
              </w:rPr>
              <w:t>95.52%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514" w:type="dxa"/>
            <w:shd w:val="clear" w:color="auto" w:fill="FAFAFA"/>
            <w:vAlign w:val="center"/>
          </w:tcPr>
          <w:p>
            <w:pPr>
              <w:jc w:val="left"/>
              <w:rPr>
                <w:color w:val="auto"/>
              </w:rPr>
            </w:pPr>
            <w:r>
              <w:rPr>
                <w:color w:val="auto"/>
              </w:rPr>
              <w:t>耕地</w:t>
            </w:r>
          </w:p>
        </w:tc>
        <w:tc>
          <w:tcPr>
            <w:tcW w:w="1263" w:type="dxa"/>
            <w:shd w:val="clear" w:color="auto" w:fill="FAFAFA"/>
            <w:vAlign w:val="center"/>
          </w:tcPr>
          <w:p>
            <w:pPr>
              <w:jc w:val="center"/>
              <w:rPr>
                <w:color w:val="auto"/>
              </w:rPr>
            </w:pPr>
            <w:r>
              <w:rPr>
                <w:color w:val="auto"/>
              </w:rPr>
              <w:t>10</w:t>
            </w:r>
          </w:p>
        </w:tc>
        <w:tc>
          <w:tcPr>
            <w:tcW w:w="3283" w:type="dxa"/>
            <w:shd w:val="clear" w:color="auto" w:fill="FAFAFA"/>
            <w:vAlign w:val="center"/>
          </w:tcPr>
          <w:p>
            <w:pPr>
              <w:jc w:val="left"/>
              <w:rPr>
                <w:color w:val="auto"/>
              </w:rPr>
            </w:pPr>
            <w:r>
              <w:rPr>
                <w:color w:val="auto"/>
              </w:rPr>
              <w:drawing>
                <wp:inline distT="0" distB="0" distL="114300" distR="114300">
                  <wp:extent cx="57150" cy="114300"/>
                  <wp:effectExtent l="0" t="0" r="0" b="0"/>
                  <wp:docPr id="1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
                          <pic:cNvPicPr>
                            <a:picLocks noChangeAspect="1"/>
                          </pic:cNvPicPr>
                        </pic:nvPicPr>
                        <pic:blipFill>
                          <a:blip r:embed="rId8"/>
                          <a:stretch>
                            <a:fillRect/>
                          </a:stretch>
                        </pic:blipFill>
                        <pic:spPr>
                          <a:xfrm>
                            <a:off x="0" y="0"/>
                            <a:ext cx="57150" cy="114300"/>
                          </a:xfrm>
                          <a:prstGeom prst="rect">
                            <a:avLst/>
                          </a:prstGeom>
                          <a:noFill/>
                          <a:ln>
                            <a:noFill/>
                          </a:ln>
                        </pic:spPr>
                      </pic:pic>
                    </a:graphicData>
                  </a:graphic>
                </wp:inline>
              </w:drawing>
            </w:r>
            <w:r>
              <w:rPr>
                <w:color w:val="auto"/>
              </w:rPr>
              <w:drawing>
                <wp:inline distT="0" distB="0" distL="114300" distR="114300">
                  <wp:extent cx="1295400" cy="114300"/>
                  <wp:effectExtent l="0" t="0" r="0" b="0"/>
                  <wp:docPr id="2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
                          <pic:cNvPicPr>
                            <a:picLocks noChangeAspect="1"/>
                          </pic:cNvPicPr>
                        </pic:nvPicPr>
                        <pic:blipFill>
                          <a:blip r:embed="rId9"/>
                          <a:stretch>
                            <a:fillRect/>
                          </a:stretch>
                        </pic:blipFill>
                        <pic:spPr>
                          <a:xfrm>
                            <a:off x="0" y="0"/>
                            <a:ext cx="1295400" cy="114300"/>
                          </a:xfrm>
                          <a:prstGeom prst="rect">
                            <a:avLst/>
                          </a:prstGeom>
                          <a:noFill/>
                          <a:ln>
                            <a:noFill/>
                          </a:ln>
                        </pic:spPr>
                      </pic:pic>
                    </a:graphicData>
                  </a:graphic>
                </wp:inline>
              </w:drawing>
            </w:r>
            <w:r>
              <w:rPr>
                <w:color w:val="auto"/>
              </w:rPr>
              <w:t>4.48%</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514" w:type="dxa"/>
            <w:shd w:val="clear" w:color="auto" w:fill="F5F5F5"/>
            <w:vAlign w:val="center"/>
          </w:tcPr>
          <w:p>
            <w:pPr>
              <w:jc w:val="left"/>
              <w:rPr>
                <w:color w:val="auto"/>
              </w:rPr>
            </w:pPr>
            <w:r>
              <w:rPr>
                <w:color w:val="auto"/>
              </w:rPr>
              <w:t>本题有效填写人次</w:t>
            </w:r>
          </w:p>
        </w:tc>
        <w:tc>
          <w:tcPr>
            <w:tcW w:w="1263" w:type="dxa"/>
            <w:shd w:val="clear" w:color="auto" w:fill="F5F5F5"/>
            <w:vAlign w:val="center"/>
          </w:tcPr>
          <w:p>
            <w:pPr>
              <w:jc w:val="center"/>
              <w:rPr>
                <w:color w:val="auto"/>
              </w:rPr>
            </w:pPr>
            <w:r>
              <w:rPr>
                <w:color w:val="auto"/>
              </w:rPr>
              <w:t>223</w:t>
            </w:r>
          </w:p>
        </w:tc>
        <w:tc>
          <w:tcPr>
            <w:tcW w:w="3283" w:type="dxa"/>
            <w:shd w:val="clear" w:color="auto" w:fill="F5F5F5"/>
            <w:vAlign w:val="center"/>
          </w:tcPr>
          <w:p>
            <w:pPr>
              <w:jc w:val="left"/>
              <w:rPr>
                <w:color w:val="auto"/>
              </w:rPr>
            </w:pPr>
          </w:p>
        </w:tc>
      </w:tr>
    </w:tbl>
    <w:p>
      <w:pPr>
        <w:rPr>
          <w:color w:val="auto"/>
        </w:rPr>
      </w:pPr>
    </w:p>
    <w:p>
      <w:pPr>
        <w:rPr>
          <w:color w:val="auto"/>
        </w:rPr>
      </w:pPr>
    </w:p>
    <w:p>
      <w:pPr>
        <w:rPr>
          <w:color w:val="auto"/>
        </w:rPr>
      </w:pPr>
      <w:r>
        <w:rPr>
          <w:b w:val="0"/>
          <w:color w:val="auto"/>
          <w:sz w:val="24"/>
        </w:rPr>
        <w:t>第2题第三次全国土壤普查工作的普查内容?</w:t>
      </w:r>
      <w:r>
        <w:rPr>
          <w:b w:val="0"/>
          <w:color w:val="auto"/>
          <w:sz w:val="24"/>
        </w:rPr>
        <w:t>[单选题]</w:t>
      </w:r>
    </w:p>
    <w:p>
      <w:pPr>
        <w:rPr>
          <w:b w:val="0"/>
          <w:color w:val="auto"/>
          <w:sz w:val="24"/>
        </w:rPr>
      </w:pPr>
    </w:p>
    <w:tbl>
      <w:tblPr>
        <w:tblStyle w:val="28"/>
        <w:tblW w:w="9060"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4254"/>
        <w:gridCol w:w="1296"/>
        <w:gridCol w:w="3510"/>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54" w:type="dxa"/>
            <w:shd w:val="clear" w:color="auto" w:fill="F5F5F5"/>
            <w:vAlign w:val="center"/>
          </w:tcPr>
          <w:p>
            <w:pPr>
              <w:jc w:val="left"/>
              <w:rPr>
                <w:color w:val="auto"/>
              </w:rPr>
            </w:pPr>
            <w:r>
              <w:rPr>
                <w:color w:val="auto"/>
              </w:rPr>
              <w:t>选项</w:t>
            </w:r>
          </w:p>
        </w:tc>
        <w:tc>
          <w:tcPr>
            <w:tcW w:w="1296" w:type="dxa"/>
            <w:shd w:val="clear" w:color="auto" w:fill="F5F5F5"/>
            <w:vAlign w:val="center"/>
          </w:tcPr>
          <w:p>
            <w:pPr>
              <w:jc w:val="center"/>
              <w:rPr>
                <w:color w:val="auto"/>
              </w:rPr>
            </w:pPr>
            <w:r>
              <w:rPr>
                <w:color w:val="auto"/>
              </w:rPr>
              <w:t>小计</w:t>
            </w:r>
          </w:p>
        </w:tc>
        <w:tc>
          <w:tcPr>
            <w:tcW w:w="3510" w:type="dxa"/>
            <w:shd w:val="clear" w:color="auto" w:fill="F5F5F5"/>
            <w:vAlign w:val="center"/>
          </w:tcPr>
          <w:p>
            <w:pPr>
              <w:jc w:val="left"/>
              <w:rPr>
                <w:color w:val="auto"/>
              </w:rPr>
            </w:pPr>
            <w:r>
              <w:rPr>
                <w:color w:val="auto"/>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54" w:type="dxa"/>
            <w:shd w:val="clear" w:color="auto" w:fill="FFFFFF"/>
            <w:vAlign w:val="center"/>
          </w:tcPr>
          <w:p>
            <w:pPr>
              <w:jc w:val="left"/>
              <w:rPr>
                <w:color w:val="auto"/>
              </w:rPr>
            </w:pPr>
            <w:r>
              <w:rPr>
                <w:color w:val="auto"/>
              </w:rPr>
              <w:t>土壤性状、类型、立地条件、利用状况</w:t>
            </w:r>
          </w:p>
        </w:tc>
        <w:tc>
          <w:tcPr>
            <w:tcW w:w="1296" w:type="dxa"/>
            <w:shd w:val="clear" w:color="auto" w:fill="FFFFFF"/>
            <w:vAlign w:val="center"/>
          </w:tcPr>
          <w:p>
            <w:pPr>
              <w:jc w:val="center"/>
              <w:rPr>
                <w:color w:val="auto"/>
              </w:rPr>
            </w:pPr>
            <w:r>
              <w:rPr>
                <w:color w:val="auto"/>
              </w:rPr>
              <w:t>209</w:t>
            </w:r>
          </w:p>
        </w:tc>
        <w:tc>
          <w:tcPr>
            <w:tcW w:w="3510" w:type="dxa"/>
            <w:shd w:val="clear" w:color="auto" w:fill="FFFFFF"/>
            <w:vAlign w:val="center"/>
          </w:tcPr>
          <w:p>
            <w:pPr>
              <w:jc w:val="left"/>
              <w:rPr>
                <w:color w:val="auto"/>
              </w:rPr>
            </w:pPr>
            <w:r>
              <w:rPr>
                <w:color w:val="auto"/>
              </w:rPr>
              <w:drawing>
                <wp:inline distT="0" distB="0" distL="114300" distR="114300">
                  <wp:extent cx="1266825" cy="114300"/>
                  <wp:effectExtent l="0" t="0" r="9525" b="0"/>
                  <wp:docPr id="2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5"/>
                          <pic:cNvPicPr>
                            <a:picLocks noChangeAspect="1"/>
                          </pic:cNvPicPr>
                        </pic:nvPicPr>
                        <pic:blipFill>
                          <a:blip r:embed="rId10"/>
                          <a:stretch>
                            <a:fillRect/>
                          </a:stretch>
                        </pic:blipFill>
                        <pic:spPr>
                          <a:xfrm>
                            <a:off x="0" y="0"/>
                            <a:ext cx="1266825" cy="114300"/>
                          </a:xfrm>
                          <a:prstGeom prst="rect">
                            <a:avLst/>
                          </a:prstGeom>
                          <a:noFill/>
                          <a:ln>
                            <a:noFill/>
                          </a:ln>
                        </pic:spPr>
                      </pic:pic>
                    </a:graphicData>
                  </a:graphic>
                </wp:inline>
              </w:drawing>
            </w:r>
            <w:r>
              <w:rPr>
                <w:color w:val="auto"/>
              </w:rPr>
              <w:drawing>
                <wp:inline distT="0" distB="0" distL="114300" distR="114300">
                  <wp:extent cx="85725" cy="114300"/>
                  <wp:effectExtent l="0" t="0" r="9525" b="0"/>
                  <wp:docPr id="3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6"/>
                          <pic:cNvPicPr>
                            <a:picLocks noChangeAspect="1"/>
                          </pic:cNvPicPr>
                        </pic:nvPicPr>
                        <pic:blipFill>
                          <a:blip r:embed="rId11"/>
                          <a:stretch>
                            <a:fillRect/>
                          </a:stretch>
                        </pic:blipFill>
                        <pic:spPr>
                          <a:xfrm>
                            <a:off x="0" y="0"/>
                            <a:ext cx="85725" cy="114300"/>
                          </a:xfrm>
                          <a:prstGeom prst="rect">
                            <a:avLst/>
                          </a:prstGeom>
                          <a:noFill/>
                          <a:ln>
                            <a:noFill/>
                          </a:ln>
                        </pic:spPr>
                      </pic:pic>
                    </a:graphicData>
                  </a:graphic>
                </wp:inline>
              </w:drawing>
            </w:r>
            <w:r>
              <w:rPr>
                <w:color w:val="auto"/>
              </w:rPr>
              <w:t>93.72%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54" w:type="dxa"/>
            <w:shd w:val="clear" w:color="auto" w:fill="FAFAFA"/>
            <w:vAlign w:val="center"/>
          </w:tcPr>
          <w:p>
            <w:pPr>
              <w:jc w:val="left"/>
              <w:rPr>
                <w:color w:val="auto"/>
              </w:rPr>
            </w:pPr>
            <w:r>
              <w:rPr>
                <w:color w:val="auto"/>
              </w:rPr>
              <w:t>土壤类型</w:t>
            </w:r>
          </w:p>
        </w:tc>
        <w:tc>
          <w:tcPr>
            <w:tcW w:w="1296" w:type="dxa"/>
            <w:shd w:val="clear" w:color="auto" w:fill="FAFAFA"/>
            <w:vAlign w:val="center"/>
          </w:tcPr>
          <w:p>
            <w:pPr>
              <w:jc w:val="center"/>
              <w:rPr>
                <w:color w:val="auto"/>
              </w:rPr>
            </w:pPr>
            <w:r>
              <w:rPr>
                <w:color w:val="auto"/>
              </w:rPr>
              <w:t>14</w:t>
            </w:r>
          </w:p>
        </w:tc>
        <w:tc>
          <w:tcPr>
            <w:tcW w:w="3510" w:type="dxa"/>
            <w:shd w:val="clear" w:color="auto" w:fill="FAFAFA"/>
            <w:vAlign w:val="center"/>
          </w:tcPr>
          <w:p>
            <w:pPr>
              <w:jc w:val="left"/>
              <w:rPr>
                <w:color w:val="auto"/>
              </w:rPr>
            </w:pPr>
            <w:r>
              <w:rPr>
                <w:color w:val="auto"/>
              </w:rPr>
              <w:drawing>
                <wp:inline distT="0" distB="0" distL="114300" distR="114300">
                  <wp:extent cx="76200" cy="114300"/>
                  <wp:effectExtent l="0" t="0" r="0" b="0"/>
                  <wp:docPr id="2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7"/>
                          <pic:cNvPicPr>
                            <a:picLocks noChangeAspect="1"/>
                          </pic:cNvPicPr>
                        </pic:nvPicPr>
                        <pic:blipFill>
                          <a:blip r:embed="rId12"/>
                          <a:stretch>
                            <a:fillRect/>
                          </a:stretch>
                        </pic:blipFill>
                        <pic:spPr>
                          <a:xfrm>
                            <a:off x="0" y="0"/>
                            <a:ext cx="76200" cy="114300"/>
                          </a:xfrm>
                          <a:prstGeom prst="rect">
                            <a:avLst/>
                          </a:prstGeom>
                          <a:noFill/>
                          <a:ln>
                            <a:noFill/>
                          </a:ln>
                        </pic:spPr>
                      </pic:pic>
                    </a:graphicData>
                  </a:graphic>
                </wp:inline>
              </w:drawing>
            </w:r>
            <w:r>
              <w:rPr>
                <w:color w:val="auto"/>
              </w:rPr>
              <w:drawing>
                <wp:inline distT="0" distB="0" distL="114300" distR="114300">
                  <wp:extent cx="1276350" cy="114300"/>
                  <wp:effectExtent l="0" t="0" r="0" b="0"/>
                  <wp:docPr id="2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8"/>
                          <pic:cNvPicPr>
                            <a:picLocks noChangeAspect="1"/>
                          </pic:cNvPicPr>
                        </pic:nvPicPr>
                        <pic:blipFill>
                          <a:blip r:embed="rId13"/>
                          <a:stretch>
                            <a:fillRect/>
                          </a:stretch>
                        </pic:blipFill>
                        <pic:spPr>
                          <a:xfrm>
                            <a:off x="0" y="0"/>
                            <a:ext cx="1276350" cy="114300"/>
                          </a:xfrm>
                          <a:prstGeom prst="rect">
                            <a:avLst/>
                          </a:prstGeom>
                          <a:noFill/>
                          <a:ln>
                            <a:noFill/>
                          </a:ln>
                        </pic:spPr>
                      </pic:pic>
                    </a:graphicData>
                  </a:graphic>
                </wp:inline>
              </w:drawing>
            </w:r>
            <w:r>
              <w:rPr>
                <w:color w:val="auto"/>
              </w:rPr>
              <w:t>6.28%</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54" w:type="dxa"/>
            <w:shd w:val="clear" w:color="auto" w:fill="F5F5F5"/>
            <w:vAlign w:val="center"/>
          </w:tcPr>
          <w:p>
            <w:pPr>
              <w:jc w:val="left"/>
              <w:rPr>
                <w:color w:val="auto"/>
              </w:rPr>
            </w:pPr>
            <w:r>
              <w:rPr>
                <w:color w:val="auto"/>
              </w:rPr>
              <w:t>本题有效填写人次</w:t>
            </w:r>
          </w:p>
        </w:tc>
        <w:tc>
          <w:tcPr>
            <w:tcW w:w="1296" w:type="dxa"/>
            <w:shd w:val="clear" w:color="auto" w:fill="F5F5F5"/>
            <w:vAlign w:val="center"/>
          </w:tcPr>
          <w:p>
            <w:pPr>
              <w:jc w:val="center"/>
              <w:rPr>
                <w:color w:val="auto"/>
              </w:rPr>
            </w:pPr>
            <w:r>
              <w:rPr>
                <w:color w:val="auto"/>
              </w:rPr>
              <w:t>223</w:t>
            </w:r>
          </w:p>
        </w:tc>
        <w:tc>
          <w:tcPr>
            <w:tcW w:w="3510" w:type="dxa"/>
            <w:shd w:val="clear" w:color="auto" w:fill="F5F5F5"/>
            <w:vAlign w:val="center"/>
          </w:tcPr>
          <w:p>
            <w:pPr>
              <w:jc w:val="left"/>
              <w:rPr>
                <w:color w:val="auto"/>
              </w:rPr>
            </w:pPr>
          </w:p>
        </w:tc>
      </w:tr>
    </w:tbl>
    <w:p>
      <w:pPr>
        <w:rPr>
          <w:color w:val="auto"/>
        </w:rPr>
      </w:pPr>
    </w:p>
    <w:p>
      <w:pPr>
        <w:rPr>
          <w:color w:val="auto"/>
        </w:rPr>
      </w:pPr>
    </w:p>
    <w:p>
      <w:pPr>
        <w:rPr>
          <w:color w:val="auto"/>
        </w:rPr>
      </w:pPr>
      <w:r>
        <w:rPr>
          <w:b w:val="0"/>
          <w:color w:val="auto"/>
          <w:sz w:val="24"/>
        </w:rPr>
        <w:t>第3题您觉得有必要开展第三次全国土壤普查吗？</w:t>
      </w:r>
      <w:r>
        <w:rPr>
          <w:b w:val="0"/>
          <w:color w:val="auto"/>
          <w:sz w:val="24"/>
        </w:rPr>
        <w:t>[单选题]</w:t>
      </w:r>
    </w:p>
    <w:p>
      <w:pPr>
        <w:rPr>
          <w:b w:val="0"/>
          <w:color w:val="auto"/>
          <w:sz w:val="24"/>
        </w:rPr>
      </w:pPr>
    </w:p>
    <w:tbl>
      <w:tblPr>
        <w:tblStyle w:val="28"/>
        <w:tblW w:w="9060"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3364"/>
        <w:gridCol w:w="1490"/>
        <w:gridCol w:w="4206"/>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364" w:type="dxa"/>
            <w:shd w:val="clear" w:color="auto" w:fill="F5F5F5"/>
            <w:vAlign w:val="center"/>
          </w:tcPr>
          <w:p>
            <w:pPr>
              <w:jc w:val="left"/>
              <w:rPr>
                <w:color w:val="auto"/>
              </w:rPr>
            </w:pPr>
            <w:r>
              <w:rPr>
                <w:color w:val="auto"/>
              </w:rPr>
              <w:t>选项</w:t>
            </w:r>
          </w:p>
        </w:tc>
        <w:tc>
          <w:tcPr>
            <w:tcW w:w="1490" w:type="dxa"/>
            <w:shd w:val="clear" w:color="auto" w:fill="F5F5F5"/>
            <w:vAlign w:val="center"/>
          </w:tcPr>
          <w:p>
            <w:pPr>
              <w:jc w:val="center"/>
              <w:rPr>
                <w:color w:val="auto"/>
              </w:rPr>
            </w:pPr>
            <w:r>
              <w:rPr>
                <w:color w:val="auto"/>
              </w:rPr>
              <w:t>小计</w:t>
            </w:r>
          </w:p>
        </w:tc>
        <w:tc>
          <w:tcPr>
            <w:tcW w:w="4206" w:type="dxa"/>
            <w:shd w:val="clear" w:color="auto" w:fill="F5F5F5"/>
            <w:vAlign w:val="center"/>
          </w:tcPr>
          <w:p>
            <w:pPr>
              <w:jc w:val="left"/>
              <w:rPr>
                <w:color w:val="auto"/>
              </w:rPr>
            </w:pPr>
            <w:r>
              <w:rPr>
                <w:color w:val="auto"/>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364" w:type="dxa"/>
            <w:shd w:val="clear" w:color="auto" w:fill="FFFFFF"/>
            <w:vAlign w:val="center"/>
          </w:tcPr>
          <w:p>
            <w:pPr>
              <w:jc w:val="left"/>
              <w:rPr>
                <w:color w:val="auto"/>
              </w:rPr>
            </w:pPr>
            <w:r>
              <w:rPr>
                <w:color w:val="auto"/>
              </w:rPr>
              <w:t>必要</w:t>
            </w:r>
          </w:p>
        </w:tc>
        <w:tc>
          <w:tcPr>
            <w:tcW w:w="1490" w:type="dxa"/>
            <w:shd w:val="clear" w:color="auto" w:fill="FFFFFF"/>
            <w:vAlign w:val="center"/>
          </w:tcPr>
          <w:p>
            <w:pPr>
              <w:jc w:val="center"/>
              <w:rPr>
                <w:color w:val="auto"/>
              </w:rPr>
            </w:pPr>
            <w:r>
              <w:rPr>
                <w:color w:val="auto"/>
              </w:rPr>
              <w:t>211</w:t>
            </w:r>
          </w:p>
        </w:tc>
        <w:tc>
          <w:tcPr>
            <w:tcW w:w="4206" w:type="dxa"/>
            <w:shd w:val="clear" w:color="auto" w:fill="FFFFFF"/>
            <w:vAlign w:val="center"/>
          </w:tcPr>
          <w:p>
            <w:pPr>
              <w:jc w:val="left"/>
              <w:rPr>
                <w:color w:val="auto"/>
              </w:rPr>
            </w:pPr>
            <w:r>
              <w:rPr>
                <w:color w:val="auto"/>
              </w:rPr>
              <w:drawing>
                <wp:inline distT="0" distB="0" distL="114300" distR="114300">
                  <wp:extent cx="1276350" cy="114300"/>
                  <wp:effectExtent l="0" t="0" r="0" b="0"/>
                  <wp:docPr id="2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9"/>
                          <pic:cNvPicPr>
                            <a:picLocks noChangeAspect="1"/>
                          </pic:cNvPicPr>
                        </pic:nvPicPr>
                        <pic:blipFill>
                          <a:blip r:embed="rId14"/>
                          <a:stretch>
                            <a:fillRect/>
                          </a:stretch>
                        </pic:blipFill>
                        <pic:spPr>
                          <a:xfrm>
                            <a:off x="0" y="0"/>
                            <a:ext cx="1276350" cy="114300"/>
                          </a:xfrm>
                          <a:prstGeom prst="rect">
                            <a:avLst/>
                          </a:prstGeom>
                          <a:noFill/>
                          <a:ln>
                            <a:noFill/>
                          </a:ln>
                        </pic:spPr>
                      </pic:pic>
                    </a:graphicData>
                  </a:graphic>
                </wp:inline>
              </w:drawing>
            </w:r>
            <w:r>
              <w:rPr>
                <w:color w:val="auto"/>
              </w:rPr>
              <w:drawing>
                <wp:inline distT="0" distB="0" distL="114300" distR="114300">
                  <wp:extent cx="76200" cy="114300"/>
                  <wp:effectExtent l="0" t="0" r="0" b="0"/>
                  <wp:docPr id="2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0"/>
                          <pic:cNvPicPr>
                            <a:picLocks noChangeAspect="1"/>
                          </pic:cNvPicPr>
                        </pic:nvPicPr>
                        <pic:blipFill>
                          <a:blip r:embed="rId15"/>
                          <a:stretch>
                            <a:fillRect/>
                          </a:stretch>
                        </pic:blipFill>
                        <pic:spPr>
                          <a:xfrm>
                            <a:off x="0" y="0"/>
                            <a:ext cx="76200" cy="114300"/>
                          </a:xfrm>
                          <a:prstGeom prst="rect">
                            <a:avLst/>
                          </a:prstGeom>
                          <a:noFill/>
                          <a:ln>
                            <a:noFill/>
                          </a:ln>
                        </pic:spPr>
                      </pic:pic>
                    </a:graphicData>
                  </a:graphic>
                </wp:inline>
              </w:drawing>
            </w:r>
            <w:r>
              <w:rPr>
                <w:color w:val="auto"/>
              </w:rPr>
              <w:t>94.62%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364" w:type="dxa"/>
            <w:shd w:val="clear" w:color="auto" w:fill="FAFAFA"/>
            <w:vAlign w:val="center"/>
          </w:tcPr>
          <w:p>
            <w:pPr>
              <w:jc w:val="left"/>
              <w:rPr>
                <w:color w:val="auto"/>
              </w:rPr>
            </w:pPr>
            <w:r>
              <w:rPr>
                <w:color w:val="auto"/>
              </w:rPr>
              <w:t>不必要</w:t>
            </w:r>
          </w:p>
        </w:tc>
        <w:tc>
          <w:tcPr>
            <w:tcW w:w="1490" w:type="dxa"/>
            <w:shd w:val="clear" w:color="auto" w:fill="FAFAFA"/>
            <w:vAlign w:val="center"/>
          </w:tcPr>
          <w:p>
            <w:pPr>
              <w:jc w:val="center"/>
              <w:rPr>
                <w:color w:val="auto"/>
              </w:rPr>
            </w:pPr>
            <w:r>
              <w:rPr>
                <w:color w:val="auto"/>
              </w:rPr>
              <w:t>12</w:t>
            </w:r>
          </w:p>
        </w:tc>
        <w:tc>
          <w:tcPr>
            <w:tcW w:w="4206" w:type="dxa"/>
            <w:shd w:val="clear" w:color="auto" w:fill="FAFAFA"/>
            <w:vAlign w:val="center"/>
          </w:tcPr>
          <w:p>
            <w:pPr>
              <w:jc w:val="left"/>
              <w:rPr>
                <w:color w:val="auto"/>
              </w:rPr>
            </w:pPr>
            <w:r>
              <w:rPr>
                <w:color w:val="auto"/>
              </w:rPr>
              <w:drawing>
                <wp:inline distT="0" distB="0" distL="114300" distR="114300">
                  <wp:extent cx="66675" cy="114300"/>
                  <wp:effectExtent l="0" t="0" r="9525" b="0"/>
                  <wp:docPr id="2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1"/>
                          <pic:cNvPicPr>
                            <a:picLocks noChangeAspect="1"/>
                          </pic:cNvPicPr>
                        </pic:nvPicPr>
                        <pic:blipFill>
                          <a:blip r:embed="rId16"/>
                          <a:stretch>
                            <a:fillRect/>
                          </a:stretch>
                        </pic:blipFill>
                        <pic:spPr>
                          <a:xfrm>
                            <a:off x="0" y="0"/>
                            <a:ext cx="66675" cy="114300"/>
                          </a:xfrm>
                          <a:prstGeom prst="rect">
                            <a:avLst/>
                          </a:prstGeom>
                          <a:noFill/>
                          <a:ln>
                            <a:noFill/>
                          </a:ln>
                        </pic:spPr>
                      </pic:pic>
                    </a:graphicData>
                  </a:graphic>
                </wp:inline>
              </w:drawing>
            </w:r>
            <w:r>
              <w:rPr>
                <w:color w:val="auto"/>
              </w:rPr>
              <w:drawing>
                <wp:inline distT="0" distB="0" distL="114300" distR="114300">
                  <wp:extent cx="1285875" cy="114300"/>
                  <wp:effectExtent l="0" t="0" r="9525" b="0"/>
                  <wp:docPr id="2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2"/>
                          <pic:cNvPicPr>
                            <a:picLocks noChangeAspect="1"/>
                          </pic:cNvPicPr>
                        </pic:nvPicPr>
                        <pic:blipFill>
                          <a:blip r:embed="rId17"/>
                          <a:stretch>
                            <a:fillRect/>
                          </a:stretch>
                        </pic:blipFill>
                        <pic:spPr>
                          <a:xfrm>
                            <a:off x="0" y="0"/>
                            <a:ext cx="1285875" cy="114300"/>
                          </a:xfrm>
                          <a:prstGeom prst="rect">
                            <a:avLst/>
                          </a:prstGeom>
                          <a:noFill/>
                          <a:ln>
                            <a:noFill/>
                          </a:ln>
                        </pic:spPr>
                      </pic:pic>
                    </a:graphicData>
                  </a:graphic>
                </wp:inline>
              </w:drawing>
            </w:r>
            <w:r>
              <w:rPr>
                <w:color w:val="auto"/>
              </w:rPr>
              <w:t>5.38%</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364" w:type="dxa"/>
            <w:shd w:val="clear" w:color="auto" w:fill="F5F5F5"/>
            <w:vAlign w:val="center"/>
          </w:tcPr>
          <w:p>
            <w:pPr>
              <w:jc w:val="left"/>
              <w:rPr>
                <w:color w:val="auto"/>
              </w:rPr>
            </w:pPr>
            <w:r>
              <w:rPr>
                <w:color w:val="auto"/>
              </w:rPr>
              <w:t>本题有效填写人次</w:t>
            </w:r>
          </w:p>
        </w:tc>
        <w:tc>
          <w:tcPr>
            <w:tcW w:w="1490" w:type="dxa"/>
            <w:shd w:val="clear" w:color="auto" w:fill="F5F5F5"/>
            <w:vAlign w:val="center"/>
          </w:tcPr>
          <w:p>
            <w:pPr>
              <w:jc w:val="center"/>
              <w:rPr>
                <w:color w:val="auto"/>
              </w:rPr>
            </w:pPr>
            <w:r>
              <w:rPr>
                <w:color w:val="auto"/>
              </w:rPr>
              <w:t>223</w:t>
            </w:r>
          </w:p>
        </w:tc>
        <w:tc>
          <w:tcPr>
            <w:tcW w:w="4206" w:type="dxa"/>
            <w:shd w:val="clear" w:color="auto" w:fill="F5F5F5"/>
            <w:vAlign w:val="center"/>
          </w:tcPr>
          <w:p>
            <w:pPr>
              <w:jc w:val="left"/>
              <w:rPr>
                <w:color w:val="auto"/>
              </w:rPr>
            </w:pPr>
          </w:p>
        </w:tc>
      </w:tr>
    </w:tbl>
    <w:p>
      <w:pPr>
        <w:rPr>
          <w:color w:val="auto"/>
        </w:rPr>
      </w:pPr>
    </w:p>
    <w:p>
      <w:pPr>
        <w:rPr>
          <w:color w:val="auto"/>
        </w:rPr>
      </w:pPr>
    </w:p>
    <w:p>
      <w:pPr>
        <w:rPr>
          <w:color w:val="auto"/>
        </w:rPr>
      </w:pPr>
      <w:r>
        <w:rPr>
          <w:b w:val="0"/>
          <w:color w:val="auto"/>
          <w:sz w:val="24"/>
        </w:rPr>
        <w:t>第4题您或者亲戚朋友的的耕地取过土壤样品吗？</w:t>
      </w:r>
      <w:r>
        <w:rPr>
          <w:b w:val="0"/>
          <w:color w:val="auto"/>
          <w:sz w:val="24"/>
        </w:rPr>
        <w:t>[单选题]</w:t>
      </w:r>
    </w:p>
    <w:p>
      <w:pPr>
        <w:rPr>
          <w:b w:val="0"/>
          <w:color w:val="auto"/>
          <w:sz w:val="24"/>
        </w:rPr>
      </w:pPr>
    </w:p>
    <w:tbl>
      <w:tblPr>
        <w:tblStyle w:val="28"/>
        <w:tblW w:w="9060"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3352"/>
        <w:gridCol w:w="1485"/>
        <w:gridCol w:w="4223"/>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352" w:type="dxa"/>
            <w:shd w:val="clear" w:color="auto" w:fill="F5F5F5"/>
            <w:vAlign w:val="center"/>
          </w:tcPr>
          <w:p>
            <w:pPr>
              <w:jc w:val="left"/>
              <w:rPr>
                <w:color w:val="auto"/>
              </w:rPr>
            </w:pPr>
            <w:r>
              <w:rPr>
                <w:color w:val="auto"/>
              </w:rPr>
              <w:t>选项</w:t>
            </w:r>
          </w:p>
        </w:tc>
        <w:tc>
          <w:tcPr>
            <w:tcW w:w="1485" w:type="dxa"/>
            <w:shd w:val="clear" w:color="auto" w:fill="F5F5F5"/>
            <w:vAlign w:val="center"/>
          </w:tcPr>
          <w:p>
            <w:pPr>
              <w:jc w:val="center"/>
              <w:rPr>
                <w:color w:val="auto"/>
              </w:rPr>
            </w:pPr>
            <w:r>
              <w:rPr>
                <w:color w:val="auto"/>
              </w:rPr>
              <w:t>小计</w:t>
            </w:r>
          </w:p>
        </w:tc>
        <w:tc>
          <w:tcPr>
            <w:tcW w:w="4223" w:type="dxa"/>
            <w:shd w:val="clear" w:color="auto" w:fill="F5F5F5"/>
            <w:vAlign w:val="center"/>
          </w:tcPr>
          <w:p>
            <w:pPr>
              <w:jc w:val="left"/>
              <w:rPr>
                <w:color w:val="auto"/>
              </w:rPr>
            </w:pPr>
            <w:r>
              <w:rPr>
                <w:color w:val="auto"/>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352" w:type="dxa"/>
            <w:shd w:val="clear" w:color="auto" w:fill="FFFFFF"/>
            <w:vAlign w:val="center"/>
          </w:tcPr>
          <w:p>
            <w:pPr>
              <w:jc w:val="left"/>
              <w:rPr>
                <w:color w:val="auto"/>
              </w:rPr>
            </w:pPr>
            <w:r>
              <w:rPr>
                <w:color w:val="auto"/>
              </w:rPr>
              <w:t>取过土壤样品</w:t>
            </w:r>
          </w:p>
        </w:tc>
        <w:tc>
          <w:tcPr>
            <w:tcW w:w="1485" w:type="dxa"/>
            <w:shd w:val="clear" w:color="auto" w:fill="FFFFFF"/>
            <w:vAlign w:val="center"/>
          </w:tcPr>
          <w:p>
            <w:pPr>
              <w:jc w:val="center"/>
              <w:rPr>
                <w:color w:val="auto"/>
              </w:rPr>
            </w:pPr>
            <w:r>
              <w:rPr>
                <w:color w:val="auto"/>
              </w:rPr>
              <w:t>210</w:t>
            </w:r>
          </w:p>
        </w:tc>
        <w:tc>
          <w:tcPr>
            <w:tcW w:w="4223" w:type="dxa"/>
            <w:shd w:val="clear" w:color="auto" w:fill="FFFFFF"/>
            <w:vAlign w:val="center"/>
          </w:tcPr>
          <w:p>
            <w:pPr>
              <w:jc w:val="left"/>
              <w:rPr>
                <w:color w:val="auto"/>
              </w:rPr>
            </w:pPr>
            <w:r>
              <w:rPr>
                <w:color w:val="auto"/>
              </w:rPr>
              <w:drawing>
                <wp:inline distT="0" distB="0" distL="114300" distR="114300">
                  <wp:extent cx="1266825" cy="114300"/>
                  <wp:effectExtent l="0" t="0" r="9525" b="0"/>
                  <wp:docPr id="2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3"/>
                          <pic:cNvPicPr>
                            <a:picLocks noChangeAspect="1"/>
                          </pic:cNvPicPr>
                        </pic:nvPicPr>
                        <pic:blipFill>
                          <a:blip r:embed="rId10"/>
                          <a:stretch>
                            <a:fillRect/>
                          </a:stretch>
                        </pic:blipFill>
                        <pic:spPr>
                          <a:xfrm>
                            <a:off x="0" y="0"/>
                            <a:ext cx="1266825" cy="114300"/>
                          </a:xfrm>
                          <a:prstGeom prst="rect">
                            <a:avLst/>
                          </a:prstGeom>
                          <a:noFill/>
                          <a:ln>
                            <a:noFill/>
                          </a:ln>
                        </pic:spPr>
                      </pic:pic>
                    </a:graphicData>
                  </a:graphic>
                </wp:inline>
              </w:drawing>
            </w:r>
            <w:r>
              <w:rPr>
                <w:color w:val="auto"/>
              </w:rPr>
              <w:drawing>
                <wp:inline distT="0" distB="0" distL="114300" distR="114300">
                  <wp:extent cx="85725" cy="114300"/>
                  <wp:effectExtent l="0" t="0" r="9525" b="0"/>
                  <wp:docPr id="3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4"/>
                          <pic:cNvPicPr>
                            <a:picLocks noChangeAspect="1"/>
                          </pic:cNvPicPr>
                        </pic:nvPicPr>
                        <pic:blipFill>
                          <a:blip r:embed="rId11"/>
                          <a:stretch>
                            <a:fillRect/>
                          </a:stretch>
                        </pic:blipFill>
                        <pic:spPr>
                          <a:xfrm>
                            <a:off x="0" y="0"/>
                            <a:ext cx="85725" cy="114300"/>
                          </a:xfrm>
                          <a:prstGeom prst="rect">
                            <a:avLst/>
                          </a:prstGeom>
                          <a:noFill/>
                          <a:ln>
                            <a:noFill/>
                          </a:ln>
                        </pic:spPr>
                      </pic:pic>
                    </a:graphicData>
                  </a:graphic>
                </wp:inline>
              </w:drawing>
            </w:r>
            <w:r>
              <w:rPr>
                <w:color w:val="auto"/>
              </w:rPr>
              <w:t>94.17%</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352" w:type="dxa"/>
            <w:shd w:val="clear" w:color="auto" w:fill="FAFAFA"/>
            <w:vAlign w:val="center"/>
          </w:tcPr>
          <w:p>
            <w:pPr>
              <w:jc w:val="left"/>
              <w:rPr>
                <w:color w:val="auto"/>
              </w:rPr>
            </w:pPr>
            <w:r>
              <w:rPr>
                <w:color w:val="auto"/>
              </w:rPr>
              <w:t>没有取过土壤样品</w:t>
            </w:r>
          </w:p>
        </w:tc>
        <w:tc>
          <w:tcPr>
            <w:tcW w:w="1485" w:type="dxa"/>
            <w:shd w:val="clear" w:color="auto" w:fill="FAFAFA"/>
            <w:vAlign w:val="center"/>
          </w:tcPr>
          <w:p>
            <w:pPr>
              <w:jc w:val="center"/>
              <w:rPr>
                <w:color w:val="auto"/>
              </w:rPr>
            </w:pPr>
            <w:r>
              <w:rPr>
                <w:color w:val="auto"/>
              </w:rPr>
              <w:t>13</w:t>
            </w:r>
          </w:p>
        </w:tc>
        <w:tc>
          <w:tcPr>
            <w:tcW w:w="4223" w:type="dxa"/>
            <w:shd w:val="clear" w:color="auto" w:fill="FAFAFA"/>
            <w:vAlign w:val="center"/>
          </w:tcPr>
          <w:p>
            <w:pPr>
              <w:jc w:val="left"/>
              <w:rPr>
                <w:color w:val="auto"/>
              </w:rPr>
            </w:pPr>
            <w:r>
              <w:rPr>
                <w:color w:val="auto"/>
              </w:rPr>
              <w:drawing>
                <wp:inline distT="0" distB="0" distL="114300" distR="114300">
                  <wp:extent cx="76200" cy="114300"/>
                  <wp:effectExtent l="0" t="0" r="0" b="0"/>
                  <wp:docPr id="3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5"/>
                          <pic:cNvPicPr>
                            <a:picLocks noChangeAspect="1"/>
                          </pic:cNvPicPr>
                        </pic:nvPicPr>
                        <pic:blipFill>
                          <a:blip r:embed="rId12"/>
                          <a:stretch>
                            <a:fillRect/>
                          </a:stretch>
                        </pic:blipFill>
                        <pic:spPr>
                          <a:xfrm>
                            <a:off x="0" y="0"/>
                            <a:ext cx="76200" cy="114300"/>
                          </a:xfrm>
                          <a:prstGeom prst="rect">
                            <a:avLst/>
                          </a:prstGeom>
                          <a:noFill/>
                          <a:ln>
                            <a:noFill/>
                          </a:ln>
                        </pic:spPr>
                      </pic:pic>
                    </a:graphicData>
                  </a:graphic>
                </wp:inline>
              </w:drawing>
            </w:r>
            <w:r>
              <w:rPr>
                <w:color w:val="auto"/>
              </w:rPr>
              <w:drawing>
                <wp:inline distT="0" distB="0" distL="114300" distR="114300">
                  <wp:extent cx="1276350" cy="114300"/>
                  <wp:effectExtent l="0" t="0" r="0" b="0"/>
                  <wp:docPr id="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6"/>
                          <pic:cNvPicPr>
                            <a:picLocks noChangeAspect="1"/>
                          </pic:cNvPicPr>
                        </pic:nvPicPr>
                        <pic:blipFill>
                          <a:blip r:embed="rId13"/>
                          <a:stretch>
                            <a:fillRect/>
                          </a:stretch>
                        </pic:blipFill>
                        <pic:spPr>
                          <a:xfrm>
                            <a:off x="0" y="0"/>
                            <a:ext cx="1276350" cy="114300"/>
                          </a:xfrm>
                          <a:prstGeom prst="rect">
                            <a:avLst/>
                          </a:prstGeom>
                          <a:noFill/>
                          <a:ln>
                            <a:noFill/>
                          </a:ln>
                        </pic:spPr>
                      </pic:pic>
                    </a:graphicData>
                  </a:graphic>
                </wp:inline>
              </w:drawing>
            </w:r>
            <w:r>
              <w:rPr>
                <w:color w:val="auto"/>
              </w:rPr>
              <w:t>5.83%</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352" w:type="dxa"/>
            <w:shd w:val="clear" w:color="auto" w:fill="F5F5F5"/>
            <w:vAlign w:val="center"/>
          </w:tcPr>
          <w:p>
            <w:pPr>
              <w:jc w:val="left"/>
              <w:rPr>
                <w:color w:val="auto"/>
              </w:rPr>
            </w:pPr>
            <w:r>
              <w:rPr>
                <w:color w:val="auto"/>
              </w:rPr>
              <w:t>本题有效填写人次</w:t>
            </w:r>
          </w:p>
        </w:tc>
        <w:tc>
          <w:tcPr>
            <w:tcW w:w="1485" w:type="dxa"/>
            <w:shd w:val="clear" w:color="auto" w:fill="F5F5F5"/>
            <w:vAlign w:val="center"/>
          </w:tcPr>
          <w:p>
            <w:pPr>
              <w:jc w:val="center"/>
              <w:rPr>
                <w:color w:val="auto"/>
              </w:rPr>
            </w:pPr>
            <w:r>
              <w:rPr>
                <w:color w:val="auto"/>
              </w:rPr>
              <w:t>223</w:t>
            </w:r>
          </w:p>
        </w:tc>
        <w:tc>
          <w:tcPr>
            <w:tcW w:w="4223" w:type="dxa"/>
            <w:shd w:val="clear" w:color="auto" w:fill="F5F5F5"/>
            <w:vAlign w:val="center"/>
          </w:tcPr>
          <w:p>
            <w:pPr>
              <w:jc w:val="left"/>
              <w:rPr>
                <w:color w:val="auto"/>
              </w:rPr>
            </w:pPr>
          </w:p>
        </w:tc>
      </w:tr>
    </w:tbl>
    <w:p>
      <w:pPr>
        <w:rPr>
          <w:color w:val="auto"/>
        </w:rPr>
      </w:pPr>
    </w:p>
    <w:p>
      <w:pPr>
        <w:rPr>
          <w:color w:val="auto"/>
        </w:rPr>
      </w:pPr>
    </w:p>
    <w:p>
      <w:pPr>
        <w:rPr>
          <w:color w:val="auto"/>
        </w:rPr>
      </w:pPr>
      <w:r>
        <w:rPr>
          <w:b w:val="0"/>
          <w:color w:val="auto"/>
          <w:sz w:val="24"/>
        </w:rPr>
        <w:t>第5题您对项目执行的了解情况：</w:t>
      </w:r>
      <w:r>
        <w:rPr>
          <w:b w:val="0"/>
          <w:color w:val="auto"/>
          <w:sz w:val="24"/>
        </w:rPr>
        <w:t>[单选题]</w:t>
      </w:r>
    </w:p>
    <w:p>
      <w:pPr>
        <w:rPr>
          <w:b w:val="0"/>
          <w:color w:val="auto"/>
          <w:sz w:val="24"/>
        </w:rPr>
      </w:pPr>
    </w:p>
    <w:tbl>
      <w:tblPr>
        <w:tblStyle w:val="28"/>
        <w:tblW w:w="9060"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3352"/>
        <w:gridCol w:w="1485"/>
        <w:gridCol w:w="4223"/>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352" w:type="dxa"/>
            <w:shd w:val="clear" w:color="auto" w:fill="F5F5F5"/>
            <w:vAlign w:val="center"/>
          </w:tcPr>
          <w:p>
            <w:pPr>
              <w:jc w:val="left"/>
              <w:rPr>
                <w:color w:val="auto"/>
              </w:rPr>
            </w:pPr>
            <w:r>
              <w:rPr>
                <w:color w:val="auto"/>
              </w:rPr>
              <w:t>选项</w:t>
            </w:r>
          </w:p>
        </w:tc>
        <w:tc>
          <w:tcPr>
            <w:tcW w:w="1485" w:type="dxa"/>
            <w:shd w:val="clear" w:color="auto" w:fill="F5F5F5"/>
            <w:vAlign w:val="center"/>
          </w:tcPr>
          <w:p>
            <w:pPr>
              <w:jc w:val="center"/>
              <w:rPr>
                <w:color w:val="auto"/>
              </w:rPr>
            </w:pPr>
            <w:r>
              <w:rPr>
                <w:color w:val="auto"/>
              </w:rPr>
              <w:t>小计</w:t>
            </w:r>
          </w:p>
        </w:tc>
        <w:tc>
          <w:tcPr>
            <w:tcW w:w="4223" w:type="dxa"/>
            <w:shd w:val="clear" w:color="auto" w:fill="F5F5F5"/>
            <w:vAlign w:val="center"/>
          </w:tcPr>
          <w:p>
            <w:pPr>
              <w:jc w:val="left"/>
              <w:rPr>
                <w:color w:val="auto"/>
              </w:rPr>
            </w:pPr>
            <w:r>
              <w:rPr>
                <w:color w:val="auto"/>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352" w:type="dxa"/>
            <w:shd w:val="clear" w:color="auto" w:fill="FFFFFF"/>
            <w:vAlign w:val="center"/>
          </w:tcPr>
          <w:p>
            <w:pPr>
              <w:jc w:val="left"/>
              <w:rPr>
                <w:color w:val="auto"/>
              </w:rPr>
            </w:pPr>
            <w:r>
              <w:rPr>
                <w:color w:val="auto"/>
              </w:rPr>
              <w:t>非常了解</w:t>
            </w:r>
          </w:p>
        </w:tc>
        <w:tc>
          <w:tcPr>
            <w:tcW w:w="1485" w:type="dxa"/>
            <w:shd w:val="clear" w:color="auto" w:fill="FFFFFF"/>
            <w:vAlign w:val="center"/>
          </w:tcPr>
          <w:p>
            <w:pPr>
              <w:jc w:val="center"/>
              <w:rPr>
                <w:color w:val="auto"/>
              </w:rPr>
            </w:pPr>
            <w:r>
              <w:rPr>
                <w:color w:val="auto"/>
              </w:rPr>
              <w:t>206</w:t>
            </w:r>
          </w:p>
        </w:tc>
        <w:tc>
          <w:tcPr>
            <w:tcW w:w="4223" w:type="dxa"/>
            <w:shd w:val="clear" w:color="auto" w:fill="FFFFFF"/>
            <w:vAlign w:val="center"/>
          </w:tcPr>
          <w:p>
            <w:pPr>
              <w:jc w:val="left"/>
              <w:rPr>
                <w:color w:val="auto"/>
              </w:rPr>
            </w:pPr>
            <w:r>
              <w:rPr>
                <w:color w:val="auto"/>
              </w:rPr>
              <w:drawing>
                <wp:inline distT="0" distB="0" distL="114300" distR="114300">
                  <wp:extent cx="1247775" cy="114300"/>
                  <wp:effectExtent l="0" t="0" r="9525" b="0"/>
                  <wp:docPr id="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7"/>
                          <pic:cNvPicPr>
                            <a:picLocks noChangeAspect="1"/>
                          </pic:cNvPicPr>
                        </pic:nvPicPr>
                        <pic:blipFill>
                          <a:blip r:embed="rId18"/>
                          <a:stretch>
                            <a:fillRect/>
                          </a:stretch>
                        </pic:blipFill>
                        <pic:spPr>
                          <a:xfrm>
                            <a:off x="0" y="0"/>
                            <a:ext cx="1247775" cy="114300"/>
                          </a:xfrm>
                          <a:prstGeom prst="rect">
                            <a:avLst/>
                          </a:prstGeom>
                          <a:noFill/>
                          <a:ln>
                            <a:noFill/>
                          </a:ln>
                        </pic:spPr>
                      </pic:pic>
                    </a:graphicData>
                  </a:graphic>
                </wp:inline>
              </w:drawing>
            </w:r>
            <w:r>
              <w:rPr>
                <w:color w:val="auto"/>
              </w:rPr>
              <w:drawing>
                <wp:inline distT="0" distB="0" distL="114300" distR="114300">
                  <wp:extent cx="104775" cy="114300"/>
                  <wp:effectExtent l="0" t="0" r="9525" b="0"/>
                  <wp:docPr id="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8"/>
                          <pic:cNvPicPr>
                            <a:picLocks noChangeAspect="1"/>
                          </pic:cNvPicPr>
                        </pic:nvPicPr>
                        <pic:blipFill>
                          <a:blip r:embed="rId19"/>
                          <a:stretch>
                            <a:fillRect/>
                          </a:stretch>
                        </pic:blipFill>
                        <pic:spPr>
                          <a:xfrm>
                            <a:off x="0" y="0"/>
                            <a:ext cx="104775" cy="114300"/>
                          </a:xfrm>
                          <a:prstGeom prst="rect">
                            <a:avLst/>
                          </a:prstGeom>
                          <a:noFill/>
                          <a:ln>
                            <a:noFill/>
                          </a:ln>
                        </pic:spPr>
                      </pic:pic>
                    </a:graphicData>
                  </a:graphic>
                </wp:inline>
              </w:drawing>
            </w:r>
            <w:r>
              <w:rPr>
                <w:color w:val="auto"/>
              </w:rPr>
              <w:t>92.38%</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352" w:type="dxa"/>
            <w:shd w:val="clear" w:color="auto" w:fill="FAFAFA"/>
            <w:vAlign w:val="center"/>
          </w:tcPr>
          <w:p>
            <w:pPr>
              <w:jc w:val="left"/>
              <w:rPr>
                <w:color w:val="auto"/>
              </w:rPr>
            </w:pPr>
            <w:r>
              <w:rPr>
                <w:color w:val="auto"/>
              </w:rPr>
              <w:t>了解</w:t>
            </w:r>
          </w:p>
        </w:tc>
        <w:tc>
          <w:tcPr>
            <w:tcW w:w="1485" w:type="dxa"/>
            <w:shd w:val="clear" w:color="auto" w:fill="FAFAFA"/>
            <w:vAlign w:val="center"/>
          </w:tcPr>
          <w:p>
            <w:pPr>
              <w:jc w:val="center"/>
              <w:rPr>
                <w:color w:val="auto"/>
              </w:rPr>
            </w:pPr>
            <w:r>
              <w:rPr>
                <w:color w:val="auto"/>
              </w:rPr>
              <w:t>15</w:t>
            </w:r>
          </w:p>
        </w:tc>
        <w:tc>
          <w:tcPr>
            <w:tcW w:w="4223" w:type="dxa"/>
            <w:shd w:val="clear" w:color="auto" w:fill="FAFAFA"/>
            <w:vAlign w:val="center"/>
          </w:tcPr>
          <w:p>
            <w:pPr>
              <w:jc w:val="left"/>
              <w:rPr>
                <w:color w:val="auto"/>
              </w:rPr>
            </w:pPr>
            <w:r>
              <w:rPr>
                <w:color w:val="auto"/>
              </w:rPr>
              <w:drawing>
                <wp:inline distT="0" distB="0" distL="114300" distR="114300">
                  <wp:extent cx="85725" cy="114300"/>
                  <wp:effectExtent l="0" t="0" r="9525" b="0"/>
                  <wp:docPr id="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9"/>
                          <pic:cNvPicPr>
                            <a:picLocks noChangeAspect="1"/>
                          </pic:cNvPicPr>
                        </pic:nvPicPr>
                        <pic:blipFill>
                          <a:blip r:embed="rId20"/>
                          <a:stretch>
                            <a:fillRect/>
                          </a:stretch>
                        </pic:blipFill>
                        <pic:spPr>
                          <a:xfrm>
                            <a:off x="0" y="0"/>
                            <a:ext cx="85725" cy="114300"/>
                          </a:xfrm>
                          <a:prstGeom prst="rect">
                            <a:avLst/>
                          </a:prstGeom>
                          <a:noFill/>
                          <a:ln>
                            <a:noFill/>
                          </a:ln>
                        </pic:spPr>
                      </pic:pic>
                    </a:graphicData>
                  </a:graphic>
                </wp:inline>
              </w:drawing>
            </w:r>
            <w:r>
              <w:rPr>
                <w:color w:val="auto"/>
              </w:rPr>
              <w:drawing>
                <wp:inline distT="0" distB="0" distL="114300" distR="114300">
                  <wp:extent cx="1266825" cy="114300"/>
                  <wp:effectExtent l="0" t="0" r="9525" b="0"/>
                  <wp:docPr id="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0"/>
                          <pic:cNvPicPr>
                            <a:picLocks noChangeAspect="1"/>
                          </pic:cNvPicPr>
                        </pic:nvPicPr>
                        <pic:blipFill>
                          <a:blip r:embed="rId21"/>
                          <a:stretch>
                            <a:fillRect/>
                          </a:stretch>
                        </pic:blipFill>
                        <pic:spPr>
                          <a:xfrm>
                            <a:off x="0" y="0"/>
                            <a:ext cx="1266825" cy="114300"/>
                          </a:xfrm>
                          <a:prstGeom prst="rect">
                            <a:avLst/>
                          </a:prstGeom>
                          <a:noFill/>
                          <a:ln>
                            <a:noFill/>
                          </a:ln>
                        </pic:spPr>
                      </pic:pic>
                    </a:graphicData>
                  </a:graphic>
                </wp:inline>
              </w:drawing>
            </w:r>
            <w:r>
              <w:rPr>
                <w:color w:val="auto"/>
              </w:rPr>
              <w:t>6.73%</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352" w:type="dxa"/>
            <w:shd w:val="clear" w:color="auto" w:fill="FFFFFF"/>
            <w:vAlign w:val="center"/>
          </w:tcPr>
          <w:p>
            <w:pPr>
              <w:jc w:val="left"/>
              <w:rPr>
                <w:color w:val="auto"/>
              </w:rPr>
            </w:pPr>
            <w:r>
              <w:rPr>
                <w:color w:val="auto"/>
              </w:rPr>
              <w:t>不了解</w:t>
            </w:r>
          </w:p>
        </w:tc>
        <w:tc>
          <w:tcPr>
            <w:tcW w:w="1485" w:type="dxa"/>
            <w:shd w:val="clear" w:color="auto" w:fill="FFFFFF"/>
            <w:vAlign w:val="center"/>
          </w:tcPr>
          <w:p>
            <w:pPr>
              <w:jc w:val="center"/>
              <w:rPr>
                <w:color w:val="auto"/>
              </w:rPr>
            </w:pPr>
            <w:r>
              <w:rPr>
                <w:color w:val="auto"/>
              </w:rPr>
              <w:t>2</w:t>
            </w:r>
          </w:p>
        </w:tc>
        <w:tc>
          <w:tcPr>
            <w:tcW w:w="4223" w:type="dxa"/>
            <w:shd w:val="clear" w:color="auto" w:fill="FFFFFF"/>
            <w:vAlign w:val="center"/>
          </w:tcPr>
          <w:p>
            <w:pPr>
              <w:jc w:val="left"/>
              <w:rPr>
                <w:color w:val="auto"/>
              </w:rPr>
            </w:pPr>
            <w:r>
              <w:rPr>
                <w:color w:val="auto"/>
              </w:rPr>
              <w:drawing>
                <wp:inline distT="0" distB="0" distL="114300" distR="114300">
                  <wp:extent cx="9525" cy="114300"/>
                  <wp:effectExtent l="0" t="0" r="9525" b="0"/>
                  <wp:docPr id="9"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1"/>
                          <pic:cNvPicPr>
                            <a:picLocks noChangeAspect="1"/>
                          </pic:cNvPicPr>
                        </pic:nvPicPr>
                        <pic:blipFill>
                          <a:blip r:embed="rId22"/>
                          <a:stretch>
                            <a:fillRect/>
                          </a:stretch>
                        </pic:blipFill>
                        <pic:spPr>
                          <a:xfrm>
                            <a:off x="0" y="0"/>
                            <a:ext cx="9525" cy="114300"/>
                          </a:xfrm>
                          <a:prstGeom prst="rect">
                            <a:avLst/>
                          </a:prstGeom>
                          <a:noFill/>
                          <a:ln>
                            <a:noFill/>
                          </a:ln>
                        </pic:spPr>
                      </pic:pic>
                    </a:graphicData>
                  </a:graphic>
                </wp:inline>
              </w:drawing>
            </w:r>
            <w:r>
              <w:rPr>
                <w:color w:val="auto"/>
              </w:rPr>
              <w:drawing>
                <wp:inline distT="0" distB="0" distL="114300" distR="114300">
                  <wp:extent cx="1343025" cy="114300"/>
                  <wp:effectExtent l="0" t="0" r="9525" b="0"/>
                  <wp:docPr id="10"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2"/>
                          <pic:cNvPicPr>
                            <a:picLocks noChangeAspect="1"/>
                          </pic:cNvPicPr>
                        </pic:nvPicPr>
                        <pic:blipFill>
                          <a:blip r:embed="rId23"/>
                          <a:stretch>
                            <a:fillRect/>
                          </a:stretch>
                        </pic:blipFill>
                        <pic:spPr>
                          <a:xfrm>
                            <a:off x="0" y="0"/>
                            <a:ext cx="1343025" cy="114300"/>
                          </a:xfrm>
                          <a:prstGeom prst="rect">
                            <a:avLst/>
                          </a:prstGeom>
                          <a:noFill/>
                          <a:ln>
                            <a:noFill/>
                          </a:ln>
                        </pic:spPr>
                      </pic:pic>
                    </a:graphicData>
                  </a:graphic>
                </wp:inline>
              </w:drawing>
            </w:r>
            <w:r>
              <w:rPr>
                <w:color w:val="auto"/>
              </w:rPr>
              <w:t>0.9%</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352" w:type="dxa"/>
            <w:shd w:val="clear" w:color="auto" w:fill="F5F5F5"/>
            <w:vAlign w:val="center"/>
          </w:tcPr>
          <w:p>
            <w:pPr>
              <w:jc w:val="left"/>
              <w:rPr>
                <w:color w:val="auto"/>
              </w:rPr>
            </w:pPr>
            <w:r>
              <w:rPr>
                <w:color w:val="auto"/>
              </w:rPr>
              <w:t>本题有效填写人次</w:t>
            </w:r>
          </w:p>
        </w:tc>
        <w:tc>
          <w:tcPr>
            <w:tcW w:w="1485" w:type="dxa"/>
            <w:shd w:val="clear" w:color="auto" w:fill="F5F5F5"/>
            <w:vAlign w:val="center"/>
          </w:tcPr>
          <w:p>
            <w:pPr>
              <w:jc w:val="center"/>
              <w:rPr>
                <w:color w:val="auto"/>
              </w:rPr>
            </w:pPr>
            <w:r>
              <w:rPr>
                <w:color w:val="auto"/>
              </w:rPr>
              <w:t>223</w:t>
            </w:r>
          </w:p>
        </w:tc>
        <w:tc>
          <w:tcPr>
            <w:tcW w:w="4223" w:type="dxa"/>
            <w:shd w:val="clear" w:color="auto" w:fill="F5F5F5"/>
            <w:vAlign w:val="center"/>
          </w:tcPr>
          <w:p>
            <w:pPr>
              <w:jc w:val="left"/>
              <w:rPr>
                <w:color w:val="auto"/>
              </w:rPr>
            </w:pPr>
          </w:p>
        </w:tc>
      </w:tr>
    </w:tbl>
    <w:p>
      <w:pPr>
        <w:rPr>
          <w:color w:val="auto"/>
        </w:rPr>
      </w:pPr>
    </w:p>
    <w:p>
      <w:pPr>
        <w:rPr>
          <w:color w:val="auto"/>
        </w:rPr>
      </w:pPr>
    </w:p>
    <w:p>
      <w:pPr>
        <w:rPr>
          <w:color w:val="auto"/>
        </w:rPr>
      </w:pPr>
      <w:r>
        <w:rPr>
          <w:b w:val="0"/>
          <w:color w:val="auto"/>
          <w:sz w:val="24"/>
        </w:rPr>
        <w:t>第6题您对项目执行情况的评价：</w:t>
      </w:r>
      <w:r>
        <w:rPr>
          <w:b w:val="0"/>
          <w:color w:val="auto"/>
          <w:sz w:val="24"/>
        </w:rPr>
        <w:t>[单选题]</w:t>
      </w:r>
    </w:p>
    <w:p>
      <w:pPr>
        <w:rPr>
          <w:b w:val="0"/>
          <w:color w:val="auto"/>
          <w:sz w:val="24"/>
        </w:rPr>
      </w:pPr>
    </w:p>
    <w:tbl>
      <w:tblPr>
        <w:tblStyle w:val="28"/>
        <w:tblW w:w="9060"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3364"/>
        <w:gridCol w:w="1490"/>
        <w:gridCol w:w="4206"/>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364" w:type="dxa"/>
            <w:shd w:val="clear" w:color="auto" w:fill="F5F5F5"/>
            <w:vAlign w:val="center"/>
          </w:tcPr>
          <w:p>
            <w:pPr>
              <w:jc w:val="left"/>
              <w:rPr>
                <w:color w:val="auto"/>
              </w:rPr>
            </w:pPr>
            <w:r>
              <w:rPr>
                <w:color w:val="auto"/>
              </w:rPr>
              <w:t>选项</w:t>
            </w:r>
          </w:p>
        </w:tc>
        <w:tc>
          <w:tcPr>
            <w:tcW w:w="1490" w:type="dxa"/>
            <w:shd w:val="clear" w:color="auto" w:fill="F5F5F5"/>
            <w:vAlign w:val="center"/>
          </w:tcPr>
          <w:p>
            <w:pPr>
              <w:jc w:val="center"/>
              <w:rPr>
                <w:color w:val="auto"/>
              </w:rPr>
            </w:pPr>
            <w:r>
              <w:rPr>
                <w:color w:val="auto"/>
              </w:rPr>
              <w:t>小计</w:t>
            </w:r>
          </w:p>
        </w:tc>
        <w:tc>
          <w:tcPr>
            <w:tcW w:w="4206" w:type="dxa"/>
            <w:shd w:val="clear" w:color="auto" w:fill="F5F5F5"/>
            <w:vAlign w:val="center"/>
          </w:tcPr>
          <w:p>
            <w:pPr>
              <w:jc w:val="left"/>
              <w:rPr>
                <w:color w:val="auto"/>
              </w:rPr>
            </w:pPr>
            <w:r>
              <w:rPr>
                <w:color w:val="auto"/>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364" w:type="dxa"/>
            <w:shd w:val="clear" w:color="auto" w:fill="FFFFFF"/>
            <w:vAlign w:val="center"/>
          </w:tcPr>
          <w:p>
            <w:pPr>
              <w:jc w:val="left"/>
              <w:rPr>
                <w:color w:val="auto"/>
              </w:rPr>
            </w:pPr>
            <w:r>
              <w:rPr>
                <w:color w:val="auto"/>
              </w:rPr>
              <w:t>很满意</w:t>
            </w:r>
          </w:p>
        </w:tc>
        <w:tc>
          <w:tcPr>
            <w:tcW w:w="1490" w:type="dxa"/>
            <w:shd w:val="clear" w:color="auto" w:fill="FFFFFF"/>
            <w:vAlign w:val="center"/>
          </w:tcPr>
          <w:p>
            <w:pPr>
              <w:jc w:val="center"/>
              <w:rPr>
                <w:color w:val="auto"/>
              </w:rPr>
            </w:pPr>
            <w:r>
              <w:rPr>
                <w:color w:val="auto"/>
              </w:rPr>
              <w:t>202</w:t>
            </w:r>
          </w:p>
        </w:tc>
        <w:tc>
          <w:tcPr>
            <w:tcW w:w="4206" w:type="dxa"/>
            <w:shd w:val="clear" w:color="auto" w:fill="FFFFFF"/>
            <w:vAlign w:val="center"/>
          </w:tcPr>
          <w:p>
            <w:pPr>
              <w:jc w:val="left"/>
              <w:rPr>
                <w:color w:val="auto"/>
              </w:rPr>
            </w:pPr>
            <w:r>
              <w:rPr>
                <w:color w:val="auto"/>
              </w:rPr>
              <w:drawing>
                <wp:inline distT="0" distB="0" distL="114300" distR="114300">
                  <wp:extent cx="1219200" cy="114300"/>
                  <wp:effectExtent l="0" t="0" r="0" b="0"/>
                  <wp:docPr id="1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3"/>
                          <pic:cNvPicPr>
                            <a:picLocks noChangeAspect="1"/>
                          </pic:cNvPicPr>
                        </pic:nvPicPr>
                        <pic:blipFill>
                          <a:blip r:embed="rId24"/>
                          <a:stretch>
                            <a:fillRect/>
                          </a:stretch>
                        </pic:blipFill>
                        <pic:spPr>
                          <a:xfrm>
                            <a:off x="0" y="0"/>
                            <a:ext cx="1219200" cy="114300"/>
                          </a:xfrm>
                          <a:prstGeom prst="rect">
                            <a:avLst/>
                          </a:prstGeom>
                          <a:noFill/>
                          <a:ln>
                            <a:noFill/>
                          </a:ln>
                        </pic:spPr>
                      </pic:pic>
                    </a:graphicData>
                  </a:graphic>
                </wp:inline>
              </w:drawing>
            </w:r>
            <w:r>
              <w:rPr>
                <w:color w:val="auto"/>
              </w:rPr>
              <w:drawing>
                <wp:inline distT="0" distB="0" distL="114300" distR="114300">
                  <wp:extent cx="133350" cy="114300"/>
                  <wp:effectExtent l="0" t="0" r="0" b="0"/>
                  <wp:docPr id="1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4"/>
                          <pic:cNvPicPr>
                            <a:picLocks noChangeAspect="1"/>
                          </pic:cNvPicPr>
                        </pic:nvPicPr>
                        <pic:blipFill>
                          <a:blip r:embed="rId25"/>
                          <a:stretch>
                            <a:fillRect/>
                          </a:stretch>
                        </pic:blipFill>
                        <pic:spPr>
                          <a:xfrm>
                            <a:off x="0" y="0"/>
                            <a:ext cx="133350" cy="114300"/>
                          </a:xfrm>
                          <a:prstGeom prst="rect">
                            <a:avLst/>
                          </a:prstGeom>
                          <a:noFill/>
                          <a:ln>
                            <a:noFill/>
                          </a:ln>
                        </pic:spPr>
                      </pic:pic>
                    </a:graphicData>
                  </a:graphic>
                </wp:inline>
              </w:drawing>
            </w:r>
            <w:r>
              <w:rPr>
                <w:color w:val="auto"/>
              </w:rPr>
              <w:t>90.58%</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364" w:type="dxa"/>
            <w:shd w:val="clear" w:color="auto" w:fill="FAFAFA"/>
            <w:vAlign w:val="center"/>
          </w:tcPr>
          <w:p>
            <w:pPr>
              <w:jc w:val="left"/>
              <w:rPr>
                <w:color w:val="auto"/>
              </w:rPr>
            </w:pPr>
            <w:r>
              <w:rPr>
                <w:color w:val="auto"/>
              </w:rPr>
              <w:t>满意</w:t>
            </w:r>
          </w:p>
        </w:tc>
        <w:tc>
          <w:tcPr>
            <w:tcW w:w="1490" w:type="dxa"/>
            <w:shd w:val="clear" w:color="auto" w:fill="FAFAFA"/>
            <w:vAlign w:val="center"/>
          </w:tcPr>
          <w:p>
            <w:pPr>
              <w:jc w:val="center"/>
              <w:rPr>
                <w:color w:val="auto"/>
              </w:rPr>
            </w:pPr>
            <w:r>
              <w:rPr>
                <w:color w:val="auto"/>
              </w:rPr>
              <w:t>16</w:t>
            </w:r>
          </w:p>
        </w:tc>
        <w:tc>
          <w:tcPr>
            <w:tcW w:w="4206" w:type="dxa"/>
            <w:shd w:val="clear" w:color="auto" w:fill="FAFAFA"/>
            <w:vAlign w:val="center"/>
          </w:tcPr>
          <w:p>
            <w:pPr>
              <w:jc w:val="left"/>
              <w:rPr>
                <w:color w:val="auto"/>
              </w:rPr>
            </w:pPr>
            <w:r>
              <w:rPr>
                <w:color w:val="auto"/>
              </w:rPr>
              <w:drawing>
                <wp:inline distT="0" distB="0" distL="114300" distR="114300">
                  <wp:extent cx="95250" cy="114300"/>
                  <wp:effectExtent l="0" t="0" r="0" b="0"/>
                  <wp:docPr id="1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5"/>
                          <pic:cNvPicPr>
                            <a:picLocks noChangeAspect="1"/>
                          </pic:cNvPicPr>
                        </pic:nvPicPr>
                        <pic:blipFill>
                          <a:blip r:embed="rId26"/>
                          <a:stretch>
                            <a:fillRect/>
                          </a:stretch>
                        </pic:blipFill>
                        <pic:spPr>
                          <a:xfrm>
                            <a:off x="0" y="0"/>
                            <a:ext cx="95250" cy="114300"/>
                          </a:xfrm>
                          <a:prstGeom prst="rect">
                            <a:avLst/>
                          </a:prstGeom>
                          <a:noFill/>
                          <a:ln>
                            <a:noFill/>
                          </a:ln>
                        </pic:spPr>
                      </pic:pic>
                    </a:graphicData>
                  </a:graphic>
                </wp:inline>
              </w:drawing>
            </w:r>
            <w:r>
              <w:rPr>
                <w:color w:val="auto"/>
              </w:rPr>
              <w:drawing>
                <wp:inline distT="0" distB="0" distL="114300" distR="114300">
                  <wp:extent cx="1257300" cy="114300"/>
                  <wp:effectExtent l="0" t="0" r="0" b="0"/>
                  <wp:docPr id="14"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6"/>
                          <pic:cNvPicPr>
                            <a:picLocks noChangeAspect="1"/>
                          </pic:cNvPicPr>
                        </pic:nvPicPr>
                        <pic:blipFill>
                          <a:blip r:embed="rId27"/>
                          <a:stretch>
                            <a:fillRect/>
                          </a:stretch>
                        </pic:blipFill>
                        <pic:spPr>
                          <a:xfrm>
                            <a:off x="0" y="0"/>
                            <a:ext cx="1257300" cy="114300"/>
                          </a:xfrm>
                          <a:prstGeom prst="rect">
                            <a:avLst/>
                          </a:prstGeom>
                          <a:noFill/>
                          <a:ln>
                            <a:noFill/>
                          </a:ln>
                        </pic:spPr>
                      </pic:pic>
                    </a:graphicData>
                  </a:graphic>
                </wp:inline>
              </w:drawing>
            </w:r>
            <w:r>
              <w:rPr>
                <w:color w:val="auto"/>
              </w:rPr>
              <w:t>7.17%</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364" w:type="dxa"/>
            <w:shd w:val="clear" w:color="auto" w:fill="FFFFFF"/>
            <w:vAlign w:val="center"/>
          </w:tcPr>
          <w:p>
            <w:pPr>
              <w:jc w:val="left"/>
              <w:rPr>
                <w:color w:val="auto"/>
              </w:rPr>
            </w:pPr>
            <w:r>
              <w:rPr>
                <w:color w:val="auto"/>
              </w:rPr>
              <w:t>一般</w:t>
            </w:r>
          </w:p>
        </w:tc>
        <w:tc>
          <w:tcPr>
            <w:tcW w:w="1490" w:type="dxa"/>
            <w:shd w:val="clear" w:color="auto" w:fill="FFFFFF"/>
            <w:vAlign w:val="center"/>
          </w:tcPr>
          <w:p>
            <w:pPr>
              <w:jc w:val="center"/>
              <w:rPr>
                <w:color w:val="auto"/>
              </w:rPr>
            </w:pPr>
            <w:r>
              <w:rPr>
                <w:color w:val="auto"/>
              </w:rPr>
              <w:t>3</w:t>
            </w:r>
          </w:p>
        </w:tc>
        <w:tc>
          <w:tcPr>
            <w:tcW w:w="4206" w:type="dxa"/>
            <w:shd w:val="clear" w:color="auto" w:fill="FFFFFF"/>
            <w:vAlign w:val="center"/>
          </w:tcPr>
          <w:p>
            <w:pPr>
              <w:jc w:val="left"/>
              <w:rPr>
                <w:color w:val="auto"/>
              </w:rPr>
            </w:pPr>
            <w:r>
              <w:rPr>
                <w:color w:val="auto"/>
              </w:rPr>
              <w:drawing>
                <wp:inline distT="0" distB="0" distL="114300" distR="114300">
                  <wp:extent cx="9525" cy="114300"/>
                  <wp:effectExtent l="0" t="0" r="9525" b="0"/>
                  <wp:docPr id="15"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7"/>
                          <pic:cNvPicPr>
                            <a:picLocks noChangeAspect="1"/>
                          </pic:cNvPicPr>
                        </pic:nvPicPr>
                        <pic:blipFill>
                          <a:blip r:embed="rId22"/>
                          <a:stretch>
                            <a:fillRect/>
                          </a:stretch>
                        </pic:blipFill>
                        <pic:spPr>
                          <a:xfrm>
                            <a:off x="0" y="0"/>
                            <a:ext cx="9525" cy="114300"/>
                          </a:xfrm>
                          <a:prstGeom prst="rect">
                            <a:avLst/>
                          </a:prstGeom>
                          <a:noFill/>
                          <a:ln>
                            <a:noFill/>
                          </a:ln>
                        </pic:spPr>
                      </pic:pic>
                    </a:graphicData>
                  </a:graphic>
                </wp:inline>
              </w:drawing>
            </w:r>
            <w:r>
              <w:rPr>
                <w:color w:val="auto"/>
              </w:rPr>
              <w:drawing>
                <wp:inline distT="0" distB="0" distL="114300" distR="114300">
                  <wp:extent cx="1343025" cy="114300"/>
                  <wp:effectExtent l="0" t="0" r="9525" b="0"/>
                  <wp:docPr id="16"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8"/>
                          <pic:cNvPicPr>
                            <a:picLocks noChangeAspect="1"/>
                          </pic:cNvPicPr>
                        </pic:nvPicPr>
                        <pic:blipFill>
                          <a:blip r:embed="rId23"/>
                          <a:stretch>
                            <a:fillRect/>
                          </a:stretch>
                        </pic:blipFill>
                        <pic:spPr>
                          <a:xfrm>
                            <a:off x="0" y="0"/>
                            <a:ext cx="1343025" cy="114300"/>
                          </a:xfrm>
                          <a:prstGeom prst="rect">
                            <a:avLst/>
                          </a:prstGeom>
                          <a:noFill/>
                          <a:ln>
                            <a:noFill/>
                          </a:ln>
                        </pic:spPr>
                      </pic:pic>
                    </a:graphicData>
                  </a:graphic>
                </wp:inline>
              </w:drawing>
            </w:r>
            <w:r>
              <w:rPr>
                <w:color w:val="auto"/>
              </w:rPr>
              <w:t>1.35%</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364" w:type="dxa"/>
            <w:shd w:val="clear" w:color="auto" w:fill="FAFAFA"/>
            <w:vAlign w:val="center"/>
          </w:tcPr>
          <w:p>
            <w:pPr>
              <w:jc w:val="left"/>
              <w:rPr>
                <w:color w:val="auto"/>
              </w:rPr>
            </w:pPr>
            <w:r>
              <w:rPr>
                <w:color w:val="auto"/>
              </w:rPr>
              <w:t>不满意</w:t>
            </w:r>
          </w:p>
        </w:tc>
        <w:tc>
          <w:tcPr>
            <w:tcW w:w="1490" w:type="dxa"/>
            <w:shd w:val="clear" w:color="auto" w:fill="FAFAFA"/>
            <w:vAlign w:val="center"/>
          </w:tcPr>
          <w:p>
            <w:pPr>
              <w:jc w:val="center"/>
              <w:rPr>
                <w:color w:val="auto"/>
              </w:rPr>
            </w:pPr>
            <w:r>
              <w:rPr>
                <w:color w:val="auto"/>
              </w:rPr>
              <w:t>2</w:t>
            </w:r>
          </w:p>
        </w:tc>
        <w:tc>
          <w:tcPr>
            <w:tcW w:w="4206" w:type="dxa"/>
            <w:shd w:val="clear" w:color="auto" w:fill="FAFAFA"/>
            <w:vAlign w:val="center"/>
          </w:tcPr>
          <w:p>
            <w:pPr>
              <w:jc w:val="left"/>
              <w:rPr>
                <w:color w:val="auto"/>
              </w:rPr>
            </w:pPr>
            <w:r>
              <w:rPr>
                <w:color w:val="auto"/>
              </w:rPr>
              <w:drawing>
                <wp:inline distT="0" distB="0" distL="114300" distR="114300">
                  <wp:extent cx="9525" cy="114300"/>
                  <wp:effectExtent l="0" t="0" r="9525" b="0"/>
                  <wp:docPr id="17"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9"/>
                          <pic:cNvPicPr>
                            <a:picLocks noChangeAspect="1"/>
                          </pic:cNvPicPr>
                        </pic:nvPicPr>
                        <pic:blipFill>
                          <a:blip r:embed="rId22"/>
                          <a:stretch>
                            <a:fillRect/>
                          </a:stretch>
                        </pic:blipFill>
                        <pic:spPr>
                          <a:xfrm>
                            <a:off x="0" y="0"/>
                            <a:ext cx="9525" cy="114300"/>
                          </a:xfrm>
                          <a:prstGeom prst="rect">
                            <a:avLst/>
                          </a:prstGeom>
                          <a:noFill/>
                          <a:ln>
                            <a:noFill/>
                          </a:ln>
                        </pic:spPr>
                      </pic:pic>
                    </a:graphicData>
                  </a:graphic>
                </wp:inline>
              </w:drawing>
            </w:r>
            <w:r>
              <w:rPr>
                <w:color w:val="auto"/>
              </w:rPr>
              <w:drawing>
                <wp:inline distT="0" distB="0" distL="114300" distR="114300">
                  <wp:extent cx="1343025" cy="114300"/>
                  <wp:effectExtent l="0" t="0" r="9525" b="0"/>
                  <wp:docPr id="18"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0"/>
                          <pic:cNvPicPr>
                            <a:picLocks noChangeAspect="1"/>
                          </pic:cNvPicPr>
                        </pic:nvPicPr>
                        <pic:blipFill>
                          <a:blip r:embed="rId23"/>
                          <a:stretch>
                            <a:fillRect/>
                          </a:stretch>
                        </pic:blipFill>
                        <pic:spPr>
                          <a:xfrm>
                            <a:off x="0" y="0"/>
                            <a:ext cx="1343025" cy="114300"/>
                          </a:xfrm>
                          <a:prstGeom prst="rect">
                            <a:avLst/>
                          </a:prstGeom>
                          <a:noFill/>
                          <a:ln>
                            <a:noFill/>
                          </a:ln>
                        </pic:spPr>
                      </pic:pic>
                    </a:graphicData>
                  </a:graphic>
                </wp:inline>
              </w:drawing>
            </w:r>
            <w:r>
              <w:rPr>
                <w:color w:val="auto"/>
              </w:rPr>
              <w:t>0.9%</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364" w:type="dxa"/>
            <w:shd w:val="clear" w:color="auto" w:fill="F5F5F5"/>
            <w:vAlign w:val="center"/>
          </w:tcPr>
          <w:p>
            <w:pPr>
              <w:jc w:val="left"/>
              <w:rPr>
                <w:color w:val="auto"/>
              </w:rPr>
            </w:pPr>
            <w:r>
              <w:rPr>
                <w:color w:val="auto"/>
              </w:rPr>
              <w:t>本题有效填写人次</w:t>
            </w:r>
          </w:p>
        </w:tc>
        <w:tc>
          <w:tcPr>
            <w:tcW w:w="1490" w:type="dxa"/>
            <w:shd w:val="clear" w:color="auto" w:fill="F5F5F5"/>
            <w:vAlign w:val="center"/>
          </w:tcPr>
          <w:p>
            <w:pPr>
              <w:jc w:val="center"/>
              <w:rPr>
                <w:color w:val="auto"/>
              </w:rPr>
            </w:pPr>
            <w:r>
              <w:rPr>
                <w:color w:val="auto"/>
              </w:rPr>
              <w:t>223</w:t>
            </w:r>
          </w:p>
        </w:tc>
        <w:tc>
          <w:tcPr>
            <w:tcW w:w="4206" w:type="dxa"/>
            <w:shd w:val="clear" w:color="auto" w:fill="F5F5F5"/>
            <w:vAlign w:val="center"/>
          </w:tcPr>
          <w:p>
            <w:pPr>
              <w:jc w:val="left"/>
              <w:rPr>
                <w:color w:val="auto"/>
              </w:rPr>
            </w:pPr>
          </w:p>
        </w:tc>
      </w:tr>
    </w:tbl>
    <w:p>
      <w:pPr>
        <w:rPr>
          <w:color w:val="auto"/>
        </w:rPr>
      </w:pPr>
    </w:p>
    <w:p>
      <w:pPr>
        <w:rPr>
          <w:color w:val="auto"/>
        </w:rPr>
      </w:pPr>
    </w:p>
    <w:p>
      <w:pPr>
        <w:rPr>
          <w:color w:val="auto"/>
        </w:rPr>
      </w:pPr>
      <w:r>
        <w:rPr>
          <w:b w:val="0"/>
          <w:color w:val="auto"/>
          <w:sz w:val="24"/>
        </w:rPr>
        <w:t>第7题您对本项目会议什么意见或者建议</w:t>
      </w:r>
      <w:r>
        <w:rPr>
          <w:b w:val="0"/>
          <w:color w:val="auto"/>
          <w:sz w:val="24"/>
        </w:rPr>
        <w:t>[填空题]</w:t>
      </w:r>
    </w:p>
    <w:p>
      <w:pPr>
        <w:keepLines w:val="0"/>
        <w:jc w:val="left"/>
        <w:rPr>
          <w:b w:val="0"/>
          <w:color w:val="auto"/>
          <w:sz w:val="24"/>
        </w:rPr>
      </w:pPr>
      <w:r>
        <w:rPr>
          <w:b w:val="0"/>
          <w:color w:val="auto"/>
          <w:sz w:val="24"/>
        </w:rPr>
        <w:t>填空题数据请通过下载详细数据获取</w:t>
      </w:r>
    </w:p>
    <w:p>
      <w:pPr>
        <w:rPr>
          <w:b w:val="0"/>
          <w:color w:val="auto"/>
          <w:sz w:val="24"/>
        </w:rPr>
      </w:pPr>
    </w:p>
    <w:p>
      <w:pPr>
        <w:rPr>
          <w:color w:val="auto"/>
        </w:rPr>
      </w:pPr>
    </w:p>
    <w:p>
      <w:pPr>
        <w:pStyle w:val="2"/>
        <w:rPr>
          <w:rFonts w:hint="eastAsia"/>
          <w:color w:val="auto"/>
          <w:lang w:val="en-US" w:eastAsia="zh-CN"/>
        </w:rPr>
      </w:pPr>
    </w:p>
    <w:p>
      <w:pPr>
        <w:pStyle w:val="2"/>
        <w:rPr>
          <w:rFonts w:hint="default"/>
          <w:color w:val="auto"/>
          <w:lang w:val="en-US" w:eastAsia="zh-CN"/>
        </w:rPr>
      </w:pPr>
    </w:p>
    <w:p>
      <w:pPr>
        <w:pageBreakBefore w:val="0"/>
        <w:kinsoku/>
        <w:wordWrap/>
        <w:overflowPunct w:val="0"/>
        <w:topLinePunct w:val="0"/>
        <w:autoSpaceDE/>
        <w:autoSpaceDN/>
        <w:bidi w:val="0"/>
        <w:spacing w:line="240" w:lineRule="auto"/>
        <w:ind w:firstLine="643"/>
        <w:contextualSpacing/>
        <w:rPr>
          <w:rFonts w:hint="eastAsia" w:ascii="Times New Roman" w:hAnsi="Times New Roman" w:eastAsia="方正仿宋_GBK" w:cs="方正仿宋_GBK"/>
          <w:color w:val="auto"/>
          <w:sz w:val="32"/>
          <w:szCs w:val="32"/>
          <w:lang w:eastAsia="zh-CN"/>
        </w:rPr>
      </w:pPr>
    </w:p>
    <w:bookmarkEnd w:id="18"/>
    <w:sectPr>
      <w:headerReference r:id="rId3" w:type="default"/>
      <w:footerReference r:id="rId4" w:type="default"/>
      <w:pgSz w:w="11906" w:h="16838"/>
      <w:pgMar w:top="1984" w:right="1531" w:bottom="1701" w:left="1531" w:header="851" w:footer="992" w:gutter="0"/>
      <w:pgNumType w:fmt="decimal" w:start="1"/>
      <w:cols w:space="720" w:num="1"/>
      <w:rtlGutter w:val="0"/>
      <w:docGrid w:type="lines" w:linePitch="3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仿宋_GBK">
    <w:altName w:val="微软雅黑"/>
    <w:panose1 w:val="03000509000000000000"/>
    <w:charset w:val="86"/>
    <w:family w:val="script"/>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8"/>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2</w:t>
                          </w:r>
                          <w:r>
                            <w:rPr>
                              <w:sz w:val="21"/>
                              <w:szCs w:val="21"/>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18"/>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2</w:t>
                    </w:r>
                    <w:r>
                      <w:rPr>
                        <w:sz w:val="21"/>
                        <w:szCs w:val="21"/>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left="0" w:leftChars="0" w:firstLine="0" w:firstLineChars="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262736"/>
    <w:multiLevelType w:val="singleLevel"/>
    <w:tmpl w:val="A8262736"/>
    <w:lvl w:ilvl="0" w:tentative="0">
      <w:start w:val="1"/>
      <w:numFmt w:val="decimal"/>
      <w:suff w:val="nothing"/>
      <w:lvlText w:val="（%1）"/>
      <w:lvlJc w:val="left"/>
    </w:lvl>
  </w:abstractNum>
  <w:abstractNum w:abstractNumId="1">
    <w:nsid w:val="F033F9D1"/>
    <w:multiLevelType w:val="singleLevel"/>
    <w:tmpl w:val="F033F9D1"/>
    <w:lvl w:ilvl="0" w:tentative="0">
      <w:start w:val="1"/>
      <w:numFmt w:val="decimal"/>
      <w:pStyle w:val="7"/>
      <w:lvlText w:val="%1."/>
      <w:lvlJc w:val="left"/>
      <w:pPr>
        <w:tabs>
          <w:tab w:val="left" w:pos="2040"/>
        </w:tabs>
        <w:ind w:left="204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0"/>
  <w:bordersDoNotSurroundFooter w:val="0"/>
  <w:documentProtection w:enforcement="0"/>
  <w:defaultTabStop w:val="420"/>
  <w:hyphenationZone w:val="360"/>
  <w:drawingGridHorizontalSpacing w:val="140"/>
  <w:drawingGridVerticalSpacing w:val="193"/>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yOGE5OTI5NTUxMjE1YTljYWY2ZDk0NTlkNmMzMDIifQ=="/>
  </w:docVars>
  <w:rsids>
    <w:rsidRoot w:val="001342B0"/>
    <w:rsid w:val="00005CFE"/>
    <w:rsid w:val="00025C7B"/>
    <w:rsid w:val="00026D68"/>
    <w:rsid w:val="000B0A47"/>
    <w:rsid w:val="000B4C90"/>
    <w:rsid w:val="000B7456"/>
    <w:rsid w:val="000F19ED"/>
    <w:rsid w:val="00116F13"/>
    <w:rsid w:val="00133529"/>
    <w:rsid w:val="001342B0"/>
    <w:rsid w:val="0013699F"/>
    <w:rsid w:val="00154AB1"/>
    <w:rsid w:val="001A713D"/>
    <w:rsid w:val="001B62E9"/>
    <w:rsid w:val="00237098"/>
    <w:rsid w:val="00265B5F"/>
    <w:rsid w:val="002810A8"/>
    <w:rsid w:val="00287087"/>
    <w:rsid w:val="002A6447"/>
    <w:rsid w:val="002C0FA1"/>
    <w:rsid w:val="0030133E"/>
    <w:rsid w:val="003421D6"/>
    <w:rsid w:val="00355C5B"/>
    <w:rsid w:val="003801D3"/>
    <w:rsid w:val="003B13F4"/>
    <w:rsid w:val="003B55A8"/>
    <w:rsid w:val="003C2470"/>
    <w:rsid w:val="003D17D0"/>
    <w:rsid w:val="00417BA8"/>
    <w:rsid w:val="00417E0C"/>
    <w:rsid w:val="00450017"/>
    <w:rsid w:val="004550E0"/>
    <w:rsid w:val="0046425B"/>
    <w:rsid w:val="00492B85"/>
    <w:rsid w:val="004B1048"/>
    <w:rsid w:val="004D6CA3"/>
    <w:rsid w:val="004E66D0"/>
    <w:rsid w:val="0051444F"/>
    <w:rsid w:val="00537022"/>
    <w:rsid w:val="005604A7"/>
    <w:rsid w:val="005B7ABC"/>
    <w:rsid w:val="006156C6"/>
    <w:rsid w:val="00670E7D"/>
    <w:rsid w:val="00686622"/>
    <w:rsid w:val="006C4138"/>
    <w:rsid w:val="006F5848"/>
    <w:rsid w:val="00741A55"/>
    <w:rsid w:val="00756F99"/>
    <w:rsid w:val="0075701C"/>
    <w:rsid w:val="00761699"/>
    <w:rsid w:val="00785978"/>
    <w:rsid w:val="007A458B"/>
    <w:rsid w:val="007B592C"/>
    <w:rsid w:val="007C5576"/>
    <w:rsid w:val="007E3373"/>
    <w:rsid w:val="007E6959"/>
    <w:rsid w:val="007F4E7A"/>
    <w:rsid w:val="00837D40"/>
    <w:rsid w:val="00847863"/>
    <w:rsid w:val="008667CD"/>
    <w:rsid w:val="008715CB"/>
    <w:rsid w:val="00872BF6"/>
    <w:rsid w:val="008743A9"/>
    <w:rsid w:val="00897964"/>
    <w:rsid w:val="008B1EB6"/>
    <w:rsid w:val="008D4040"/>
    <w:rsid w:val="008D5B06"/>
    <w:rsid w:val="008E4324"/>
    <w:rsid w:val="008E5601"/>
    <w:rsid w:val="008F4A33"/>
    <w:rsid w:val="009238D0"/>
    <w:rsid w:val="00936189"/>
    <w:rsid w:val="0098633B"/>
    <w:rsid w:val="009D623D"/>
    <w:rsid w:val="00A16AD6"/>
    <w:rsid w:val="00A51218"/>
    <w:rsid w:val="00A87773"/>
    <w:rsid w:val="00A87988"/>
    <w:rsid w:val="00AD265F"/>
    <w:rsid w:val="00AF1303"/>
    <w:rsid w:val="00AF2068"/>
    <w:rsid w:val="00B11C14"/>
    <w:rsid w:val="00B16647"/>
    <w:rsid w:val="00B17847"/>
    <w:rsid w:val="00B45788"/>
    <w:rsid w:val="00B856EE"/>
    <w:rsid w:val="00B91B13"/>
    <w:rsid w:val="00BA7121"/>
    <w:rsid w:val="00BE1476"/>
    <w:rsid w:val="00C4247B"/>
    <w:rsid w:val="00C47700"/>
    <w:rsid w:val="00C52F11"/>
    <w:rsid w:val="00C64E44"/>
    <w:rsid w:val="00C6680C"/>
    <w:rsid w:val="00C72D08"/>
    <w:rsid w:val="00CB538F"/>
    <w:rsid w:val="00CC15C5"/>
    <w:rsid w:val="00CE14D6"/>
    <w:rsid w:val="00D148F8"/>
    <w:rsid w:val="00D24B1A"/>
    <w:rsid w:val="00D3450F"/>
    <w:rsid w:val="00D35E67"/>
    <w:rsid w:val="00D52221"/>
    <w:rsid w:val="00D524CD"/>
    <w:rsid w:val="00D92BBE"/>
    <w:rsid w:val="00DA32AB"/>
    <w:rsid w:val="00DD56B6"/>
    <w:rsid w:val="00DE4B68"/>
    <w:rsid w:val="00E339F5"/>
    <w:rsid w:val="00E846CC"/>
    <w:rsid w:val="00EC4DD7"/>
    <w:rsid w:val="00F03527"/>
    <w:rsid w:val="00F07EB6"/>
    <w:rsid w:val="00F440E1"/>
    <w:rsid w:val="00F46472"/>
    <w:rsid w:val="00F62E86"/>
    <w:rsid w:val="00F67CD3"/>
    <w:rsid w:val="00F76D7A"/>
    <w:rsid w:val="00FC57E4"/>
    <w:rsid w:val="00FF1809"/>
    <w:rsid w:val="00FF386B"/>
    <w:rsid w:val="016C048E"/>
    <w:rsid w:val="02B741A1"/>
    <w:rsid w:val="048D63DA"/>
    <w:rsid w:val="072C7286"/>
    <w:rsid w:val="08DA6D13"/>
    <w:rsid w:val="0AD517FF"/>
    <w:rsid w:val="0BDA5A61"/>
    <w:rsid w:val="0C112DEB"/>
    <w:rsid w:val="0D846CB8"/>
    <w:rsid w:val="11AA6E28"/>
    <w:rsid w:val="11BF43C0"/>
    <w:rsid w:val="125137DB"/>
    <w:rsid w:val="1483582A"/>
    <w:rsid w:val="148E2C16"/>
    <w:rsid w:val="14E24583"/>
    <w:rsid w:val="16B6684D"/>
    <w:rsid w:val="17394EAE"/>
    <w:rsid w:val="18DF2568"/>
    <w:rsid w:val="1CA473E9"/>
    <w:rsid w:val="1E1E4DD8"/>
    <w:rsid w:val="1E4E1D03"/>
    <w:rsid w:val="200B0FFF"/>
    <w:rsid w:val="20EB1A8B"/>
    <w:rsid w:val="20FD121B"/>
    <w:rsid w:val="21030A6B"/>
    <w:rsid w:val="21D342CD"/>
    <w:rsid w:val="240969FD"/>
    <w:rsid w:val="245068F0"/>
    <w:rsid w:val="246E43DE"/>
    <w:rsid w:val="26F53A70"/>
    <w:rsid w:val="270316D2"/>
    <w:rsid w:val="27EB6D11"/>
    <w:rsid w:val="28C36E95"/>
    <w:rsid w:val="291B2D86"/>
    <w:rsid w:val="2C010DE8"/>
    <w:rsid w:val="2CD57AC7"/>
    <w:rsid w:val="2D4366DC"/>
    <w:rsid w:val="2DBB4593"/>
    <w:rsid w:val="320A41F6"/>
    <w:rsid w:val="328E3F0E"/>
    <w:rsid w:val="336A2CE3"/>
    <w:rsid w:val="33E0074A"/>
    <w:rsid w:val="355C4057"/>
    <w:rsid w:val="3641091F"/>
    <w:rsid w:val="370D3B55"/>
    <w:rsid w:val="38EB7AFB"/>
    <w:rsid w:val="3B00298B"/>
    <w:rsid w:val="3C173D58"/>
    <w:rsid w:val="40160559"/>
    <w:rsid w:val="419D1987"/>
    <w:rsid w:val="42166FAE"/>
    <w:rsid w:val="43A22863"/>
    <w:rsid w:val="470821E0"/>
    <w:rsid w:val="47FA6FE0"/>
    <w:rsid w:val="488F6DDC"/>
    <w:rsid w:val="489E7919"/>
    <w:rsid w:val="4B623CF6"/>
    <w:rsid w:val="4CA57E6E"/>
    <w:rsid w:val="4D986E76"/>
    <w:rsid w:val="4ED45435"/>
    <w:rsid w:val="511F22DC"/>
    <w:rsid w:val="511F4A8D"/>
    <w:rsid w:val="534F34A3"/>
    <w:rsid w:val="56AA3710"/>
    <w:rsid w:val="56E57B7B"/>
    <w:rsid w:val="57EB4E04"/>
    <w:rsid w:val="5C66118C"/>
    <w:rsid w:val="5D554420"/>
    <w:rsid w:val="5F340037"/>
    <w:rsid w:val="60354FCA"/>
    <w:rsid w:val="61840CB9"/>
    <w:rsid w:val="61C5388E"/>
    <w:rsid w:val="62185DA8"/>
    <w:rsid w:val="66BE2423"/>
    <w:rsid w:val="678F124D"/>
    <w:rsid w:val="688F11A6"/>
    <w:rsid w:val="69771C0C"/>
    <w:rsid w:val="69C44DAB"/>
    <w:rsid w:val="6AFB4E62"/>
    <w:rsid w:val="6B05442D"/>
    <w:rsid w:val="6E734AE3"/>
    <w:rsid w:val="7060790D"/>
    <w:rsid w:val="711567AD"/>
    <w:rsid w:val="718669C1"/>
    <w:rsid w:val="72A85224"/>
    <w:rsid w:val="7CF651C5"/>
    <w:rsid w:val="7D33496A"/>
    <w:rsid w:val="7F4B759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qFormat="1"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qFormat="1"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3">
    <w:name w:val="heading 1"/>
    <w:basedOn w:val="1"/>
    <w:next w:val="4"/>
    <w:link w:val="38"/>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8">
    <w:name w:val="heading 2"/>
    <w:basedOn w:val="1"/>
    <w:next w:val="1"/>
    <w:link w:val="39"/>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2">
    <w:name w:val="heading 3"/>
    <w:basedOn w:val="1"/>
    <w:next w:val="1"/>
    <w:link w:val="53"/>
    <w:qFormat/>
    <w:uiPriority w:val="9"/>
    <w:pPr>
      <w:keepNext/>
      <w:keepLines/>
      <w:spacing w:before="260" w:after="260" w:line="416" w:lineRule="auto"/>
      <w:jc w:val="left"/>
      <w:outlineLvl w:val="2"/>
    </w:pPr>
    <w:rPr>
      <w:rFonts w:cs="Times New Roman"/>
      <w:bCs/>
      <w:kern w:val="0"/>
      <w:szCs w:val="32"/>
    </w:rPr>
  </w:style>
  <w:style w:type="paragraph" w:styleId="9">
    <w:name w:val="heading 4"/>
    <w:basedOn w:val="1"/>
    <w:next w:val="1"/>
    <w:link w:val="44"/>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30">
    <w:name w:val="Default Paragraph Font"/>
    <w:unhideWhenUsed/>
    <w:qFormat/>
    <w:uiPriority w:val="1"/>
  </w:style>
  <w:style w:type="table" w:default="1" w:styleId="28">
    <w:name w:val="Normal Table"/>
    <w:unhideWhenUsed/>
    <w:qFormat/>
    <w:uiPriority w:val="99"/>
    <w:tblPr>
      <w:tblLayout w:type="fixed"/>
      <w:tblCellMar>
        <w:top w:w="0" w:type="dxa"/>
        <w:left w:w="108" w:type="dxa"/>
        <w:bottom w:w="0" w:type="dxa"/>
        <w:right w:w="108" w:type="dxa"/>
      </w:tblCellMar>
    </w:tblPr>
  </w:style>
  <w:style w:type="paragraph" w:styleId="4">
    <w:name w:val="Body Text First Indent 2"/>
    <w:basedOn w:val="5"/>
    <w:next w:val="6"/>
    <w:link w:val="34"/>
    <w:unhideWhenUsed/>
    <w:qFormat/>
    <w:uiPriority w:val="0"/>
    <w:pPr>
      <w:ind w:firstLine="420"/>
    </w:pPr>
  </w:style>
  <w:style w:type="paragraph" w:styleId="5">
    <w:name w:val="Body Text Indent"/>
    <w:basedOn w:val="1"/>
    <w:link w:val="59"/>
    <w:unhideWhenUsed/>
    <w:qFormat/>
    <w:uiPriority w:val="99"/>
    <w:pPr>
      <w:spacing w:after="120"/>
      <w:ind w:left="420" w:leftChars="200"/>
    </w:pPr>
    <w:rPr>
      <w:rFonts w:cs="Times New Roman"/>
      <w:kern w:val="0"/>
      <w:szCs w:val="20"/>
    </w:rPr>
  </w:style>
  <w:style w:type="paragraph" w:styleId="6">
    <w:name w:val="Plain Text"/>
    <w:basedOn w:val="1"/>
    <w:next w:val="7"/>
    <w:unhideWhenUsed/>
    <w:qFormat/>
    <w:uiPriority w:val="0"/>
    <w:rPr>
      <w:rFonts w:ascii="宋体" w:hAnsi="Courier New" w:eastAsia="宋体" w:cs="Courier New"/>
      <w:szCs w:val="21"/>
    </w:rPr>
  </w:style>
  <w:style w:type="paragraph" w:styleId="7">
    <w:name w:val="List Number 5"/>
    <w:basedOn w:val="1"/>
    <w:semiHidden/>
    <w:unhideWhenUsed/>
    <w:qFormat/>
    <w:uiPriority w:val="99"/>
    <w:pPr>
      <w:numPr>
        <w:ilvl w:val="0"/>
        <w:numId w:val="1"/>
      </w:numPr>
    </w:pPr>
  </w:style>
  <w:style w:type="paragraph" w:styleId="10">
    <w:name w:val="toc 7"/>
    <w:basedOn w:val="1"/>
    <w:next w:val="1"/>
    <w:unhideWhenUsed/>
    <w:qFormat/>
    <w:uiPriority w:val="39"/>
    <w:pPr>
      <w:ind w:left="1680"/>
      <w:jc w:val="left"/>
    </w:pPr>
    <w:rPr>
      <w:rFonts w:ascii="Calibri" w:hAnsi="Calibri" w:cs="Calibri"/>
      <w:sz w:val="18"/>
      <w:szCs w:val="18"/>
    </w:rPr>
  </w:style>
  <w:style w:type="paragraph" w:styleId="11">
    <w:name w:val="Document Map"/>
    <w:basedOn w:val="1"/>
    <w:link w:val="42"/>
    <w:unhideWhenUsed/>
    <w:qFormat/>
    <w:uiPriority w:val="99"/>
    <w:rPr>
      <w:rFonts w:ascii="宋体" w:eastAsia="宋体" w:cs="Times New Roman"/>
      <w:kern w:val="0"/>
      <w:sz w:val="18"/>
      <w:szCs w:val="18"/>
    </w:rPr>
  </w:style>
  <w:style w:type="paragraph" w:styleId="12">
    <w:name w:val="annotation text"/>
    <w:basedOn w:val="1"/>
    <w:link w:val="41"/>
    <w:unhideWhenUsed/>
    <w:qFormat/>
    <w:uiPriority w:val="99"/>
    <w:rPr>
      <w:rFonts w:cs="Times New Roman"/>
      <w:kern w:val="0"/>
      <w:sz w:val="20"/>
      <w:szCs w:val="20"/>
    </w:rPr>
  </w:style>
  <w:style w:type="paragraph" w:styleId="13">
    <w:name w:val="Body Text"/>
    <w:basedOn w:val="1"/>
    <w:qFormat/>
    <w:uiPriority w:val="0"/>
    <w:pPr>
      <w:spacing w:before="240" w:after="240" w:line="360" w:lineRule="auto"/>
      <w:jc w:val="center"/>
    </w:pPr>
    <w:rPr>
      <w:b/>
      <w:sz w:val="44"/>
    </w:rPr>
  </w:style>
  <w:style w:type="paragraph" w:styleId="14">
    <w:name w:val="toc 5"/>
    <w:basedOn w:val="1"/>
    <w:next w:val="1"/>
    <w:unhideWhenUsed/>
    <w:qFormat/>
    <w:uiPriority w:val="39"/>
    <w:pPr>
      <w:ind w:left="1120"/>
      <w:jc w:val="left"/>
    </w:pPr>
    <w:rPr>
      <w:rFonts w:ascii="Calibri" w:hAnsi="Calibri" w:cs="Calibri"/>
      <w:sz w:val="18"/>
      <w:szCs w:val="18"/>
    </w:rPr>
  </w:style>
  <w:style w:type="paragraph" w:styleId="15">
    <w:name w:val="toc 3"/>
    <w:basedOn w:val="1"/>
    <w:next w:val="1"/>
    <w:unhideWhenUsed/>
    <w:qFormat/>
    <w:uiPriority w:val="39"/>
    <w:pPr>
      <w:ind w:left="560"/>
      <w:jc w:val="left"/>
    </w:pPr>
    <w:rPr>
      <w:rFonts w:ascii="Calibri" w:hAnsi="Calibri" w:cs="Calibri"/>
      <w:i/>
      <w:iCs/>
      <w:sz w:val="20"/>
      <w:szCs w:val="20"/>
    </w:rPr>
  </w:style>
  <w:style w:type="paragraph" w:styleId="16">
    <w:name w:val="toc 8"/>
    <w:basedOn w:val="1"/>
    <w:next w:val="1"/>
    <w:unhideWhenUsed/>
    <w:qFormat/>
    <w:uiPriority w:val="39"/>
    <w:pPr>
      <w:ind w:left="1960"/>
      <w:jc w:val="left"/>
    </w:pPr>
    <w:rPr>
      <w:rFonts w:ascii="Calibri" w:hAnsi="Calibri" w:cs="Calibri"/>
      <w:sz w:val="18"/>
      <w:szCs w:val="18"/>
    </w:rPr>
  </w:style>
  <w:style w:type="paragraph" w:styleId="17">
    <w:name w:val="Balloon Text"/>
    <w:basedOn w:val="1"/>
    <w:link w:val="45"/>
    <w:unhideWhenUsed/>
    <w:qFormat/>
    <w:uiPriority w:val="99"/>
    <w:rPr>
      <w:rFonts w:cs="Times New Roman"/>
      <w:kern w:val="0"/>
      <w:sz w:val="18"/>
      <w:szCs w:val="18"/>
    </w:rPr>
  </w:style>
  <w:style w:type="paragraph" w:styleId="18">
    <w:name w:val="footer"/>
    <w:basedOn w:val="1"/>
    <w:link w:val="43"/>
    <w:unhideWhenUsed/>
    <w:qFormat/>
    <w:uiPriority w:val="99"/>
    <w:pPr>
      <w:tabs>
        <w:tab w:val="center" w:pos="4153"/>
        <w:tab w:val="right" w:pos="8306"/>
      </w:tabs>
      <w:snapToGrid w:val="0"/>
      <w:jc w:val="left"/>
    </w:pPr>
    <w:rPr>
      <w:rFonts w:cs="Times New Roman"/>
      <w:kern w:val="0"/>
      <w:sz w:val="18"/>
      <w:szCs w:val="18"/>
    </w:rPr>
  </w:style>
  <w:style w:type="paragraph" w:styleId="19">
    <w:name w:val="header"/>
    <w:basedOn w:val="1"/>
    <w:link w:val="35"/>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20">
    <w:name w:val="toc 1"/>
    <w:basedOn w:val="1"/>
    <w:next w:val="1"/>
    <w:unhideWhenUsed/>
    <w:qFormat/>
    <w:uiPriority w:val="39"/>
    <w:pPr>
      <w:spacing w:before="120" w:after="120"/>
      <w:jc w:val="left"/>
    </w:pPr>
    <w:rPr>
      <w:rFonts w:ascii="Calibri" w:hAnsi="Calibri" w:cs="Calibri"/>
      <w:b/>
      <w:bCs/>
      <w:caps/>
      <w:sz w:val="20"/>
      <w:szCs w:val="20"/>
    </w:rPr>
  </w:style>
  <w:style w:type="paragraph" w:styleId="21">
    <w:name w:val="toc 4"/>
    <w:basedOn w:val="1"/>
    <w:next w:val="1"/>
    <w:unhideWhenUsed/>
    <w:qFormat/>
    <w:uiPriority w:val="39"/>
    <w:pPr>
      <w:ind w:left="840"/>
      <w:jc w:val="left"/>
    </w:pPr>
    <w:rPr>
      <w:rFonts w:ascii="Calibri" w:hAnsi="Calibri" w:cs="Calibri"/>
      <w:sz w:val="18"/>
      <w:szCs w:val="18"/>
    </w:rPr>
  </w:style>
  <w:style w:type="paragraph" w:styleId="22">
    <w:name w:val="toc 6"/>
    <w:basedOn w:val="1"/>
    <w:next w:val="1"/>
    <w:unhideWhenUsed/>
    <w:qFormat/>
    <w:uiPriority w:val="39"/>
    <w:pPr>
      <w:ind w:left="1400"/>
      <w:jc w:val="left"/>
    </w:pPr>
    <w:rPr>
      <w:rFonts w:ascii="Calibri" w:hAnsi="Calibri" w:cs="Calibri"/>
      <w:sz w:val="18"/>
      <w:szCs w:val="18"/>
    </w:rPr>
  </w:style>
  <w:style w:type="paragraph" w:styleId="23">
    <w:name w:val="toc 2"/>
    <w:basedOn w:val="1"/>
    <w:next w:val="1"/>
    <w:unhideWhenUsed/>
    <w:qFormat/>
    <w:uiPriority w:val="39"/>
    <w:pPr>
      <w:ind w:left="280"/>
      <w:jc w:val="left"/>
    </w:pPr>
    <w:rPr>
      <w:rFonts w:ascii="Calibri" w:hAnsi="Calibri" w:cs="Calibri"/>
      <w:smallCaps/>
      <w:sz w:val="20"/>
      <w:szCs w:val="20"/>
    </w:rPr>
  </w:style>
  <w:style w:type="paragraph" w:styleId="24">
    <w:name w:val="toc 9"/>
    <w:basedOn w:val="1"/>
    <w:next w:val="1"/>
    <w:unhideWhenUsed/>
    <w:qFormat/>
    <w:uiPriority w:val="39"/>
    <w:pPr>
      <w:ind w:left="2240"/>
      <w:jc w:val="left"/>
    </w:pPr>
    <w:rPr>
      <w:rFonts w:ascii="Calibri" w:hAnsi="Calibri" w:cs="Calibri"/>
      <w:sz w:val="18"/>
      <w:szCs w:val="18"/>
    </w:rPr>
  </w:style>
  <w:style w:type="paragraph" w:styleId="2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26">
    <w:name w:val="Title"/>
    <w:basedOn w:val="1"/>
    <w:next w:val="1"/>
    <w:link w:val="48"/>
    <w:qFormat/>
    <w:uiPriority w:val="10"/>
    <w:pPr>
      <w:spacing w:before="240" w:after="60"/>
      <w:jc w:val="center"/>
      <w:outlineLvl w:val="0"/>
    </w:pPr>
    <w:rPr>
      <w:rFonts w:ascii="Cambria" w:hAnsi="Cambria" w:eastAsia="宋体" w:cs="Times New Roman"/>
      <w:b/>
      <w:bCs/>
      <w:sz w:val="32"/>
      <w:szCs w:val="32"/>
    </w:rPr>
  </w:style>
  <w:style w:type="paragraph" w:styleId="27">
    <w:name w:val="annotation subject"/>
    <w:basedOn w:val="12"/>
    <w:next w:val="12"/>
    <w:link w:val="40"/>
    <w:unhideWhenUsed/>
    <w:qFormat/>
    <w:uiPriority w:val="99"/>
    <w:rPr>
      <w:b/>
      <w:bCs/>
    </w:rPr>
  </w:style>
  <w:style w:type="table" w:styleId="29">
    <w:name w:val="Table Grid"/>
    <w:basedOn w:val="28"/>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31">
    <w:name w:val="Strong"/>
    <w:basedOn w:val="30"/>
    <w:qFormat/>
    <w:uiPriority w:val="0"/>
    <w:rPr>
      <w:b/>
      <w:bCs/>
    </w:rPr>
  </w:style>
  <w:style w:type="character" w:styleId="32">
    <w:name w:val="Hyperlink"/>
    <w:unhideWhenUsed/>
    <w:qFormat/>
    <w:uiPriority w:val="99"/>
    <w:rPr>
      <w:color w:val="0000FF"/>
      <w:u w:val="single"/>
    </w:rPr>
  </w:style>
  <w:style w:type="character" w:styleId="33">
    <w:name w:val="annotation reference"/>
    <w:unhideWhenUsed/>
    <w:qFormat/>
    <w:uiPriority w:val="99"/>
    <w:rPr>
      <w:sz w:val="16"/>
      <w:szCs w:val="16"/>
    </w:rPr>
  </w:style>
  <w:style w:type="character" w:customStyle="1" w:styleId="34">
    <w:name w:val="正文文本首行缩进 2 字符"/>
    <w:link w:val="4"/>
    <w:qFormat/>
    <w:uiPriority w:val="0"/>
    <w:rPr>
      <w:rFonts w:ascii="Calibri" w:hAnsi="Calibri" w:eastAsia="仿宋_GB2312" w:cs="黑体"/>
      <w:sz w:val="28"/>
    </w:rPr>
  </w:style>
  <w:style w:type="character" w:customStyle="1" w:styleId="35">
    <w:name w:val="页眉 字符"/>
    <w:link w:val="19"/>
    <w:qFormat/>
    <w:uiPriority w:val="99"/>
    <w:rPr>
      <w:rFonts w:ascii="Calibri" w:hAnsi="Calibri" w:eastAsia="仿宋_GB2312" w:cs="黑体"/>
      <w:sz w:val="18"/>
      <w:szCs w:val="18"/>
    </w:rPr>
  </w:style>
  <w:style w:type="character" w:customStyle="1" w:styleId="36">
    <w:name w:val="闻政-正文段落文字 Char"/>
    <w:link w:val="37"/>
    <w:qFormat/>
    <w:uiPriority w:val="3"/>
    <w:rPr>
      <w:rFonts w:ascii="Times New Roman" w:hAnsi="Times New Roman" w:eastAsia="仿宋_GB2312"/>
      <w:sz w:val="28"/>
      <w:szCs w:val="28"/>
    </w:rPr>
  </w:style>
  <w:style w:type="paragraph" w:customStyle="1" w:styleId="37">
    <w:name w:val="闻政-正文段落文字"/>
    <w:basedOn w:val="1"/>
    <w:link w:val="36"/>
    <w:qFormat/>
    <w:uiPriority w:val="3"/>
    <w:pPr>
      <w:spacing w:line="500" w:lineRule="exact"/>
      <w:ind w:firstLine="200"/>
    </w:pPr>
    <w:rPr>
      <w:rFonts w:ascii="Times New Roman" w:hAnsi="Times New Roman" w:cs="Times New Roman"/>
      <w:kern w:val="0"/>
      <w:szCs w:val="28"/>
    </w:rPr>
  </w:style>
  <w:style w:type="character" w:customStyle="1" w:styleId="38">
    <w:name w:val="标题 1 字符"/>
    <w:link w:val="3"/>
    <w:qFormat/>
    <w:uiPriority w:val="9"/>
    <w:rPr>
      <w:rFonts w:ascii="Times New Roman" w:hAnsi="Times New Roman" w:eastAsia="仿宋_GB2312" w:cs="Times New Roman"/>
      <w:b/>
      <w:bCs/>
      <w:kern w:val="44"/>
      <w:sz w:val="32"/>
      <w:szCs w:val="44"/>
    </w:rPr>
  </w:style>
  <w:style w:type="character" w:customStyle="1" w:styleId="39">
    <w:name w:val="标题 2 字符"/>
    <w:link w:val="8"/>
    <w:qFormat/>
    <w:uiPriority w:val="0"/>
    <w:rPr>
      <w:rFonts w:ascii="Cambria" w:hAnsi="Cambria" w:eastAsia="仿宋_GB2312" w:cs="Times New Roman"/>
      <w:b/>
      <w:bCs/>
      <w:kern w:val="0"/>
      <w:sz w:val="30"/>
      <w:szCs w:val="32"/>
    </w:rPr>
  </w:style>
  <w:style w:type="character" w:customStyle="1" w:styleId="40">
    <w:name w:val="批注主题 字符"/>
    <w:link w:val="27"/>
    <w:semiHidden/>
    <w:qFormat/>
    <w:uiPriority w:val="99"/>
    <w:rPr>
      <w:rFonts w:ascii="Calibri" w:hAnsi="Calibri" w:eastAsia="仿宋_GB2312" w:cs="黑体"/>
      <w:b/>
      <w:bCs/>
      <w:sz w:val="20"/>
      <w:szCs w:val="20"/>
    </w:rPr>
  </w:style>
  <w:style w:type="character" w:customStyle="1" w:styleId="41">
    <w:name w:val="批注文字 字符"/>
    <w:link w:val="12"/>
    <w:semiHidden/>
    <w:qFormat/>
    <w:uiPriority w:val="99"/>
    <w:rPr>
      <w:rFonts w:ascii="Calibri" w:hAnsi="Calibri" w:eastAsia="仿宋_GB2312" w:cs="黑体"/>
      <w:sz w:val="20"/>
      <w:szCs w:val="20"/>
    </w:rPr>
  </w:style>
  <w:style w:type="character" w:customStyle="1" w:styleId="42">
    <w:name w:val="文档结构图 字符"/>
    <w:link w:val="11"/>
    <w:semiHidden/>
    <w:qFormat/>
    <w:uiPriority w:val="99"/>
    <w:rPr>
      <w:rFonts w:ascii="宋体" w:hAnsi="Calibri" w:eastAsia="宋体" w:cs="黑体"/>
      <w:sz w:val="18"/>
      <w:szCs w:val="18"/>
    </w:rPr>
  </w:style>
  <w:style w:type="character" w:customStyle="1" w:styleId="43">
    <w:name w:val="页脚 字符"/>
    <w:link w:val="18"/>
    <w:qFormat/>
    <w:uiPriority w:val="99"/>
    <w:rPr>
      <w:rFonts w:ascii="Calibri" w:hAnsi="Calibri" w:eastAsia="仿宋_GB2312" w:cs="黑体"/>
      <w:sz w:val="18"/>
      <w:szCs w:val="18"/>
    </w:rPr>
  </w:style>
  <w:style w:type="character" w:customStyle="1" w:styleId="44">
    <w:name w:val="标题 4 字符"/>
    <w:link w:val="9"/>
    <w:semiHidden/>
    <w:qFormat/>
    <w:uiPriority w:val="9"/>
    <w:rPr>
      <w:rFonts w:ascii="Cambria" w:hAnsi="Cambria" w:eastAsia="宋体" w:cs="Times New Roman"/>
      <w:b/>
      <w:bCs/>
      <w:sz w:val="28"/>
      <w:szCs w:val="28"/>
    </w:rPr>
  </w:style>
  <w:style w:type="character" w:customStyle="1" w:styleId="45">
    <w:name w:val="批注框文本 字符"/>
    <w:link w:val="17"/>
    <w:semiHidden/>
    <w:qFormat/>
    <w:uiPriority w:val="99"/>
    <w:rPr>
      <w:rFonts w:ascii="Calibri" w:hAnsi="Calibri" w:eastAsia="仿宋_GB2312" w:cs="黑体"/>
      <w:sz w:val="18"/>
      <w:szCs w:val="18"/>
    </w:rPr>
  </w:style>
  <w:style w:type="character" w:customStyle="1" w:styleId="46">
    <w:name w:val="font11"/>
    <w:qFormat/>
    <w:uiPriority w:val="0"/>
    <w:rPr>
      <w:rFonts w:hint="eastAsia" w:ascii="方正仿宋_GBK" w:hAnsi="方正仿宋_GBK" w:eastAsia="方正仿宋_GBK" w:cs="方正仿宋_GBK"/>
      <w:color w:val="000000"/>
      <w:sz w:val="24"/>
      <w:szCs w:val="24"/>
      <w:u w:val="none"/>
    </w:rPr>
  </w:style>
  <w:style w:type="character" w:customStyle="1" w:styleId="47">
    <w:name w:val="_Style 43"/>
    <w:qFormat/>
    <w:uiPriority w:val="0"/>
    <w:rPr>
      <w:b/>
      <w:bCs/>
      <w:smallCaps/>
      <w:color w:val="C0504D"/>
      <w:spacing w:val="5"/>
      <w:u w:val="single"/>
    </w:rPr>
  </w:style>
  <w:style w:type="character" w:customStyle="1" w:styleId="48">
    <w:name w:val="标题 字符"/>
    <w:link w:val="26"/>
    <w:qFormat/>
    <w:uiPriority w:val="10"/>
    <w:rPr>
      <w:rFonts w:ascii="Cambria" w:hAnsi="Cambria"/>
      <w:b/>
      <w:bCs/>
      <w:kern w:val="2"/>
      <w:sz w:val="32"/>
      <w:szCs w:val="32"/>
    </w:rPr>
  </w:style>
  <w:style w:type="character" w:customStyle="1" w:styleId="49">
    <w:name w:val="无间隔 字符"/>
    <w:link w:val="50"/>
    <w:qFormat/>
    <w:uiPriority w:val="1"/>
    <w:rPr>
      <w:rFonts w:eastAsia="仿宋_GB2312" w:cs="黑体"/>
      <w:kern w:val="2"/>
      <w:sz w:val="28"/>
      <w:szCs w:val="22"/>
      <w:lang w:val="en-US" w:eastAsia="zh-CN" w:bidi="ar-SA"/>
    </w:rPr>
  </w:style>
  <w:style w:type="paragraph" w:styleId="50">
    <w:name w:val="No Spacing"/>
    <w:link w:val="49"/>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character" w:customStyle="1" w:styleId="51">
    <w:name w:val="闻政-正文三级标题 Char"/>
    <w:link w:val="52"/>
    <w:qFormat/>
    <w:uiPriority w:val="3"/>
    <w:rPr>
      <w:rFonts w:ascii="Times New Roman" w:hAnsi="Times New Roman" w:eastAsia="仿宋_GB2312"/>
      <w:b/>
      <w:snapToGrid w:val="0"/>
      <w:sz w:val="28"/>
      <w:szCs w:val="28"/>
    </w:rPr>
  </w:style>
  <w:style w:type="paragraph" w:customStyle="1" w:styleId="52">
    <w:name w:val="闻政-正文三级标题"/>
    <w:basedOn w:val="1"/>
    <w:next w:val="37"/>
    <w:link w:val="51"/>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3">
    <w:name w:val="标题 3 字符"/>
    <w:link w:val="2"/>
    <w:qFormat/>
    <w:uiPriority w:val="9"/>
    <w:rPr>
      <w:rFonts w:ascii="Calibri" w:hAnsi="Calibri" w:eastAsia="仿宋_GB2312" w:cs="黑体"/>
      <w:bCs/>
      <w:sz w:val="28"/>
      <w:szCs w:val="32"/>
    </w:rPr>
  </w:style>
  <w:style w:type="character" w:customStyle="1" w:styleId="54">
    <w:name w:val="闻政-正文二级标题 Char"/>
    <w:link w:val="55"/>
    <w:qFormat/>
    <w:uiPriority w:val="3"/>
    <w:rPr>
      <w:rFonts w:ascii="Times New Roman" w:hAnsi="Times New Roman" w:eastAsia="仿宋_GB2312"/>
      <w:b/>
      <w:bCs/>
      <w:sz w:val="28"/>
      <w:szCs w:val="32"/>
    </w:rPr>
  </w:style>
  <w:style w:type="paragraph" w:customStyle="1" w:styleId="55">
    <w:name w:val="闻政-正文二级标题"/>
    <w:basedOn w:val="8"/>
    <w:next w:val="37"/>
    <w:link w:val="54"/>
    <w:qFormat/>
    <w:uiPriority w:val="3"/>
    <w:pPr>
      <w:spacing w:before="120" w:after="60" w:line="500" w:lineRule="exact"/>
      <w:ind w:left="200" w:leftChars="200" w:firstLine="0" w:firstLineChars="0"/>
    </w:pPr>
    <w:rPr>
      <w:rFonts w:ascii="Times New Roman" w:hAnsi="Times New Roman"/>
      <w:sz w:val="28"/>
    </w:rPr>
  </w:style>
  <w:style w:type="character" w:customStyle="1" w:styleId="56">
    <w:name w:val="闻政-正文一级标题 Char"/>
    <w:link w:val="57"/>
    <w:qFormat/>
    <w:uiPriority w:val="3"/>
    <w:rPr>
      <w:rFonts w:ascii="黑体" w:hAnsi="黑体" w:eastAsia="黑体"/>
      <w:bCs/>
      <w:sz w:val="32"/>
      <w:szCs w:val="32"/>
    </w:rPr>
  </w:style>
  <w:style w:type="paragraph" w:customStyle="1" w:styleId="57">
    <w:name w:val="闻政-正文一级标题"/>
    <w:basedOn w:val="2"/>
    <w:next w:val="37"/>
    <w:link w:val="56"/>
    <w:qFormat/>
    <w:uiPriority w:val="3"/>
    <w:pPr>
      <w:spacing w:before="120" w:after="60" w:line="500" w:lineRule="exact"/>
      <w:ind w:firstLine="0" w:firstLineChars="0"/>
      <w:outlineLvl w:val="0"/>
    </w:pPr>
    <w:rPr>
      <w:rFonts w:ascii="黑体" w:hAnsi="黑体" w:eastAsia="黑体"/>
      <w:sz w:val="32"/>
    </w:rPr>
  </w:style>
  <w:style w:type="character" w:customStyle="1" w:styleId="58">
    <w:name w:val="font21"/>
    <w:basedOn w:val="30"/>
    <w:qFormat/>
    <w:uiPriority w:val="0"/>
    <w:rPr>
      <w:rFonts w:hint="default" w:ascii="Times New Roman" w:hAnsi="Times New Roman" w:cs="Times New Roman"/>
      <w:color w:val="000000"/>
      <w:sz w:val="24"/>
      <w:szCs w:val="24"/>
      <w:u w:val="none"/>
    </w:rPr>
  </w:style>
  <w:style w:type="character" w:customStyle="1" w:styleId="59">
    <w:name w:val="正文文本缩进 字符"/>
    <w:link w:val="5"/>
    <w:semiHidden/>
    <w:qFormat/>
    <w:uiPriority w:val="99"/>
    <w:rPr>
      <w:rFonts w:ascii="Calibri" w:hAnsi="Calibri" w:eastAsia="仿宋_GB2312" w:cs="黑体"/>
      <w:sz w:val="28"/>
    </w:rPr>
  </w:style>
  <w:style w:type="paragraph" w:customStyle="1" w:styleId="60">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paragraph" w:styleId="61">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22.png"/><Relationship Id="rId26" Type="http://schemas.openxmlformats.org/officeDocument/2006/relationships/image" Target="media/image21.png"/><Relationship Id="rId25" Type="http://schemas.openxmlformats.org/officeDocument/2006/relationships/image" Target="media/image20.png"/><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21</Pages>
  <Words>7597</Words>
  <Characters>8150</Characters>
  <Lines>57</Lines>
  <Paragraphs>16</Paragraphs>
  <TotalTime>4</TotalTime>
  <ScaleCrop>false</ScaleCrop>
  <LinksUpToDate>false</LinksUpToDate>
  <CharactersWithSpaces>8374</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雨。</cp:lastModifiedBy>
  <dcterms:modified xsi:type="dcterms:W3CDTF">2023-10-16T03:02:02Z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E39B95BDC81040068A56C4FDE0DDC5FB</vt:lpwstr>
  </property>
</Properties>
</file>