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bookmarkStart w:id="16" w:name="_GoBack"/>
    </w:p>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p>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p>
    <w:p>
      <w:pPr>
        <w:pStyle w:val="2"/>
        <w:rPr>
          <w:rFonts w:hint="eastAsia" w:ascii="仿宋_GB2312" w:hAnsi="仿宋_GB2312" w:cs="仿宋_GB2312"/>
          <w:b/>
          <w:color w:val="auto"/>
          <w:kern w:val="0"/>
          <w:sz w:val="32"/>
          <w:szCs w:val="32"/>
          <w:highlight w:val="none"/>
          <w:lang w:bidi="en-US"/>
        </w:rPr>
      </w:pPr>
    </w:p>
    <w:p>
      <w:pPr>
        <w:rPr>
          <w:rFonts w:hint="eastAsia"/>
          <w:color w:val="auto"/>
        </w:rPr>
      </w:pPr>
    </w:p>
    <w:p>
      <w:pPr>
        <w:pageBreakBefore w:val="0"/>
        <w:kinsoku/>
        <w:wordWrap/>
        <w:topLinePunct w:val="0"/>
        <w:autoSpaceDE/>
        <w:bidi w:val="0"/>
        <w:spacing w:line="560" w:lineRule="exact"/>
        <w:ind w:firstLine="0" w:firstLineChars="0"/>
        <w:jc w:val="center"/>
        <w:rPr>
          <w:rFonts w:hint="eastAsia" w:ascii="仿宋_GB2312" w:hAnsi="仿宋_GB2312" w:cs="仿宋_GB2312"/>
          <w:b w:val="0"/>
          <w:bCs/>
          <w:color w:val="auto"/>
          <w:kern w:val="0"/>
          <w:sz w:val="32"/>
          <w:szCs w:val="32"/>
          <w:highlight w:val="none"/>
          <w:lang w:bidi="en-US"/>
        </w:rPr>
      </w:pPr>
      <w:r>
        <w:rPr>
          <w:rFonts w:hint="eastAsia" w:ascii="方正小标宋_GBK" w:hAnsi="方正小标宋_GBK" w:eastAsia="方正小标宋_GBK" w:cs="方正小标宋_GBK"/>
          <w:b w:val="0"/>
          <w:bCs/>
          <w:color w:val="auto"/>
          <w:kern w:val="0"/>
          <w:sz w:val="40"/>
          <w:szCs w:val="40"/>
          <w:highlight w:val="none"/>
          <w:lang w:bidi="en-US"/>
        </w:rPr>
        <w:t>伽师县统计局2022年住户调查补助经费项目支出绩效评价报告</w:t>
      </w:r>
    </w:p>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p>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p>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p>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p>
    <w:p>
      <w:pPr>
        <w:pageBreakBefore w:val="0"/>
        <w:kinsoku/>
        <w:wordWrap/>
        <w:topLinePunct w:val="0"/>
        <w:autoSpaceDE/>
        <w:bidi w:val="0"/>
        <w:spacing w:line="560" w:lineRule="exact"/>
        <w:ind w:firstLine="0" w:firstLineChars="0"/>
        <w:jc w:val="center"/>
        <w:rPr>
          <w:rFonts w:hint="eastAsia" w:ascii="仿宋_GB2312" w:hAnsi="仿宋_GB2312" w:cs="仿宋_GB2312"/>
          <w:b/>
          <w:color w:val="auto"/>
          <w:kern w:val="0"/>
          <w:sz w:val="32"/>
          <w:szCs w:val="32"/>
          <w:highlight w:val="none"/>
          <w:lang w:bidi="en-US"/>
        </w:rPr>
      </w:pPr>
    </w:p>
    <w:p>
      <w:pPr>
        <w:pageBreakBefore w:val="0"/>
        <w:kinsoku/>
        <w:wordWrap/>
        <w:topLinePunct w:val="0"/>
        <w:autoSpaceDE/>
        <w:bidi w:val="0"/>
        <w:spacing w:line="560" w:lineRule="exact"/>
        <w:ind w:firstLine="0" w:firstLineChars="0"/>
        <w:jc w:val="center"/>
        <w:rPr>
          <w:rFonts w:hint="eastAsia" w:ascii="仿宋_GB2312" w:hAnsi="仿宋_GB2312" w:cs="仿宋_GB2312"/>
          <w:color w:val="auto"/>
          <w:kern w:val="0"/>
          <w:sz w:val="32"/>
          <w:szCs w:val="32"/>
          <w:highlight w:val="none"/>
          <w:lang w:bidi="en-US"/>
        </w:rPr>
      </w:pPr>
    </w:p>
    <w:p>
      <w:pPr>
        <w:pageBreakBefore w:val="0"/>
        <w:kinsoku/>
        <w:wordWrap/>
        <w:topLinePunct w:val="0"/>
        <w:autoSpaceDE/>
        <w:bidi w:val="0"/>
        <w:spacing w:line="560" w:lineRule="exact"/>
        <w:ind w:left="3060" w:leftChars="500" w:hanging="1660" w:hangingChars="519"/>
        <w:jc w:val="left"/>
        <w:rPr>
          <w:rFonts w:hint="eastAsia" w:ascii="方正仿宋_GBK" w:hAnsi="方正仿宋_GBK" w:eastAsia="方正仿宋_GBK" w:cs="方正仿宋_GBK"/>
          <w:color w:val="auto"/>
          <w:kern w:val="0"/>
          <w:sz w:val="32"/>
          <w:szCs w:val="32"/>
          <w:highlight w:val="none"/>
          <w:lang w:bidi="en-US"/>
        </w:rPr>
      </w:pPr>
      <w:r>
        <w:rPr>
          <w:rFonts w:hint="eastAsia" w:ascii="方正仿宋_GBK" w:hAnsi="方正仿宋_GBK" w:eastAsia="方正仿宋_GBK" w:cs="方正仿宋_GBK"/>
          <w:color w:val="auto"/>
          <w:kern w:val="0"/>
          <w:sz w:val="32"/>
          <w:szCs w:val="32"/>
          <w:highlight w:val="none"/>
          <w:lang w:bidi="en-US"/>
        </w:rPr>
        <w:t>项目名称：</w:t>
      </w:r>
      <w:r>
        <w:rPr>
          <w:rFonts w:hint="eastAsia" w:ascii="方正仿宋_GBK" w:hAnsi="方正仿宋_GBK" w:eastAsia="方正仿宋_GBK" w:cs="方正仿宋_GBK"/>
          <w:color w:val="auto"/>
          <w:kern w:val="0"/>
          <w:sz w:val="32"/>
          <w:szCs w:val="32"/>
          <w:highlight w:val="none"/>
          <w:lang w:val="en-US" w:eastAsia="zh-CN" w:bidi="en-US"/>
        </w:rPr>
        <w:t>伽师县统计局2022年住户调查补助经费项目</w:t>
      </w:r>
    </w:p>
    <w:p>
      <w:pPr>
        <w:pageBreakBefore w:val="0"/>
        <w:kinsoku/>
        <w:wordWrap/>
        <w:topLinePunct w:val="0"/>
        <w:autoSpaceDE/>
        <w:bidi w:val="0"/>
        <w:spacing w:line="560" w:lineRule="exact"/>
        <w:ind w:left="1277" w:leftChars="456" w:firstLine="124" w:firstLineChars="39"/>
        <w:jc w:val="left"/>
        <w:rPr>
          <w:rFonts w:hint="eastAsia" w:ascii="方正仿宋_GBK" w:hAnsi="方正仿宋_GBK" w:eastAsia="方正仿宋_GBK" w:cs="方正仿宋_GBK"/>
          <w:color w:val="auto"/>
          <w:kern w:val="0"/>
          <w:sz w:val="32"/>
          <w:szCs w:val="32"/>
          <w:highlight w:val="none"/>
          <w:lang w:val="en-US" w:eastAsia="zh-CN" w:bidi="en-US"/>
        </w:rPr>
      </w:pPr>
      <w:r>
        <w:rPr>
          <w:rFonts w:hint="eastAsia" w:ascii="方正仿宋_GBK" w:hAnsi="方正仿宋_GBK" w:eastAsia="方正仿宋_GBK" w:cs="方正仿宋_GBK"/>
          <w:color w:val="auto"/>
          <w:kern w:val="0"/>
          <w:sz w:val="32"/>
          <w:szCs w:val="32"/>
          <w:highlight w:val="none"/>
          <w:lang w:bidi="en-US"/>
        </w:rPr>
        <w:t>项目单位：</w:t>
      </w:r>
      <w:r>
        <w:rPr>
          <w:rFonts w:hint="eastAsia" w:ascii="方正仿宋_GBK" w:hAnsi="方正仿宋_GBK" w:eastAsia="方正仿宋_GBK" w:cs="方正仿宋_GBK"/>
          <w:color w:val="auto"/>
          <w:kern w:val="0"/>
          <w:sz w:val="32"/>
          <w:szCs w:val="32"/>
          <w:highlight w:val="none"/>
          <w:lang w:val="en-US" w:eastAsia="zh-CN" w:bidi="en-US"/>
        </w:rPr>
        <w:t>伽师县统计局</w:t>
      </w:r>
    </w:p>
    <w:p>
      <w:pPr>
        <w:pageBreakBefore w:val="0"/>
        <w:kinsoku/>
        <w:wordWrap/>
        <w:topLinePunct w:val="0"/>
        <w:autoSpaceDE/>
        <w:bidi w:val="0"/>
        <w:spacing w:line="560" w:lineRule="exact"/>
        <w:ind w:left="1277" w:leftChars="456" w:firstLine="124" w:firstLineChars="39"/>
        <w:jc w:val="left"/>
        <w:rPr>
          <w:rFonts w:hint="eastAsia" w:ascii="方正仿宋_GBK" w:hAnsi="方正仿宋_GBK" w:eastAsia="方正仿宋_GBK" w:cs="方正仿宋_GBK"/>
          <w:color w:val="auto"/>
          <w:kern w:val="0"/>
          <w:sz w:val="32"/>
          <w:szCs w:val="32"/>
          <w:highlight w:val="none"/>
          <w:lang w:bidi="en-US"/>
        </w:rPr>
      </w:pPr>
      <w:r>
        <w:rPr>
          <w:rFonts w:hint="eastAsia" w:ascii="方正仿宋_GBK" w:hAnsi="方正仿宋_GBK" w:eastAsia="方正仿宋_GBK" w:cs="方正仿宋_GBK"/>
          <w:color w:val="auto"/>
          <w:kern w:val="0"/>
          <w:sz w:val="32"/>
          <w:szCs w:val="32"/>
          <w:highlight w:val="none"/>
          <w:lang w:bidi="en-US"/>
        </w:rPr>
        <w:t>主管部门：</w:t>
      </w:r>
      <w:r>
        <w:rPr>
          <w:rFonts w:hint="eastAsia" w:ascii="方正仿宋_GBK" w:hAnsi="方正仿宋_GBK" w:eastAsia="方正仿宋_GBK" w:cs="方正仿宋_GBK"/>
          <w:color w:val="auto"/>
          <w:kern w:val="0"/>
          <w:sz w:val="32"/>
          <w:szCs w:val="32"/>
          <w:highlight w:val="none"/>
          <w:lang w:val="en-US" w:eastAsia="zh-CN" w:bidi="en-US"/>
        </w:rPr>
        <w:t>伽师县统计局</w:t>
      </w:r>
    </w:p>
    <w:p>
      <w:pPr>
        <w:pageBreakBefore w:val="0"/>
        <w:kinsoku/>
        <w:wordWrap/>
        <w:topLinePunct w:val="0"/>
        <w:autoSpaceDE/>
        <w:bidi w:val="0"/>
        <w:spacing w:line="560" w:lineRule="exact"/>
        <w:ind w:left="1277" w:leftChars="456" w:firstLine="124" w:firstLineChars="39"/>
        <w:jc w:val="left"/>
        <w:rPr>
          <w:rFonts w:hint="eastAsia" w:ascii="方正仿宋_GBK" w:hAnsi="方正仿宋_GBK" w:eastAsia="方正仿宋_GBK" w:cs="方正仿宋_GBK"/>
          <w:color w:val="auto"/>
          <w:kern w:val="0"/>
          <w:sz w:val="32"/>
          <w:szCs w:val="32"/>
          <w:highlight w:val="none"/>
          <w:lang w:val="en-US" w:eastAsia="zh-CN" w:bidi="en-US"/>
        </w:rPr>
      </w:pPr>
      <w:r>
        <w:rPr>
          <w:rFonts w:hint="eastAsia" w:ascii="方正仿宋_GBK" w:hAnsi="方正仿宋_GBK" w:eastAsia="方正仿宋_GBK" w:cs="方正仿宋_GBK"/>
          <w:color w:val="auto"/>
          <w:kern w:val="0"/>
          <w:sz w:val="32"/>
          <w:szCs w:val="32"/>
          <w:highlight w:val="none"/>
          <w:lang w:bidi="en-US"/>
        </w:rPr>
        <w:t>项目负责人：</w:t>
      </w:r>
      <w:r>
        <w:rPr>
          <w:rFonts w:hint="eastAsia" w:ascii="方正仿宋_GBK" w:hAnsi="方正仿宋_GBK" w:eastAsia="方正仿宋_GBK" w:cs="方正仿宋_GBK"/>
          <w:color w:val="auto"/>
          <w:kern w:val="0"/>
          <w:sz w:val="32"/>
          <w:szCs w:val="32"/>
          <w:highlight w:val="none"/>
          <w:lang w:val="en-US" w:eastAsia="zh-CN" w:bidi="en-US"/>
        </w:rPr>
        <w:t>姜华</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highlight w:val="none"/>
          <w:lang w:bidi="en-US"/>
        </w:rPr>
      </w:pPr>
      <w:r>
        <w:rPr>
          <w:rFonts w:hint="eastAsia" w:ascii="方正仿宋_GBK" w:hAnsi="方正仿宋_GBK" w:eastAsia="方正仿宋_GBK" w:cs="方正仿宋_GBK"/>
          <w:color w:val="auto"/>
          <w:kern w:val="0"/>
          <w:sz w:val="32"/>
          <w:szCs w:val="32"/>
          <w:highlight w:val="none"/>
          <w:lang w:bidi="en-US"/>
        </w:rPr>
        <w:t>填报时间：</w:t>
      </w:r>
      <w:r>
        <w:rPr>
          <w:rFonts w:hint="eastAsia" w:ascii="方正仿宋_GBK" w:hAnsi="方正仿宋_GBK" w:eastAsia="方正仿宋_GBK" w:cs="方正仿宋_GBK"/>
          <w:color w:val="auto"/>
          <w:kern w:val="0"/>
          <w:sz w:val="32"/>
          <w:szCs w:val="32"/>
          <w:highlight w:val="none"/>
          <w:lang w:val="en-US" w:eastAsia="zh-CN" w:bidi="en-US"/>
        </w:rPr>
        <w:t>2023</w:t>
      </w:r>
      <w:r>
        <w:rPr>
          <w:rFonts w:hint="eastAsia" w:ascii="方正仿宋_GBK" w:hAnsi="方正仿宋_GBK" w:eastAsia="方正仿宋_GBK" w:cs="方正仿宋_GBK"/>
          <w:color w:val="auto"/>
          <w:kern w:val="0"/>
          <w:sz w:val="32"/>
          <w:szCs w:val="32"/>
          <w:highlight w:val="none"/>
          <w:lang w:bidi="en-US"/>
        </w:rPr>
        <w:t>年</w:t>
      </w:r>
      <w:r>
        <w:rPr>
          <w:rFonts w:hint="eastAsia" w:ascii="方正仿宋_GBK" w:hAnsi="方正仿宋_GBK" w:eastAsia="方正仿宋_GBK" w:cs="方正仿宋_GBK"/>
          <w:color w:val="auto"/>
          <w:kern w:val="0"/>
          <w:sz w:val="32"/>
          <w:szCs w:val="32"/>
          <w:highlight w:val="none"/>
          <w:lang w:val="en-US" w:eastAsia="zh-CN" w:bidi="en-US"/>
        </w:rPr>
        <w:t>2</w:t>
      </w:r>
      <w:r>
        <w:rPr>
          <w:rFonts w:hint="eastAsia" w:ascii="方正仿宋_GBK" w:hAnsi="方正仿宋_GBK" w:eastAsia="方正仿宋_GBK" w:cs="方正仿宋_GBK"/>
          <w:color w:val="auto"/>
          <w:kern w:val="0"/>
          <w:sz w:val="32"/>
          <w:szCs w:val="32"/>
          <w:highlight w:val="none"/>
          <w:lang w:bidi="en-US"/>
        </w:rPr>
        <w:t>月</w:t>
      </w:r>
      <w:r>
        <w:rPr>
          <w:rFonts w:hint="eastAsia" w:ascii="方正仿宋_GBK" w:hAnsi="方正仿宋_GBK" w:eastAsia="方正仿宋_GBK" w:cs="方正仿宋_GBK"/>
          <w:color w:val="auto"/>
          <w:kern w:val="0"/>
          <w:sz w:val="32"/>
          <w:szCs w:val="32"/>
          <w:highlight w:val="none"/>
          <w:lang w:val="en-US" w:eastAsia="zh-CN" w:bidi="en-US"/>
        </w:rPr>
        <w:t>10</w:t>
      </w:r>
      <w:r>
        <w:rPr>
          <w:rFonts w:hint="eastAsia" w:ascii="方正仿宋_GBK" w:hAnsi="方正仿宋_GBK" w:eastAsia="方正仿宋_GBK" w:cs="方正仿宋_GBK"/>
          <w:color w:val="auto"/>
          <w:kern w:val="0"/>
          <w:sz w:val="32"/>
          <w:szCs w:val="32"/>
          <w:highlight w:val="none"/>
          <w:lang w:bidi="en-US"/>
        </w:rPr>
        <w:t>日</w:t>
      </w:r>
    </w:p>
    <w:p>
      <w:pPr>
        <w:rPr>
          <w:rFonts w:hint="eastAsia" w:ascii="方正仿宋_GBK" w:hAnsi="方正仿宋_GBK" w:eastAsia="方正仿宋_GBK" w:cs="方正仿宋_GBK"/>
          <w:color w:val="auto"/>
          <w:kern w:val="0"/>
          <w:sz w:val="32"/>
          <w:szCs w:val="32"/>
          <w:highlight w:val="none"/>
          <w:lang w:bidi="en-US"/>
        </w:rPr>
      </w:pPr>
      <w:r>
        <w:rPr>
          <w:rFonts w:hint="eastAsia" w:ascii="方正仿宋_GBK" w:hAnsi="方正仿宋_GBK" w:eastAsia="方正仿宋_GBK" w:cs="方正仿宋_GBK"/>
          <w:color w:val="auto"/>
          <w:kern w:val="0"/>
          <w:sz w:val="32"/>
          <w:szCs w:val="32"/>
          <w:highlight w:val="none"/>
          <w:lang w:bidi="en-US"/>
        </w:rPr>
        <w:br w:type="page"/>
      </w:r>
    </w:p>
    <w:p>
      <w:pPr>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sz w:val="32"/>
          <w:szCs w:val="32"/>
          <w:highlight w:val="none"/>
        </w:rPr>
      </w:pPr>
      <w:bookmarkStart w:id="0" w:name="_Toc68364657"/>
      <w:r>
        <w:rPr>
          <w:rFonts w:hint="eastAsia" w:ascii="方正黑体_GBK" w:hAnsi="方正黑体_GBK" w:eastAsia="方正黑体_GBK" w:cs="方正黑体_GBK"/>
          <w:b w:val="0"/>
          <w:bCs w:val="0"/>
          <w:color w:val="auto"/>
          <w:sz w:val="32"/>
          <w:szCs w:val="32"/>
          <w:highlight w:val="none"/>
        </w:rPr>
        <w:t>一、基本情况</w:t>
      </w:r>
      <w:bookmarkEnd w:id="0"/>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bookmarkStart w:id="1" w:name="_Toc68364658"/>
      <w:r>
        <w:rPr>
          <w:rFonts w:hint="eastAsia" w:ascii="方正楷体_GBK" w:hAnsi="方正楷体_GBK" w:eastAsia="方正楷体_GBK" w:cs="方正楷体_GBK"/>
          <w:color w:val="auto"/>
          <w:sz w:val="32"/>
          <w:highlight w:val="none"/>
        </w:rPr>
        <w:t>（一）项目概况</w:t>
      </w:r>
      <w:bookmarkEnd w:id="1"/>
    </w:p>
    <w:p>
      <w:pPr>
        <w:pStyle w:val="1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 项目背景</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rPr>
        <w:t>住户调查是一项事关国计民生的重要调查，是服务以人民为中心的发展理念的重要基础性工作。住户调查通过收集居民家庭的收入支出、生产就业、教育医疗、社会保障、居住条件等信息，全面掌握城乡居民收入、消费及其生活状况。调查结果是制定最低生活保障、最低工资、养老金、法律赔偿、个人所得税等标准的重要依据，是评价高质量发展、巩固拓展脱贫攻坚成果、全面推进乡村振兴、改善民生工作成效的重要支撑。其中城镇居民可支配收入、农村居民可支配收入，是各级党委、政府和有关部门掌握民生状况、制定民生政策、评估政策效果的重要依据，是评价全面建成小康社会的重要指标，更是衡量精准扶贫、精准脱贫效果的重要依据。</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本项目遵循</w:t>
      </w:r>
      <w:r>
        <w:rPr>
          <w:rFonts w:hint="eastAsia" w:ascii="方正仿宋_GBK" w:hAnsi="方正仿宋_GBK" w:eastAsia="方正仿宋_GBK" w:cs="方正仿宋_GBK"/>
          <w:bCs w:val="0"/>
          <w:color w:val="auto"/>
          <w:kern w:val="0"/>
          <w:sz w:val="32"/>
          <w:szCs w:val="32"/>
          <w:highlight w:val="none"/>
          <w:lang w:val="en-US" w:eastAsia="zh-CN" w:bidi="ar-SA"/>
        </w:rPr>
        <w:t>《关于下达自治区2022年度统计专项业务经费的通知》</w:t>
      </w:r>
      <w:r>
        <w:rPr>
          <w:rFonts w:hint="eastAsia" w:ascii="方正仿宋_GBK" w:hAnsi="方正仿宋_GBK" w:eastAsia="方正仿宋_GBK" w:cs="方正仿宋_GBK"/>
          <w:color w:val="auto"/>
          <w:sz w:val="32"/>
          <w:szCs w:val="32"/>
          <w:highlight w:val="none"/>
          <w:lang w:eastAsia="zh-CN"/>
        </w:rPr>
        <w:t>（喀地财行[2022]4号、伽财行[2022]13号）</w:t>
      </w:r>
      <w:r>
        <w:rPr>
          <w:rFonts w:hint="eastAsia" w:ascii="方正仿宋_GBK" w:hAnsi="方正仿宋_GBK" w:eastAsia="方正仿宋_GBK" w:cs="方正仿宋_GBK"/>
          <w:color w:val="auto"/>
          <w:sz w:val="32"/>
          <w:szCs w:val="32"/>
          <w:highlight w:val="none"/>
        </w:rPr>
        <w:t>等相关政策文件与规定，旨在评价</w:t>
      </w:r>
      <w:r>
        <w:rPr>
          <w:rFonts w:hint="eastAsia" w:ascii="方正仿宋_GBK" w:hAnsi="方正仿宋_GBK" w:eastAsia="方正仿宋_GBK" w:cs="方正仿宋_GBK"/>
          <w:color w:val="auto"/>
          <w:sz w:val="32"/>
          <w:szCs w:val="32"/>
          <w:highlight w:val="none"/>
          <w:lang w:val="en-US" w:eastAsia="zh-CN"/>
        </w:rPr>
        <w:t>住户调查补助经费</w:t>
      </w:r>
      <w:r>
        <w:rPr>
          <w:rFonts w:hint="eastAsia" w:ascii="方正仿宋_GBK" w:hAnsi="方正仿宋_GBK" w:eastAsia="方正仿宋_GBK" w:cs="方正仿宋_GBK"/>
          <w:color w:val="auto"/>
          <w:sz w:val="32"/>
          <w:szCs w:val="32"/>
          <w:highlight w:val="none"/>
        </w:rPr>
        <w:t>项目实施前期、过程及效果，评价财政预算资金使用的效率及效益。通过该项目的实施，</w:t>
      </w:r>
      <w:r>
        <w:rPr>
          <w:rFonts w:hint="eastAsia" w:ascii="方正仿宋_GBK" w:hAnsi="方正仿宋_GBK" w:eastAsia="方正仿宋_GBK" w:cs="方正仿宋_GBK"/>
          <w:color w:val="auto"/>
          <w:sz w:val="32"/>
          <w:szCs w:val="32"/>
          <w:highlight w:val="none"/>
          <w:lang w:val="en-US" w:eastAsia="zh-CN"/>
        </w:rPr>
        <w:t>提高调查员和辅助调查员工作积极性，</w:t>
      </w:r>
      <w:r>
        <w:rPr>
          <w:rFonts w:hint="eastAsia" w:ascii="方正仿宋_GBK" w:hAnsi="方正仿宋_GBK" w:eastAsia="方正仿宋_GBK" w:cs="方正仿宋_GBK"/>
          <w:color w:val="auto"/>
          <w:sz w:val="32"/>
          <w:szCs w:val="32"/>
          <w:highlight w:val="none"/>
          <w:lang w:val="en-US" w:eastAsia="zh-CN"/>
        </w:rPr>
        <w:t>提供贫困监测数据，持续为群众提供政府性公共服务。</w:t>
      </w:r>
    </w:p>
    <w:p>
      <w:pPr>
        <w:keepNext w:val="0"/>
        <w:keepLines w:val="0"/>
        <w:pageBreakBefore w:val="0"/>
        <w:widowControl w:val="0"/>
        <w:numPr>
          <w:ilvl w:val="0"/>
          <w:numId w:val="2"/>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主要内容</w:t>
      </w:r>
      <w:r>
        <w:rPr>
          <w:rFonts w:hint="eastAsia" w:ascii="方正仿宋_GBK" w:hAnsi="方正仿宋_GBK" w:eastAsia="方正仿宋_GBK" w:cs="方正仿宋_GBK"/>
          <w:b/>
          <w:bCs/>
          <w:color w:val="auto"/>
          <w:sz w:val="32"/>
          <w:szCs w:val="32"/>
          <w:highlight w:val="none"/>
          <w:lang w:eastAsia="zh-CN"/>
        </w:rPr>
        <w:t>及实施情况</w:t>
      </w:r>
    </w:p>
    <w:p>
      <w:pPr>
        <w:keepNext w:val="0"/>
        <w:keepLines w:val="0"/>
        <w:pageBreakBefore w:val="0"/>
        <w:widowControl w:val="0"/>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主要内容：</w:t>
      </w:r>
      <w:r>
        <w:rPr>
          <w:rFonts w:hint="eastAsia" w:ascii="方正仿宋_GBK" w:hAnsi="方正仿宋_GBK" w:eastAsia="方正仿宋_GBK" w:cs="方正仿宋_GBK"/>
          <w:color w:val="auto"/>
          <w:sz w:val="32"/>
          <w:szCs w:val="32"/>
          <w:highlight w:val="none"/>
          <w:lang w:val="en-US" w:eastAsia="zh-CN"/>
        </w:rPr>
        <w:t>住户调查是一项重要的民生调查，其中城镇居民可支配收入、农村居民可支配收入，是各级党委、政府和有关部门掌握民生状况、制定民生政策、评估政策效果的重要依据，是评价全面建成小康社会的重要指标，更是衡量精准扶贫、精准脱贫效果的重要依据。伽师县统计局2022年住户调查</w:t>
      </w:r>
      <w:r>
        <w:rPr>
          <w:rFonts w:hint="eastAsia" w:ascii="方正仿宋_GBK" w:hAnsi="方正仿宋_GBK" w:eastAsia="方正仿宋_GBK" w:cs="方正仿宋_GBK"/>
          <w:color w:val="auto"/>
          <w:kern w:val="0"/>
          <w:sz w:val="32"/>
          <w:szCs w:val="32"/>
          <w:highlight w:val="none"/>
          <w:lang w:val="en-US" w:eastAsia="zh-CN" w:bidi="en-US"/>
        </w:rPr>
        <w:t>补助经费</w:t>
      </w:r>
      <w:r>
        <w:rPr>
          <w:rFonts w:hint="eastAsia" w:ascii="方正仿宋_GBK" w:hAnsi="方正仿宋_GBK" w:eastAsia="方正仿宋_GBK" w:cs="方正仿宋_GBK"/>
          <w:color w:val="auto"/>
          <w:sz w:val="32"/>
          <w:szCs w:val="32"/>
          <w:highlight w:val="none"/>
          <w:lang w:val="en-US" w:eastAsia="zh-CN"/>
        </w:rPr>
        <w:t>项目资金总额为4.32万元，按照每人327.27元/人的标准发放给132名辅助调查员和记账户，总共发4.32万元，完成该项目。</w:t>
      </w:r>
    </w:p>
    <w:p>
      <w:p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contextualSpacing/>
        <w:rPr>
          <w:rFonts w:hint="default"/>
          <w:b/>
          <w:bCs w:val="0"/>
          <w:color w:val="auto"/>
          <w:sz w:val="32"/>
          <w:szCs w:val="32"/>
          <w:highlight w:val="yellow"/>
          <w:lang w:val="en-US" w:eastAsia="zh-CN"/>
        </w:rPr>
      </w:pPr>
      <w:r>
        <w:rPr>
          <w:rFonts w:hint="eastAsia" w:ascii="方正仿宋_GBK" w:hAnsi="方正仿宋_GBK" w:eastAsia="方正仿宋_GBK" w:cs="方正仿宋_GBK"/>
          <w:b/>
          <w:bCs w:val="0"/>
          <w:color w:val="auto"/>
          <w:sz w:val="32"/>
          <w:szCs w:val="32"/>
          <w:highlight w:val="none"/>
          <w:lang w:val="en-US" w:eastAsia="zh-CN"/>
        </w:rPr>
        <w:t>实施情况：</w:t>
      </w:r>
      <w:r>
        <w:rPr>
          <w:rFonts w:hint="eastAsia" w:ascii="仿宋_GB2312" w:hAnsi="仿宋_GB2312" w:cs="仿宋_GB2312"/>
          <w:bCs/>
          <w:color w:val="auto"/>
          <w:sz w:val="32"/>
        </w:rPr>
        <w:t>该项目经财经工作领导小组会议决定，由伽师县统计局实施，截止2022年12月31日，已完成支付4.32万元，</w:t>
      </w:r>
      <w:r>
        <w:rPr>
          <w:rFonts w:hint="eastAsia" w:ascii="仿宋_GB2312" w:hAnsi="仿宋_GB2312" w:cs="仿宋_GB2312"/>
          <w:bCs/>
          <w:color w:val="auto"/>
          <w:sz w:val="32"/>
          <w:szCs w:val="32"/>
        </w:rPr>
        <w:t>按照每人327.27元/人的标准发放给132名辅助调查员和记账户，总共发4.32万元</w:t>
      </w:r>
      <w:r>
        <w:rPr>
          <w:rFonts w:hint="eastAsia" w:ascii="仿宋_GB2312" w:hAnsi="仿宋_GB2312" w:cs="仿宋_GB2312"/>
          <w:bCs/>
          <w:color w:val="auto"/>
          <w:sz w:val="32"/>
        </w:rPr>
        <w:t>，项目实施后有效</w:t>
      </w:r>
      <w:r>
        <w:rPr>
          <w:rFonts w:hint="eastAsia" w:ascii="仿宋_GB2312" w:hAnsi="仿宋_GB2312" w:cs="仿宋_GB2312"/>
          <w:color w:val="auto"/>
          <w:sz w:val="32"/>
          <w:szCs w:val="32"/>
        </w:rPr>
        <w:t>提高</w:t>
      </w:r>
      <w:r>
        <w:rPr>
          <w:rFonts w:hint="eastAsia" w:ascii="仿宋_GB2312" w:hAnsi="仿宋_GB2312" w:cs="仿宋_GB2312"/>
          <w:color w:val="auto"/>
          <w:sz w:val="32"/>
        </w:rPr>
        <w:t>了</w:t>
      </w:r>
      <w:r>
        <w:rPr>
          <w:rFonts w:hint="eastAsia" w:ascii="仿宋_GB2312" w:hAnsi="仿宋_GB2312" w:cs="仿宋_GB2312"/>
          <w:color w:val="auto"/>
          <w:sz w:val="32"/>
          <w:szCs w:val="32"/>
        </w:rPr>
        <w:t>辅助调查员和记账户工作积极性</w:t>
      </w:r>
      <w:r>
        <w:rPr>
          <w:rFonts w:hint="eastAsia" w:ascii="仿宋_GB2312" w:hAnsi="仿宋_GB2312" w:cs="仿宋_GB2312"/>
          <w:color w:val="auto"/>
          <w:sz w:val="32"/>
        </w:rPr>
        <w:t>，</w:t>
      </w:r>
      <w:r>
        <w:rPr>
          <w:rFonts w:hint="eastAsia" w:ascii="仿宋_GB2312" w:hAnsi="仿宋_GB2312" w:cs="仿宋_GB2312"/>
          <w:color w:val="auto"/>
          <w:sz w:val="32"/>
          <w:szCs w:val="32"/>
        </w:rPr>
        <w:t>提供了贫困监测数据。</w:t>
      </w:r>
    </w:p>
    <w:p>
      <w:pPr>
        <w:keepNext w:val="0"/>
        <w:keepLines w:val="0"/>
        <w:pageBreakBefore w:val="0"/>
        <w:widowControl w:val="0"/>
        <w:numPr>
          <w:ilvl w:val="0"/>
          <w:numId w:val="2"/>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方正仿宋_GBK" w:hAnsi="方正仿宋_GBK" w:eastAsia="方正仿宋_GBK" w:cs="方正仿宋_GBK"/>
          <w:b/>
          <w:bCs/>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项目实施主体</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textAlignment w:val="auto"/>
        <w:rPr>
          <w:rStyle w:val="10"/>
          <w:rFonts w:hint="eastAsia" w:ascii="方正仿宋_GBK" w:hAnsi="方正仿宋_GBK" w:eastAsia="方正仿宋_GBK" w:cs="方正仿宋_GBK"/>
          <w:b w:val="0"/>
          <w:bCs/>
          <w:color w:val="auto"/>
          <w:sz w:val="32"/>
          <w:szCs w:val="32"/>
          <w:lang w:val="en-US" w:eastAsia="zh-CN" w:bidi="ar"/>
        </w:rPr>
      </w:pPr>
      <w:r>
        <w:rPr>
          <w:rStyle w:val="10"/>
          <w:rFonts w:hint="eastAsia" w:ascii="方正仿宋_GBK" w:hAnsi="方正仿宋_GBK" w:eastAsia="方正仿宋_GBK" w:cs="方正仿宋_GBK"/>
          <w:b/>
          <w:bCs w:val="0"/>
          <w:color w:val="auto"/>
          <w:sz w:val="32"/>
          <w:szCs w:val="32"/>
          <w:lang w:val="en-US" w:eastAsia="zh-CN" w:bidi="ar"/>
        </w:rPr>
        <w:t>实施主体：</w:t>
      </w:r>
      <w:r>
        <w:rPr>
          <w:rStyle w:val="10"/>
          <w:rFonts w:hint="eastAsia" w:ascii="方正仿宋_GBK" w:hAnsi="方正仿宋_GBK" w:eastAsia="方正仿宋_GBK" w:cs="方正仿宋_GBK"/>
          <w:b w:val="0"/>
          <w:bCs/>
          <w:color w:val="auto"/>
          <w:sz w:val="32"/>
          <w:szCs w:val="32"/>
          <w:lang w:val="en-US" w:eastAsia="zh-CN" w:bidi="ar"/>
        </w:rPr>
        <w:t>伽师县统计局</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textAlignment w:val="auto"/>
        <w:rPr>
          <w:rStyle w:val="10"/>
          <w:rFonts w:hint="eastAsia" w:ascii="方正仿宋_GBK" w:hAnsi="方正仿宋_GBK" w:eastAsia="方正仿宋_GBK" w:cs="方正仿宋_GBK"/>
          <w:b w:val="0"/>
          <w:bCs/>
          <w:color w:val="auto"/>
          <w:sz w:val="32"/>
          <w:szCs w:val="32"/>
          <w:lang w:val="en-US" w:eastAsia="zh-CN" w:bidi="ar"/>
        </w:rPr>
      </w:pPr>
      <w:r>
        <w:rPr>
          <w:rStyle w:val="10"/>
          <w:rFonts w:hint="eastAsia" w:ascii="方正仿宋_GBK" w:hAnsi="方正仿宋_GBK" w:eastAsia="方正仿宋_GBK" w:cs="方正仿宋_GBK"/>
          <w:b/>
          <w:bCs w:val="0"/>
          <w:color w:val="auto"/>
          <w:sz w:val="32"/>
          <w:szCs w:val="32"/>
          <w:lang w:val="en-US" w:eastAsia="zh-CN" w:bidi="ar"/>
        </w:rPr>
        <w:t>实施时间：</w:t>
      </w:r>
      <w:r>
        <w:rPr>
          <w:rStyle w:val="10"/>
          <w:rFonts w:hint="eastAsia" w:ascii="方正仿宋_GBK" w:hAnsi="方正仿宋_GBK" w:eastAsia="方正仿宋_GBK" w:cs="方正仿宋_GBK"/>
          <w:b w:val="0"/>
          <w:bCs/>
          <w:color w:val="auto"/>
          <w:sz w:val="32"/>
          <w:szCs w:val="32"/>
          <w:lang w:val="en-US" w:eastAsia="zh-CN" w:bidi="ar"/>
        </w:rPr>
        <w:t>2022年1月-12月</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Style w:val="10"/>
          <w:rFonts w:hint="eastAsia" w:ascii="方正仿宋_GBK" w:hAnsi="方正仿宋_GBK" w:eastAsia="方正仿宋_GBK" w:cs="方正仿宋_GBK"/>
          <w:b/>
          <w:bCs w:val="0"/>
          <w:color w:val="auto"/>
          <w:sz w:val="32"/>
          <w:szCs w:val="32"/>
          <w:lang w:val="en-US" w:eastAsia="zh-CN" w:bidi="ar"/>
        </w:rPr>
        <w:t>实施主体情况:</w:t>
      </w:r>
      <w:r>
        <w:rPr>
          <w:rStyle w:val="10"/>
          <w:rFonts w:hint="eastAsia" w:ascii="方正仿宋_GBK" w:hAnsi="方正仿宋_GBK" w:eastAsia="方正仿宋_GBK" w:cs="方正仿宋_GBK"/>
          <w:b w:val="0"/>
          <w:bCs/>
          <w:color w:val="auto"/>
          <w:sz w:val="32"/>
          <w:szCs w:val="32"/>
          <w:lang w:val="en-US" w:eastAsia="zh-CN" w:bidi="ar"/>
        </w:rPr>
        <w:t xml:space="preserve"> 伽师县统计局是财政全额拨款的行政单位，编制人数11人</w:t>
      </w:r>
      <w:r>
        <w:rPr>
          <w:rStyle w:val="10"/>
          <w:rFonts w:hint="eastAsia" w:ascii="方正仿宋_GBK" w:hAnsi="方正仿宋_GBK" w:eastAsia="方正仿宋_GBK" w:cs="方正仿宋_GBK"/>
          <w:b w:val="0"/>
          <w:bCs/>
          <w:color w:val="auto"/>
          <w:sz w:val="32"/>
          <w:szCs w:val="32"/>
          <w:lang w:bidi="ar"/>
        </w:rPr>
        <w:t>，其中：行政编制</w:t>
      </w:r>
      <w:r>
        <w:rPr>
          <w:rStyle w:val="10"/>
          <w:rFonts w:hint="eastAsia" w:ascii="方正仿宋_GBK" w:hAnsi="方正仿宋_GBK" w:eastAsia="方正仿宋_GBK" w:cs="方正仿宋_GBK"/>
          <w:b w:val="0"/>
          <w:bCs/>
          <w:color w:val="auto"/>
          <w:sz w:val="32"/>
          <w:szCs w:val="32"/>
          <w:lang w:val="en-US" w:eastAsia="zh-CN" w:bidi="ar"/>
        </w:rPr>
        <w:t>7人</w:t>
      </w:r>
      <w:r>
        <w:rPr>
          <w:rStyle w:val="10"/>
          <w:rFonts w:hint="eastAsia" w:ascii="方正仿宋_GBK" w:hAnsi="方正仿宋_GBK" w:eastAsia="方正仿宋_GBK" w:cs="方正仿宋_GBK"/>
          <w:b w:val="0"/>
          <w:bCs/>
          <w:color w:val="auto"/>
          <w:sz w:val="32"/>
          <w:szCs w:val="32"/>
          <w:lang w:bidi="ar"/>
        </w:rPr>
        <w:t>，事业编制</w:t>
      </w:r>
      <w:r>
        <w:rPr>
          <w:rStyle w:val="10"/>
          <w:rFonts w:hint="eastAsia" w:ascii="方正仿宋_GBK" w:hAnsi="方正仿宋_GBK" w:eastAsia="方正仿宋_GBK" w:cs="方正仿宋_GBK"/>
          <w:b w:val="0"/>
          <w:bCs/>
          <w:color w:val="auto"/>
          <w:sz w:val="32"/>
          <w:szCs w:val="32"/>
          <w:lang w:val="en-US" w:eastAsia="zh-CN" w:bidi="ar"/>
        </w:rPr>
        <w:t>3人，工勤编制1人</w:t>
      </w:r>
      <w:r>
        <w:rPr>
          <w:rStyle w:val="10"/>
          <w:rFonts w:hint="eastAsia" w:ascii="方正仿宋_GBK" w:hAnsi="方正仿宋_GBK" w:eastAsia="方正仿宋_GBK" w:cs="方正仿宋_GBK"/>
          <w:b w:val="0"/>
          <w:bCs/>
          <w:color w:val="auto"/>
          <w:sz w:val="32"/>
          <w:szCs w:val="32"/>
          <w:lang w:bidi="ar"/>
        </w:rPr>
        <w:t>。实有</w:t>
      </w:r>
      <w:r>
        <w:rPr>
          <w:rStyle w:val="10"/>
          <w:rFonts w:hint="eastAsia" w:ascii="方正仿宋_GBK" w:hAnsi="方正仿宋_GBK" w:eastAsia="方正仿宋_GBK" w:cs="方正仿宋_GBK"/>
          <w:b w:val="0"/>
          <w:bCs/>
          <w:color w:val="auto"/>
          <w:sz w:val="32"/>
          <w:szCs w:val="32"/>
          <w:lang w:eastAsia="zh-CN" w:bidi="ar"/>
        </w:rPr>
        <w:t>在职</w:t>
      </w:r>
      <w:r>
        <w:rPr>
          <w:rStyle w:val="10"/>
          <w:rFonts w:hint="eastAsia" w:ascii="方正仿宋_GBK" w:hAnsi="方正仿宋_GBK" w:eastAsia="方正仿宋_GBK" w:cs="方正仿宋_GBK"/>
          <w:b w:val="0"/>
          <w:bCs/>
          <w:color w:val="auto"/>
          <w:sz w:val="32"/>
          <w:szCs w:val="32"/>
          <w:lang w:bidi="ar"/>
        </w:rPr>
        <w:t>人</w:t>
      </w:r>
      <w:r>
        <w:rPr>
          <w:rStyle w:val="10"/>
          <w:rFonts w:hint="eastAsia" w:ascii="方正仿宋_GBK" w:hAnsi="方正仿宋_GBK" w:eastAsia="方正仿宋_GBK" w:cs="方正仿宋_GBK"/>
          <w:b w:val="0"/>
          <w:bCs/>
          <w:color w:val="auto"/>
          <w:sz w:val="32"/>
          <w:szCs w:val="32"/>
          <w:lang w:eastAsia="zh-CN" w:bidi="ar"/>
        </w:rPr>
        <w:t>数</w:t>
      </w:r>
      <w:r>
        <w:rPr>
          <w:rStyle w:val="10"/>
          <w:rFonts w:hint="eastAsia" w:ascii="方正仿宋_GBK" w:hAnsi="方正仿宋_GBK" w:eastAsia="方正仿宋_GBK" w:cs="方正仿宋_GBK"/>
          <w:b w:val="0"/>
          <w:bCs/>
          <w:color w:val="auto"/>
          <w:sz w:val="32"/>
          <w:szCs w:val="32"/>
          <w:lang w:val="en-US" w:eastAsia="zh-CN" w:bidi="ar"/>
        </w:rPr>
        <w:t>9</w:t>
      </w:r>
      <w:r>
        <w:rPr>
          <w:rStyle w:val="10"/>
          <w:rFonts w:hint="eastAsia" w:ascii="方正仿宋_GBK" w:hAnsi="方正仿宋_GBK" w:eastAsia="方正仿宋_GBK" w:cs="方正仿宋_GBK"/>
          <w:b w:val="0"/>
          <w:bCs/>
          <w:color w:val="auto"/>
          <w:sz w:val="32"/>
          <w:szCs w:val="32"/>
          <w:lang w:bidi="ar"/>
        </w:rPr>
        <w:t>人</w:t>
      </w:r>
      <w:r>
        <w:rPr>
          <w:rStyle w:val="10"/>
          <w:rFonts w:hint="eastAsia" w:ascii="方正仿宋_GBK" w:hAnsi="方正仿宋_GBK" w:eastAsia="方正仿宋_GBK" w:cs="方正仿宋_GBK"/>
          <w:b w:val="0"/>
          <w:bCs/>
          <w:color w:val="auto"/>
          <w:sz w:val="32"/>
          <w:szCs w:val="32"/>
          <w:lang w:eastAsia="zh-CN" w:bidi="ar"/>
        </w:rPr>
        <w:t>，其中，行政人数</w:t>
      </w:r>
      <w:r>
        <w:rPr>
          <w:rStyle w:val="10"/>
          <w:rFonts w:hint="eastAsia" w:ascii="方正仿宋_GBK" w:hAnsi="方正仿宋_GBK" w:eastAsia="方正仿宋_GBK" w:cs="方正仿宋_GBK"/>
          <w:b w:val="0"/>
          <w:bCs/>
          <w:color w:val="auto"/>
          <w:sz w:val="32"/>
          <w:szCs w:val="32"/>
          <w:lang w:val="en-US" w:eastAsia="zh-CN" w:bidi="ar"/>
        </w:rPr>
        <w:t>6人，</w:t>
      </w:r>
      <w:r>
        <w:rPr>
          <w:rStyle w:val="10"/>
          <w:rFonts w:hint="eastAsia" w:ascii="方正仿宋_GBK" w:hAnsi="方正仿宋_GBK" w:eastAsia="方正仿宋_GBK" w:cs="方正仿宋_GBK"/>
          <w:b w:val="0"/>
          <w:bCs/>
          <w:color w:val="auto"/>
          <w:sz w:val="32"/>
          <w:szCs w:val="32"/>
          <w:lang w:bidi="ar"/>
        </w:rPr>
        <w:t>事业</w:t>
      </w:r>
      <w:r>
        <w:rPr>
          <w:rStyle w:val="10"/>
          <w:rFonts w:hint="eastAsia" w:ascii="方正仿宋_GBK" w:hAnsi="方正仿宋_GBK" w:eastAsia="方正仿宋_GBK" w:cs="方正仿宋_GBK"/>
          <w:b w:val="0"/>
          <w:bCs/>
          <w:color w:val="auto"/>
          <w:sz w:val="32"/>
          <w:szCs w:val="32"/>
          <w:lang w:eastAsia="zh-CN" w:bidi="ar"/>
        </w:rPr>
        <w:t>人数</w:t>
      </w:r>
      <w:r>
        <w:rPr>
          <w:rStyle w:val="10"/>
          <w:rFonts w:hint="eastAsia" w:ascii="方正仿宋_GBK" w:hAnsi="方正仿宋_GBK" w:eastAsia="方正仿宋_GBK" w:cs="方正仿宋_GBK"/>
          <w:b w:val="0"/>
          <w:bCs/>
          <w:color w:val="auto"/>
          <w:sz w:val="32"/>
          <w:szCs w:val="32"/>
          <w:lang w:val="en-US" w:eastAsia="zh-CN" w:bidi="ar"/>
        </w:rPr>
        <w:t>2人，工勤人数1人。实有在职人员较上年减少2人，其中，1人调出，1人辞职。退休3人。</w:t>
      </w:r>
    </w:p>
    <w:p>
      <w:pPr>
        <w:keepNext w:val="0"/>
        <w:keepLines w:val="0"/>
        <w:pageBreakBefore w:val="0"/>
        <w:widowControl w:val="0"/>
        <w:numPr>
          <w:ilvl w:val="0"/>
          <w:numId w:val="2"/>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资金投入和使用情况</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leftChars="200"/>
        <w:textAlignment w:val="auto"/>
        <w:rPr>
          <w:rFonts w:hint="eastAsia" w:ascii="方正仿宋_GBK" w:hAnsi="方正仿宋_GBK" w:eastAsia="方正仿宋_GBK" w:cs="方正仿宋_GBK"/>
          <w:b/>
          <w:bCs/>
          <w:color w:val="auto"/>
          <w:kern w:val="0"/>
          <w:sz w:val="32"/>
          <w:szCs w:val="32"/>
          <w:lang w:val="en-US" w:eastAsia="zh-CN" w:bidi="ar-SA"/>
        </w:rPr>
      </w:pPr>
      <w:r>
        <w:rPr>
          <w:rFonts w:hint="eastAsia" w:ascii="方正仿宋_GBK" w:hAnsi="方正仿宋_GBK" w:eastAsia="方正仿宋_GBK" w:cs="方正仿宋_GBK"/>
          <w:b/>
          <w:bCs/>
          <w:color w:val="auto"/>
          <w:kern w:val="0"/>
          <w:sz w:val="32"/>
          <w:szCs w:val="32"/>
          <w:lang w:val="en-US" w:eastAsia="zh-CN" w:bidi="ar-SA"/>
        </w:rPr>
        <w:t>（1）项目资金安排落实、总投入等情况分析</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kern w:val="0"/>
          <w:sz w:val="32"/>
          <w:szCs w:val="32"/>
          <w:lang w:val="en-US" w:eastAsia="zh-CN" w:bidi="ar-SA"/>
        </w:rPr>
        <w:t>本项目预算安排总额为4.32万元，为自治区专项资金，</w:t>
      </w:r>
      <w:r>
        <w:rPr>
          <w:rFonts w:hint="eastAsia" w:ascii="方正仿宋_GBK" w:hAnsi="方正仿宋_GBK" w:eastAsia="方正仿宋_GBK" w:cs="方正仿宋_GBK"/>
          <w:color w:val="auto"/>
          <w:sz w:val="32"/>
          <w:szCs w:val="32"/>
          <w:lang w:val="en-US" w:eastAsia="zh-CN"/>
        </w:rPr>
        <w:t>2022年实际到位项目资金4.32万元。</w:t>
      </w:r>
    </w:p>
    <w:p>
      <w:pPr>
        <w:pStyle w:val="11"/>
        <w:pageBreakBefore w:val="0"/>
        <w:kinsoku/>
        <w:wordWrap/>
        <w:topLinePunct w:val="0"/>
        <w:autoSpaceDE/>
        <w:bidi w:val="0"/>
        <w:spacing w:line="560" w:lineRule="exact"/>
        <w:ind w:left="560"/>
        <w:rPr>
          <w:rFonts w:hint="eastAsia" w:ascii="方正仿宋_GBK" w:hAnsi="方正仿宋_GBK" w:eastAsia="方正仿宋_GBK" w:cs="方正仿宋_GBK"/>
          <w:color w:val="auto"/>
          <w:sz w:val="32"/>
          <w:szCs w:val="32"/>
          <w:highlight w:val="none"/>
          <w:lang w:val="en-US" w:eastAsia="zh-CN"/>
        </w:rPr>
      </w:pPr>
      <w:bookmarkStart w:id="2" w:name="_Toc68364659"/>
      <w:r>
        <w:rPr>
          <w:rFonts w:hint="eastAsia" w:ascii="方正仿宋_GBK" w:hAnsi="方正仿宋_GBK" w:eastAsia="方正仿宋_GBK" w:cs="方正仿宋_GBK"/>
          <w:color w:val="auto"/>
          <w:sz w:val="32"/>
          <w:szCs w:val="32"/>
          <w:highlight w:val="none"/>
          <w:lang w:val="en-US" w:eastAsia="zh-CN"/>
        </w:rPr>
        <w:t>（2）项目资金实际使用情况分析</w:t>
      </w:r>
    </w:p>
    <w:p>
      <w:pPr>
        <w:pStyle w:val="11"/>
        <w:pageBreakBefore w:val="0"/>
        <w:kinsoku/>
        <w:wordWrap/>
        <w:topLinePunct w:val="0"/>
        <w:autoSpaceDE/>
        <w:bidi w:val="0"/>
        <w:spacing w:line="560" w:lineRule="exact"/>
        <w:ind w:left="0" w:leftChars="0" w:firstLine="640" w:firstLineChars="200"/>
        <w:rPr>
          <w:rFonts w:hint="eastAsia" w:ascii="方正仿宋_GBK" w:hAnsi="方正仿宋_GBK" w:eastAsia="方正仿宋_GBK" w:cs="方正仿宋_GBK"/>
          <w:b w:val="0"/>
          <w:bCs w:val="0"/>
          <w:color w:val="auto"/>
          <w:kern w:val="0"/>
          <w:sz w:val="32"/>
          <w:szCs w:val="32"/>
          <w:lang w:val="en-US" w:eastAsia="zh-CN" w:bidi="ar-SA"/>
        </w:rPr>
      </w:pPr>
      <w:r>
        <w:rPr>
          <w:rFonts w:hint="eastAsia" w:ascii="方正仿宋_GBK" w:hAnsi="方正仿宋_GBK" w:eastAsia="方正仿宋_GBK" w:cs="方正仿宋_GBK"/>
          <w:b w:val="0"/>
          <w:bCs w:val="0"/>
          <w:color w:val="auto"/>
          <w:kern w:val="0"/>
          <w:sz w:val="32"/>
          <w:szCs w:val="32"/>
          <w:lang w:val="en-US" w:eastAsia="zh-CN" w:bidi="ar-SA"/>
        </w:rPr>
        <w:t>截至2022年12月31日，本项目实际实际支出4.32万元，预算执行率100%。本项目资金主要用于支付：发放132名住户调查人员补贴。</w:t>
      </w:r>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（二）项目绩效目标</w:t>
      </w:r>
      <w:bookmarkEnd w:id="2"/>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项目绩效目标包括项目绩效总目标和阶段性目标。</w:t>
      </w:r>
    </w:p>
    <w:p>
      <w:pPr>
        <w:pStyle w:val="1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1.项目绩效总目标</w:t>
      </w:r>
    </w:p>
    <w:p>
      <w:pPr>
        <w:keepNext w:val="0"/>
        <w:keepLines w:val="0"/>
        <w:pageBreakBefore w:val="0"/>
        <w:widowControl w:val="0"/>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伽师县统计局2022年住户调查补助经费项目依据</w:t>
      </w:r>
      <w:r>
        <w:rPr>
          <w:rFonts w:hint="eastAsia" w:ascii="方正仿宋_GBK" w:hAnsi="方正仿宋_GBK" w:eastAsia="方正仿宋_GBK" w:cs="方正仿宋_GBK"/>
          <w:color w:val="auto"/>
          <w:sz w:val="32"/>
          <w:szCs w:val="32"/>
          <w:highlight w:val="none"/>
          <w:lang w:val="en-US" w:eastAsia="zh-CN"/>
        </w:rPr>
        <w:t>喀地财行【2022】4号、新财行【2021】351号</w:t>
      </w:r>
      <w:r>
        <w:rPr>
          <w:rFonts w:hint="eastAsia" w:ascii="方正仿宋_GBK" w:hAnsi="方正仿宋_GBK" w:eastAsia="方正仿宋_GBK" w:cs="方正仿宋_GBK"/>
          <w:color w:val="auto"/>
          <w:kern w:val="0"/>
          <w:sz w:val="32"/>
          <w:szCs w:val="32"/>
          <w:highlight w:val="none"/>
          <w:lang w:val="en-US" w:eastAsia="zh-CN" w:bidi="ar-SA"/>
        </w:rPr>
        <w:t>文件共安排下达资金4.32万元，按照每人327.27元/人的标准发放给132名辅助调查员和记账户，总共发4.32万元后完成这项工作，以此</w:t>
      </w:r>
      <w:r>
        <w:rPr>
          <w:rFonts w:hint="eastAsia" w:ascii="方正仿宋_GBK" w:hAnsi="方正仿宋_GBK" w:eastAsia="方正仿宋_GBK" w:cs="方正仿宋_GBK"/>
          <w:color w:val="auto"/>
          <w:sz w:val="32"/>
          <w:szCs w:val="32"/>
          <w:highlight w:val="none"/>
          <w:lang w:val="en-US" w:eastAsia="zh-CN"/>
        </w:rPr>
        <w:t>提高辅助调查员和记账户工作积极性，提供贫困监测数据，持续为群众提供政府性公共服务</w:t>
      </w:r>
      <w:r>
        <w:rPr>
          <w:rFonts w:hint="eastAsia" w:ascii="方正仿宋_GBK" w:hAnsi="方正仿宋_GBK" w:eastAsia="方正仿宋_GBK" w:cs="方正仿宋_GBK"/>
          <w:color w:val="auto"/>
          <w:kern w:val="0"/>
          <w:sz w:val="32"/>
          <w:szCs w:val="32"/>
          <w:highlight w:val="none"/>
          <w:lang w:val="en-US" w:eastAsia="zh-CN" w:bidi="ar-SA"/>
        </w:rPr>
        <w:t>。</w:t>
      </w:r>
    </w:p>
    <w:p>
      <w:pPr>
        <w:keepNext w:val="0"/>
        <w:keepLines w:val="0"/>
        <w:pageBreakBefore w:val="0"/>
        <w:widowControl w:val="0"/>
        <w:numPr>
          <w:ilvl w:val="0"/>
          <w:numId w:val="3"/>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lang w:eastAsia="zh-CN"/>
        </w:rPr>
        <w:t>阶段性目标</w:t>
      </w:r>
      <w:bookmarkStart w:id="3" w:name="_Toc68364660"/>
    </w:p>
    <w:p>
      <w:pPr>
        <w:keepNext w:val="0"/>
        <w:keepLines w:val="0"/>
        <w:pageBreakBefore w:val="0"/>
        <w:widowControl w:val="0"/>
        <w:numPr>
          <w:ilvl w:val="0"/>
          <w:numId w:val="4"/>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eastAsia="仿宋_GB2312"/>
          <w:color w:val="auto"/>
          <w:sz w:val="32"/>
          <w:szCs w:val="32"/>
        </w:rPr>
      </w:pPr>
      <w:r>
        <w:rPr>
          <w:rFonts w:hint="eastAsia" w:ascii="方正仿宋_GBK" w:hAnsi="方正仿宋_GBK" w:eastAsia="方正仿宋_GBK" w:cs="方正仿宋_GBK"/>
          <w:b/>
          <w:bCs/>
          <w:color w:val="auto"/>
          <w:sz w:val="32"/>
          <w:szCs w:val="32"/>
        </w:rPr>
        <w:t>前期准备：</w:t>
      </w:r>
      <w:r>
        <w:rPr>
          <w:rFonts w:eastAsia="仿宋_GB2312"/>
          <w:color w:val="auto"/>
          <w:sz w:val="32"/>
          <w:szCs w:val="32"/>
        </w:rPr>
        <w:t>通过制定</w:t>
      </w:r>
      <w:r>
        <w:rPr>
          <w:rFonts w:hint="eastAsia" w:eastAsia="仿宋_GB2312"/>
          <w:color w:val="auto"/>
          <w:sz w:val="32"/>
          <w:szCs w:val="32"/>
        </w:rPr>
        <w:t>伽师县统计局2022年住户调查补助经费项目</w:t>
      </w:r>
      <w:r>
        <w:rPr>
          <w:rFonts w:eastAsia="仿宋_GB2312"/>
          <w:color w:val="auto"/>
          <w:sz w:val="32"/>
          <w:szCs w:val="32"/>
        </w:rPr>
        <w:t>实施方案，经项目负责人审核通过后，有序开展后续工作。</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eastAsia="仿宋_GB2312"/>
          <w:color w:val="auto"/>
          <w:sz w:val="32"/>
          <w:szCs w:val="32"/>
        </w:rPr>
      </w:pPr>
      <w:r>
        <w:rPr>
          <w:rFonts w:hint="eastAsia" w:ascii="方正仿宋_GBK" w:hAnsi="方正仿宋_GBK" w:eastAsia="方正仿宋_GBK" w:cs="方正仿宋_GBK"/>
          <w:b/>
          <w:bCs/>
          <w:color w:val="auto"/>
          <w:sz w:val="32"/>
          <w:szCs w:val="32"/>
        </w:rPr>
        <w:t>（2）组织实施：</w:t>
      </w:r>
      <w:r>
        <w:rPr>
          <w:rFonts w:eastAsia="仿宋_GB2312"/>
          <w:color w:val="auto"/>
          <w:sz w:val="32"/>
          <w:szCs w:val="32"/>
        </w:rPr>
        <w:t>资金一到位，立即根据项目要求实施项目。项目责任人按照项目实施方案要求逐一进行项目部署安排，提高项目质量及效率性。</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lang w:val="en-US" w:eastAsia="zh-CN"/>
        </w:rPr>
        <w:t>3</w:t>
      </w:r>
      <w:r>
        <w:rPr>
          <w:rFonts w:hint="eastAsia" w:ascii="方正仿宋_GBK" w:hAnsi="方正仿宋_GBK" w:eastAsia="方正仿宋_GBK" w:cs="方正仿宋_GBK"/>
          <w:b/>
          <w:bCs/>
          <w:color w:val="auto"/>
          <w:sz w:val="32"/>
          <w:szCs w:val="32"/>
          <w:highlight w:val="none"/>
          <w:lang w:eastAsia="zh-CN"/>
        </w:rPr>
        <w:t>）项目投入：</w:t>
      </w:r>
      <w:r>
        <w:rPr>
          <w:rFonts w:hint="eastAsia" w:ascii="方正仿宋_GBK" w:hAnsi="方正仿宋_GBK" w:eastAsia="方正仿宋_GBK" w:cs="方正仿宋_GBK"/>
          <w:color w:val="auto"/>
          <w:sz w:val="32"/>
          <w:szCs w:val="32"/>
          <w:lang w:eastAsia="zh-CN"/>
        </w:rPr>
        <w:t>本项目预算安排总额为</w:t>
      </w:r>
      <w:r>
        <w:rPr>
          <w:rFonts w:hint="eastAsia" w:ascii="方正仿宋_GBK" w:hAnsi="方正仿宋_GBK" w:eastAsia="方正仿宋_GBK" w:cs="方正仿宋_GBK"/>
          <w:color w:val="auto"/>
          <w:sz w:val="32"/>
          <w:szCs w:val="32"/>
          <w:lang w:val="en-US" w:eastAsia="zh-CN"/>
        </w:rPr>
        <w:t>4.32万</w:t>
      </w:r>
      <w:r>
        <w:rPr>
          <w:rFonts w:hint="eastAsia" w:ascii="方正仿宋_GBK" w:hAnsi="方正仿宋_GBK" w:eastAsia="方正仿宋_GBK" w:cs="方正仿宋_GBK"/>
          <w:color w:val="auto"/>
          <w:sz w:val="32"/>
          <w:szCs w:val="32"/>
          <w:lang w:eastAsia="zh-CN"/>
        </w:rPr>
        <w:t>元，为自治区专项资金。</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4</w:t>
      </w:r>
      <w:r>
        <w:rPr>
          <w:rFonts w:hint="eastAsia" w:ascii="方正仿宋_GBK" w:hAnsi="方正仿宋_GBK" w:eastAsia="方正仿宋_GBK" w:cs="方正仿宋_GBK"/>
          <w:b/>
          <w:bCs/>
          <w:color w:val="auto"/>
          <w:sz w:val="32"/>
          <w:szCs w:val="32"/>
          <w:lang w:eastAsia="zh-CN"/>
        </w:rPr>
        <w:t>）项目产出：</w:t>
      </w:r>
      <w:r>
        <w:rPr>
          <w:rFonts w:hint="eastAsia" w:ascii="方正仿宋_GBK" w:hAnsi="方正仿宋_GBK" w:eastAsia="方正仿宋_GBK" w:cs="方正仿宋_GBK"/>
          <w:color w:val="auto"/>
          <w:sz w:val="32"/>
          <w:szCs w:val="32"/>
          <w:lang w:eastAsia="zh-CN"/>
        </w:rPr>
        <w:t>项目计划对</w:t>
      </w:r>
      <w:r>
        <w:rPr>
          <w:rFonts w:hint="eastAsia" w:ascii="方正仿宋_GBK" w:hAnsi="方正仿宋_GBK" w:eastAsia="方正仿宋_GBK" w:cs="方正仿宋_GBK"/>
          <w:color w:val="auto"/>
          <w:sz w:val="32"/>
          <w:szCs w:val="32"/>
          <w:lang w:val="en-US" w:eastAsia="zh-CN"/>
        </w:rPr>
        <w:t>发放132名住户调查人员补贴，促进各级党委政府和有关部门掌握民生状况，制定民生政策。</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lang w:eastAsia="zh-CN"/>
        </w:rPr>
        <w:t>）项目效果：</w:t>
      </w:r>
      <w:r>
        <w:rPr>
          <w:rFonts w:hint="eastAsia" w:ascii="方正仿宋_GBK" w:hAnsi="方正仿宋_GBK" w:eastAsia="方正仿宋_GBK" w:cs="方正仿宋_GBK"/>
          <w:color w:val="auto"/>
          <w:sz w:val="32"/>
          <w:szCs w:val="32"/>
          <w:lang w:eastAsia="zh-CN"/>
        </w:rPr>
        <w:t>本项目实施后将提高调查员和辅助调查员工作积极性，持续为群众提供政府性公共服务。</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contextualSpacing/>
        <w:textAlignment w:val="auto"/>
        <w:rPr>
          <w:rFonts w:hint="eastAsia" w:ascii="方正黑体_GBK" w:hAnsi="方正黑体_GBK" w:eastAsia="方正黑体_GBK" w:cs="方正黑体_GBK"/>
          <w:b w:val="0"/>
          <w:bCs/>
          <w:color w:val="auto"/>
          <w:sz w:val="32"/>
          <w:szCs w:val="32"/>
          <w:highlight w:val="none"/>
        </w:rPr>
      </w:pPr>
      <w:r>
        <w:rPr>
          <w:rFonts w:hint="eastAsia" w:ascii="方正黑体_GBK" w:hAnsi="方正黑体_GBK" w:eastAsia="方正黑体_GBK" w:cs="方正黑体_GBK"/>
          <w:b w:val="0"/>
          <w:bCs/>
          <w:color w:val="auto"/>
          <w:sz w:val="32"/>
          <w:szCs w:val="32"/>
          <w:highlight w:val="none"/>
        </w:rPr>
        <w:t>二、绩效评价工作开展情况</w:t>
      </w:r>
      <w:bookmarkEnd w:id="3"/>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bookmarkStart w:id="4" w:name="_Toc68364661"/>
      <w:r>
        <w:rPr>
          <w:rFonts w:hint="eastAsia" w:ascii="方正楷体_GBK" w:hAnsi="方正楷体_GBK" w:eastAsia="方正楷体_GBK" w:cs="方正楷体_GBK"/>
          <w:color w:val="auto"/>
          <w:sz w:val="32"/>
          <w:highlight w:val="none"/>
        </w:rPr>
        <w:t>（一）绩效评价目的、对象和范围</w:t>
      </w:r>
      <w:bookmarkEnd w:id="4"/>
    </w:p>
    <w:p>
      <w:pPr>
        <w:pStyle w:val="1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 绩效评价目的</w:t>
      </w:r>
    </w:p>
    <w:p>
      <w:pPr>
        <w:pStyle w:val="12"/>
        <w:pageBreakBefore w:val="0"/>
        <w:kinsoku/>
        <w:wordWrap/>
        <w:topLinePunct w:val="0"/>
        <w:autoSpaceDE/>
        <w:autoSpaceDN/>
        <w:bidi w:val="0"/>
        <w:spacing w:line="560" w:lineRule="exact"/>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本次绩效评价遵循财政部《项目支出绩效评价管理办法》（财预〔2020〕10号）和自治区财政厅《自治区财政支出绩效评价管理暂行办法》（新财预〔2018〕189号）等相关政策文件与规定，我单位针对</w:t>
      </w:r>
      <w:r>
        <w:rPr>
          <w:rFonts w:hint="eastAsia" w:ascii="方正仿宋_GBK" w:hAnsi="方正仿宋_GBK" w:eastAsia="方正仿宋_GBK" w:cs="方正仿宋_GBK"/>
          <w:color w:val="auto"/>
          <w:sz w:val="32"/>
          <w:szCs w:val="32"/>
          <w:lang w:eastAsia="zh-CN"/>
        </w:rPr>
        <w:t>伽师县统计局2022年住户调查补助经费项目</w:t>
      </w:r>
      <w:r>
        <w:rPr>
          <w:rFonts w:hint="eastAsia" w:ascii="方正仿宋_GBK" w:hAnsi="方正仿宋_GBK" w:eastAsia="方正仿宋_GBK" w:cs="方正仿宋_GBK"/>
          <w:color w:val="auto"/>
          <w:sz w:val="32"/>
          <w:szCs w:val="32"/>
        </w:rPr>
        <w:t>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12"/>
        <w:pageBreakBefore w:val="0"/>
        <w:kinsoku/>
        <w:wordWrap/>
        <w:topLinePunct w:val="0"/>
        <w:autoSpaceDE/>
        <w:autoSpaceDN/>
        <w:bidi w:val="0"/>
        <w:spacing w:line="560" w:lineRule="exact"/>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12"/>
        <w:pageBreakBefore w:val="0"/>
        <w:kinsoku/>
        <w:wordWrap/>
        <w:topLinePunct w:val="0"/>
        <w:autoSpaceDE/>
        <w:autoSpaceDN/>
        <w:bidi w:val="0"/>
        <w:spacing w:line="560" w:lineRule="exact"/>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12"/>
        <w:pageBreakBefore w:val="0"/>
        <w:kinsoku/>
        <w:wordWrap/>
        <w:topLinePunct w:val="0"/>
        <w:autoSpaceDE/>
        <w:autoSpaceDN/>
        <w:bidi w:val="0"/>
        <w:spacing w:line="560" w:lineRule="exact"/>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12"/>
        <w:pageBreakBefore w:val="0"/>
        <w:kinsoku/>
        <w:wordWrap/>
        <w:topLinePunct w:val="0"/>
        <w:autoSpaceDE/>
        <w:autoSpaceDN/>
        <w:bidi w:val="0"/>
        <w:spacing w:line="560" w:lineRule="exact"/>
        <w:ind w:left="0" w:leftChars="0" w:firstLine="640" w:firstLineChars="20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12"/>
        <w:pageBreakBefore w:val="0"/>
        <w:kinsoku/>
        <w:wordWrap/>
        <w:topLinePunct w:val="0"/>
        <w:autoSpaceDE/>
        <w:autoSpaceDN/>
        <w:bidi w:val="0"/>
        <w:spacing w:line="560" w:lineRule="exact"/>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 绩效评价对象</w:t>
      </w:r>
    </w:p>
    <w:p>
      <w:pPr>
        <w:pStyle w:val="12"/>
        <w:pageBreakBefore w:val="0"/>
        <w:kinsoku/>
        <w:wordWrap/>
        <w:topLinePunct w:val="0"/>
        <w:autoSpaceDE/>
        <w:autoSpaceDN/>
        <w:bidi w:val="0"/>
        <w:spacing w:line="560" w:lineRule="exact"/>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本次绩效评价遵循财政部《项目支出绩效评价管理办法》（财预〔2020〕10号）和自治区财政厅《自治区财政支出绩效评价管理暂行办法》（新财预〔2018〕189号）等相关政策文件与规定，本次评价对象为</w:t>
      </w:r>
      <w:r>
        <w:rPr>
          <w:rFonts w:hint="eastAsia" w:ascii="方正仿宋_GBK" w:hAnsi="方正仿宋_GBK" w:eastAsia="方正仿宋_GBK" w:cs="方正仿宋_GBK"/>
          <w:color w:val="auto"/>
          <w:sz w:val="32"/>
          <w:szCs w:val="32"/>
          <w:lang w:eastAsia="zh-CN"/>
        </w:rPr>
        <w:t>伽师县统计局2022年住户调查补助经费项目</w:t>
      </w:r>
      <w:r>
        <w:rPr>
          <w:rFonts w:hint="eastAsia" w:ascii="方正仿宋_GBK" w:hAnsi="方正仿宋_GBK" w:eastAsia="方正仿宋_GBK" w:cs="方正仿宋_GBK"/>
          <w:color w:val="auto"/>
          <w:sz w:val="32"/>
          <w:szCs w:val="32"/>
        </w:rPr>
        <w:t>，以项目支出为对象所对应的预算资金，以项目实施所带来的产出和效果为主要内容，以促进预算单位完成特定工作任务目标所组织开展的绩效评价。</w:t>
      </w:r>
    </w:p>
    <w:p>
      <w:pPr>
        <w:pStyle w:val="1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3. 绩效评价范围</w:t>
      </w:r>
    </w:p>
    <w:p>
      <w:pPr>
        <w:pStyle w:val="12"/>
        <w:pageBreakBefore w:val="0"/>
        <w:kinsoku/>
        <w:wordWrap/>
        <w:topLinePunct w:val="0"/>
        <w:autoSpaceDE/>
        <w:autoSpaceDN/>
        <w:bidi w:val="0"/>
        <w:spacing w:line="560" w:lineRule="exact"/>
        <w:ind w:firstLine="56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本次评价范围涵盖项目总体绩效目标、各项绩效指标完成情况以及预算执行情况。</w:t>
      </w:r>
      <w:bookmarkStart w:id="5" w:name="_Toc68364662"/>
      <w:r>
        <w:rPr>
          <w:rFonts w:hint="eastAsia" w:ascii="方正仿宋_GBK" w:hAnsi="方正仿宋_GBK" w:eastAsia="方正仿宋_GBK" w:cs="方正仿宋_GBK"/>
          <w:color w:val="auto"/>
          <w:sz w:val="32"/>
          <w:szCs w:val="32"/>
        </w:rPr>
        <w:t>覆盖项目预算资金支出的所有内容进行评价。包括项目决策、项目实施和项目成果验收流程等。</w:t>
      </w:r>
    </w:p>
    <w:p>
      <w:pPr>
        <w:pStyle w:val="11"/>
        <w:keepNext/>
        <w:keepLines/>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楷体_GBK" w:hAnsi="方正楷体_GBK" w:eastAsia="方正楷体_GBK" w:cs="方正楷体_GBK"/>
          <w:b/>
          <w:bCs/>
          <w:color w:val="auto"/>
          <w:sz w:val="32"/>
        </w:rPr>
      </w:pPr>
      <w:r>
        <w:rPr>
          <w:rFonts w:hint="eastAsia" w:ascii="方正楷体_GBK" w:hAnsi="方正楷体_GBK" w:eastAsia="方正楷体_GBK" w:cs="方正楷体_GBK"/>
          <w:b/>
          <w:bCs/>
          <w:color w:val="auto"/>
          <w:sz w:val="32"/>
        </w:rPr>
        <w:t>（二）绩效评价原则、评价指标体系、评价方法评价标准</w:t>
      </w:r>
      <w:bookmarkEnd w:id="5"/>
    </w:p>
    <w:p>
      <w:pPr>
        <w:pStyle w:val="12"/>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 绩效评价原则</w:t>
      </w:r>
    </w:p>
    <w:p>
      <w:pPr>
        <w:pStyle w:val="12"/>
        <w:pageBreakBefore w:val="0"/>
        <w:kinsoku/>
        <w:wordWrap/>
        <w:topLinePunct w:val="0"/>
        <w:autoSpaceDE/>
        <w:autoSpaceDN/>
        <w:bidi w:val="0"/>
        <w:spacing w:line="560" w:lineRule="exac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本次绩效评价遵循的原则包括：</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（1）科学公正。</w:t>
      </w:r>
      <w:r>
        <w:rPr>
          <w:rFonts w:hint="eastAsia" w:ascii="方正仿宋_GBK" w:hAnsi="方正仿宋_GBK" w:eastAsia="方正仿宋_GBK" w:cs="方正仿宋_GBK"/>
          <w:color w:val="auto"/>
          <w:sz w:val="32"/>
          <w:szCs w:val="32"/>
        </w:rPr>
        <w:t>绩效评价应当运用科学合理的方法，按照规范的程序，对项目绩效进行客观、公正的反映。</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（2）统筹兼顾。</w:t>
      </w:r>
      <w:r>
        <w:rPr>
          <w:rFonts w:hint="eastAsia" w:ascii="方正仿宋_GBK" w:hAnsi="方正仿宋_GBK" w:eastAsia="方正仿宋_GBK" w:cs="方正仿宋_GBK"/>
          <w:color w:val="auto"/>
          <w:sz w:val="32"/>
          <w:szCs w:val="32"/>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（3）激励约束。</w:t>
      </w:r>
      <w:r>
        <w:rPr>
          <w:rFonts w:hint="eastAsia" w:ascii="方正仿宋_GBK" w:hAnsi="方正仿宋_GBK" w:eastAsia="方正仿宋_GBK" w:cs="方正仿宋_GBK"/>
          <w:color w:val="auto"/>
          <w:sz w:val="32"/>
          <w:szCs w:val="32"/>
        </w:rPr>
        <w:t>绩效评价结果应与预算安排、政策调整、改进管理实质性挂钩，体现奖优罚劣和激励相容导向，有效要安排、低效要压减、无效要问责。</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（4）公开透明。</w:t>
      </w:r>
      <w:r>
        <w:rPr>
          <w:rFonts w:hint="eastAsia" w:ascii="方正仿宋_GBK" w:hAnsi="方正仿宋_GBK" w:eastAsia="方正仿宋_GBK" w:cs="方正仿宋_GBK"/>
          <w:color w:val="auto"/>
          <w:sz w:val="32"/>
          <w:szCs w:val="32"/>
        </w:rPr>
        <w:t>绩效评价结果应依法依规公开，并自觉接受社会监督。</w:t>
      </w:r>
    </w:p>
    <w:p>
      <w:pPr>
        <w:pStyle w:val="1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 绩效评价指标体系</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绩效评价指标体系根据</w:t>
      </w:r>
      <w:r>
        <w:rPr>
          <w:rFonts w:hint="eastAsia" w:ascii="方正仿宋_GBK" w:hAnsi="方正仿宋_GBK" w:eastAsia="方正仿宋_GBK" w:cs="方正仿宋_GBK"/>
          <w:color w:val="auto"/>
          <w:sz w:val="32"/>
          <w:szCs w:val="32"/>
          <w:lang w:val="en-US" w:eastAsia="zh-CN"/>
        </w:rPr>
        <w:t>《预算绩效评价共性指标体系框架》（财预〔2013〕53号）</w:t>
      </w:r>
      <w:r>
        <w:rPr>
          <w:rFonts w:hint="eastAsia" w:ascii="方正仿宋_GBK" w:hAnsi="方正仿宋_GBK" w:eastAsia="方正仿宋_GBK" w:cs="方正仿宋_GBK"/>
          <w:color w:val="auto"/>
          <w:sz w:val="32"/>
          <w:szCs w:val="32"/>
        </w:rPr>
        <w:t>、《自治区党委 自治区人民政府关于全面实施预算绩效管理的实施意见》（新党发〔2018〕30号）、《关于印发</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项目支出绩效评价管理办法</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的通知》（财预﹝2020﹞10号）等文件精神，结合专项特点，在与专家组、项目充分协商的基础上，评价工作组细化了该项目的绩效评价指标体系（详见附表1）：</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一级指标为：决策、过程、产出、效益。</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二级指标为：项目立项、绩效目标、资金投入、资金管理、组织实施、产出数量、产出质量、产出时效、产出成本、项目效益。</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 绩效评价方法</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我单位根据本项目资金的性质和特点，选用比较法、因素分析法、公众评判法以及文献法对项目进行评价，旨在通过综合分析影响绩效目标实现、实施效果的内外部因素，从而评价本项目绩效。</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项目决策：</w:t>
      </w:r>
      <w:r>
        <w:rPr>
          <w:rFonts w:hint="eastAsia" w:ascii="方正仿宋_GBK" w:hAnsi="方正仿宋_GBK" w:eastAsia="方正仿宋_GBK" w:cs="方正仿宋_GBK"/>
          <w:color w:val="auto"/>
          <w:sz w:val="32"/>
          <w:szCs w:val="32"/>
          <w:lang w:eastAsia="zh-CN"/>
        </w:rPr>
        <w:t>①</w:t>
      </w:r>
      <w:r>
        <w:rPr>
          <w:rFonts w:hint="eastAsia" w:ascii="方正仿宋_GBK" w:hAnsi="方正仿宋_GBK" w:eastAsia="方正仿宋_GBK" w:cs="方正仿宋_GBK"/>
          <w:color w:val="auto"/>
          <w:sz w:val="32"/>
          <w:szCs w:val="32"/>
        </w:rPr>
        <w:t>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Fonts w:hint="eastAsia" w:ascii="方正仿宋_GBK" w:hAnsi="方正仿宋_GBK" w:eastAsia="方正仿宋_GBK" w:cs="方正仿宋_GBK"/>
          <w:color w:val="auto"/>
          <w:sz w:val="32"/>
          <w:szCs w:val="32"/>
        </w:rPr>
        <w:tab/>
      </w:r>
      <w:r>
        <w:rPr>
          <w:rFonts w:hint="eastAsia" w:ascii="方正仿宋_GBK" w:hAnsi="方正仿宋_GBK" w:eastAsia="方正仿宋_GBK" w:cs="方正仿宋_GBK"/>
          <w:color w:val="auto"/>
          <w:sz w:val="32"/>
          <w:szCs w:val="32"/>
        </w:rPr>
        <w:t>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方正仿宋_GBK" w:hAnsi="方正仿宋_GBK" w:eastAsia="方正仿宋_GBK" w:cs="方正仿宋_GBK"/>
          <w:color w:val="auto"/>
          <w:sz w:val="32"/>
          <w:szCs w:val="32"/>
          <w:lang w:eastAsia="zh-CN"/>
        </w:rPr>
        <w:t>。</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项目过程：</w:t>
      </w:r>
      <w:r>
        <w:rPr>
          <w:rFonts w:hint="eastAsia" w:ascii="方正仿宋_GBK" w:hAnsi="方正仿宋_GBK" w:eastAsia="方正仿宋_GBK" w:cs="方正仿宋_GBK"/>
          <w:color w:val="auto"/>
          <w:sz w:val="32"/>
          <w:szCs w:val="32"/>
          <w:lang w:eastAsia="zh-CN"/>
        </w:rPr>
        <w:t>①</w:t>
      </w:r>
      <w:r>
        <w:rPr>
          <w:rFonts w:hint="eastAsia" w:ascii="方正仿宋_GBK" w:hAnsi="方正仿宋_GBK" w:eastAsia="方正仿宋_GBK" w:cs="方正仿宋_GBK"/>
          <w:color w:val="auto"/>
          <w:sz w:val="32"/>
          <w:szCs w:val="32"/>
        </w:rPr>
        <w:t>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项目产出：</w:t>
      </w:r>
      <w:r>
        <w:rPr>
          <w:rFonts w:hint="eastAsia" w:ascii="方正仿宋_GBK" w:hAnsi="方正仿宋_GBK" w:eastAsia="方正仿宋_GBK" w:cs="方正仿宋_GBK"/>
          <w:color w:val="auto"/>
          <w:sz w:val="32"/>
          <w:szCs w:val="32"/>
        </w:rPr>
        <w:t>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方正仿宋_GBK" w:hAnsi="方正仿宋_GBK" w:eastAsia="方正仿宋_GBK" w:cs="方正仿宋_GBK"/>
          <w:color w:val="auto"/>
          <w:sz w:val="32"/>
          <w:szCs w:val="32"/>
          <w:lang w:eastAsia="zh-CN"/>
        </w:rPr>
        <w:t>。</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项目效益：</w:t>
      </w:r>
      <w:r>
        <w:rPr>
          <w:rFonts w:hint="eastAsia" w:ascii="方正仿宋_GBK" w:hAnsi="方正仿宋_GBK" w:eastAsia="方正仿宋_GBK" w:cs="方正仿宋_GBK"/>
          <w:color w:val="auto"/>
          <w:sz w:val="32"/>
          <w:szCs w:val="32"/>
        </w:rPr>
        <w:t>公众评判法</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实地勘察法，通过实地勘察</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问卷及抽样调查等方式评价本项目实施后社会公众或服务对象对项目实施效果的满意程度</w:t>
      </w:r>
      <w:r>
        <w:rPr>
          <w:rFonts w:hint="eastAsia" w:ascii="方正仿宋_GBK" w:hAnsi="方正仿宋_GBK" w:eastAsia="方正仿宋_GBK" w:cs="方正仿宋_GBK"/>
          <w:color w:val="auto"/>
          <w:sz w:val="32"/>
          <w:szCs w:val="32"/>
          <w:lang w:eastAsia="zh-CN"/>
        </w:rPr>
        <w:t>。</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pacing w:line="560" w:lineRule="exact"/>
        <w:ind w:leftChars="200"/>
        <w:contextualSpacing/>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lang w:val="en-US" w:eastAsia="zh-CN"/>
        </w:rPr>
        <w:t>4.</w:t>
      </w:r>
      <w:r>
        <w:rPr>
          <w:rFonts w:hint="eastAsia" w:ascii="方正仿宋_GBK" w:hAnsi="方正仿宋_GBK" w:eastAsia="方正仿宋_GBK" w:cs="方正仿宋_GBK"/>
          <w:b/>
          <w:bCs/>
          <w:color w:val="auto"/>
          <w:sz w:val="32"/>
          <w:szCs w:val="32"/>
          <w:highlight w:val="none"/>
        </w:rPr>
        <w:t>绩效评价标准</w:t>
      </w:r>
      <w:bookmarkStart w:id="6" w:name="_Toc68364663"/>
    </w:p>
    <w:p>
      <w:pPr>
        <w:pStyle w:val="12"/>
        <w:pageBreakBefore w:val="0"/>
        <w:kinsoku/>
        <w:wordWrap/>
        <w:topLinePunct w:val="0"/>
        <w:autoSpaceDE/>
        <w:autoSpaceDN/>
        <w:bidi w:val="0"/>
        <w:adjustRightInd/>
        <w:snapToGrid/>
        <w:spacing w:line="570" w:lineRule="exact"/>
        <w:ind w:firstLine="640"/>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rPr>
        <w:t>绩效评价标准通常包括计划标准、行业标准、历史标准等，用于对绩效指标完成情况进行比较</w:t>
      </w:r>
      <w:r>
        <w:rPr>
          <w:rFonts w:hint="eastAsia" w:ascii="Times New Roman" w:hAnsi="Times New Roman" w:eastAsia="方正仿宋_GBK" w:cs="方正仿宋_GBK"/>
          <w:color w:val="auto"/>
          <w:sz w:val="32"/>
          <w:szCs w:val="32"/>
          <w:highlight w:val="none"/>
          <w:lang w:eastAsia="zh-CN"/>
        </w:rPr>
        <w:t>、分析、评价</w:t>
      </w:r>
      <w:r>
        <w:rPr>
          <w:rFonts w:hint="eastAsia" w:ascii="Times New Roman" w:hAnsi="Times New Roman" w:eastAsia="方正仿宋_GBK" w:cs="方正仿宋_GBK"/>
          <w:color w:val="auto"/>
          <w:sz w:val="32"/>
          <w:szCs w:val="32"/>
          <w:highlight w:val="none"/>
        </w:rPr>
        <w:t>。本次评价主要采用了</w:t>
      </w:r>
      <w:r>
        <w:rPr>
          <w:rFonts w:hint="eastAsia" w:ascii="Times New Roman" w:hAnsi="Times New Roman" w:eastAsia="方正仿宋_GBK" w:cs="方正仿宋_GBK"/>
          <w:color w:val="auto"/>
          <w:sz w:val="32"/>
          <w:szCs w:val="32"/>
          <w:highlight w:val="none"/>
          <w:lang w:val="en-US" w:eastAsia="zh-CN"/>
        </w:rPr>
        <w:t>计划标准</w:t>
      </w:r>
      <w:r>
        <w:rPr>
          <w:rFonts w:hint="eastAsia" w:eastAsia="方正仿宋_GBK" w:cs="方正仿宋_GBK"/>
          <w:color w:val="auto"/>
          <w:sz w:val="32"/>
          <w:szCs w:val="32"/>
          <w:highlight w:val="none"/>
          <w:lang w:val="en-US" w:eastAsia="zh-CN"/>
        </w:rPr>
        <w:t>，以预先制定的目标、计划、预算、定额等作为评价标准，对比分析项目产出、效益的完成情况</w:t>
      </w:r>
      <w:r>
        <w:rPr>
          <w:rFonts w:hint="eastAsia" w:ascii="Times New Roman" w:hAnsi="Times New Roman" w:eastAsia="方正仿宋_GBK" w:cs="方正仿宋_GBK"/>
          <w:color w:val="auto"/>
          <w:sz w:val="32"/>
          <w:szCs w:val="32"/>
          <w:highlight w:val="none"/>
        </w:rPr>
        <w:t>。</w:t>
      </w:r>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（三）绩效评价工作过程</w:t>
      </w:r>
      <w:bookmarkEnd w:id="6"/>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本次评价设计了评价方案、评价指标体系，通过资料分析、调研、访谈满意度调查等方式形成评价结论，在与项目单位沟通后确定评价意见，并出具评价报告。</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第一阶段：前期准备</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202</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年</w:t>
      </w: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月</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eastAsia="zh-CN"/>
        </w:rPr>
        <w:t>）</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认真学习相关要求与规定，成立绩效评价工作组，作为绩效评价工作具体实施机构。成员构成如下：</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姜华任评价组组长，绩效评价工作职责为负责全盘工作。</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胡春玲任评价组副组长，绩效评价工作职责为对项目实施情况进行实地调查。</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姑丽杰乃提、苏莱慢任评价组成员，绩效评价工作职责为负责资料审核等工作。</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bookmarkStart w:id="7" w:name="_Toc68364664"/>
      <w:r>
        <w:rPr>
          <w:rFonts w:hint="eastAsia" w:ascii="方正仿宋_GBK" w:hAnsi="方正仿宋_GBK" w:eastAsia="方正仿宋_GBK" w:cs="方正仿宋_GBK"/>
          <w:color w:val="auto"/>
          <w:spacing w:val="-4"/>
          <w:sz w:val="32"/>
          <w:szCs w:val="32"/>
          <w:highlight w:val="none"/>
          <w:lang w:val="en-US" w:eastAsia="zh-CN"/>
        </w:rPr>
        <w:t>第二阶段：组织实施（2023年1月3日-1月14日）</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经评价组通过实地调研、查阅资料等方式，采用综合分析法对项目的决策、管理、绩效进行的综合评价分析。</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第三阶段：分析评价（2023年1月15日-2月1日）</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首先按照指标体系进行定量、定性分析。其次开展量化打分、综合评价工作，形成初步评价结论。</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第四阶段：撰写与提交评价报告（2023年2月2日-2月10日）</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撰写绩效评价报告，按照新疆维吾尔自治区财政绩效管理信息系统绩效评价模块中统一格式和文本框架撰写绩效评价报告并提交审核。</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最后总结项目整体情况，及时落实问题整改，并形成整改报告，最后将项目相关资料存档。</w:t>
      </w:r>
    </w:p>
    <w:p>
      <w:pPr>
        <w:pStyle w:val="13"/>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color w:val="auto"/>
          <w:highlight w:val="none"/>
        </w:rPr>
      </w:pPr>
      <w:r>
        <w:rPr>
          <w:rFonts w:hint="eastAsia" w:ascii="方正黑体_GBK" w:hAnsi="方正黑体_GBK" w:eastAsia="方正黑体_GBK" w:cs="方正黑体_GBK"/>
          <w:b w:val="0"/>
          <w:bCs/>
          <w:color w:val="auto"/>
          <w:highlight w:val="none"/>
        </w:rPr>
        <w:t>三、综合评价情况及评价结论</w:t>
      </w:r>
      <w:bookmarkEnd w:id="7"/>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bookmarkStart w:id="8" w:name="_Toc68364665"/>
      <w:r>
        <w:rPr>
          <w:rFonts w:hint="eastAsia" w:ascii="方正楷体_GBK" w:hAnsi="方正楷体_GBK" w:eastAsia="方正楷体_GBK" w:cs="方正楷体_GBK"/>
          <w:color w:val="auto"/>
          <w:sz w:val="32"/>
          <w:highlight w:val="none"/>
        </w:rPr>
        <w:t>（一）综合评价情况</w:t>
      </w:r>
      <w:bookmarkEnd w:id="8"/>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bookmarkStart w:id="9" w:name="_Toc68364666"/>
      <w:r>
        <w:rPr>
          <w:rFonts w:hint="eastAsia" w:ascii="方正仿宋_GBK" w:hAnsi="方正仿宋_GBK" w:eastAsia="方正仿宋_GBK" w:cs="方正仿宋_GBK"/>
          <w:color w:val="auto"/>
          <w:sz w:val="32"/>
          <w:szCs w:val="32"/>
          <w:highlight w:val="none"/>
        </w:rPr>
        <w:t>伽</w:t>
      </w:r>
      <w:r>
        <w:rPr>
          <w:rFonts w:hint="eastAsia" w:ascii="方正仿宋_GBK" w:hAnsi="方正仿宋_GBK" w:eastAsia="方正仿宋_GBK" w:cs="方正仿宋_GBK"/>
          <w:color w:val="auto"/>
          <w:sz w:val="32"/>
          <w:szCs w:val="32"/>
        </w:rPr>
        <w:t>经评价组通过实地调研</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综合分析法</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问卷调查法等方式，</w:t>
      </w:r>
      <w:r>
        <w:rPr>
          <w:rFonts w:hint="eastAsia" w:ascii="方正仿宋_GBK" w:hAnsi="方正仿宋_GBK" w:eastAsia="方正仿宋_GBK" w:cs="方正仿宋_GBK"/>
          <w:color w:val="auto"/>
          <w:sz w:val="32"/>
          <w:szCs w:val="32"/>
          <w:lang w:val="en-US" w:eastAsia="zh-CN"/>
        </w:rPr>
        <w:t>主要</w:t>
      </w:r>
      <w:r>
        <w:rPr>
          <w:rFonts w:hint="eastAsia" w:ascii="方正仿宋_GBK" w:hAnsi="方正仿宋_GBK" w:eastAsia="方正仿宋_GBK" w:cs="方正仿宋_GBK"/>
          <w:color w:val="auto"/>
          <w:sz w:val="32"/>
          <w:szCs w:val="32"/>
          <w:highlight w:val="none"/>
        </w:rPr>
        <w:t>采用综合分析法</w:t>
      </w:r>
      <w:r>
        <w:rPr>
          <w:rFonts w:hint="eastAsia" w:ascii="方正仿宋_GBK" w:hAnsi="方正仿宋_GBK" w:eastAsia="方正仿宋_GBK" w:cs="方正仿宋_GBK"/>
          <w:color w:val="auto"/>
          <w:sz w:val="32"/>
          <w:szCs w:val="32"/>
        </w:rPr>
        <w:t>对项目的决策、实施、产出、效益进行综合评价分析，最终评分</w:t>
      </w:r>
      <w:r>
        <w:rPr>
          <w:rFonts w:hint="eastAsia" w:ascii="方正仿宋_GBK" w:hAnsi="方正仿宋_GBK" w:eastAsia="方正仿宋_GBK" w:cs="方正仿宋_GBK"/>
          <w:color w:val="auto"/>
          <w:sz w:val="32"/>
          <w:szCs w:val="32"/>
          <w:lang w:val="en-US" w:eastAsia="zh-CN"/>
        </w:rPr>
        <w:t>100</w:t>
      </w:r>
      <w:r>
        <w:rPr>
          <w:rFonts w:hint="eastAsia" w:ascii="方正仿宋_GBK" w:hAnsi="方正仿宋_GBK" w:eastAsia="方正仿宋_GBK" w:cs="方正仿宋_GBK"/>
          <w:color w:val="auto"/>
          <w:sz w:val="32"/>
          <w:szCs w:val="32"/>
        </w:rPr>
        <w:t>分。</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eastAsia="zh-CN"/>
        </w:rPr>
        <w:t>伽师县伽师县统计局2022年住户调查补助经费项目</w:t>
      </w:r>
      <w:r>
        <w:rPr>
          <w:rFonts w:hint="eastAsia" w:ascii="方正仿宋_GBK" w:hAnsi="方正仿宋_GBK" w:eastAsia="方正仿宋_GBK" w:cs="方正仿宋_GBK"/>
          <w:color w:val="auto"/>
          <w:sz w:val="32"/>
          <w:szCs w:val="32"/>
          <w:highlight w:val="none"/>
        </w:rPr>
        <w:t>总体组织规范，发放</w:t>
      </w:r>
      <w:r>
        <w:rPr>
          <w:rFonts w:hint="eastAsia" w:ascii="方正仿宋_GBK" w:hAnsi="方正仿宋_GBK" w:eastAsia="方正仿宋_GBK" w:cs="方正仿宋_GBK"/>
          <w:color w:val="auto"/>
          <w:sz w:val="32"/>
          <w:szCs w:val="32"/>
          <w:highlight w:val="none"/>
          <w:lang w:eastAsia="zh-CN"/>
        </w:rPr>
        <w:t>132名住户</w:t>
      </w:r>
      <w:r>
        <w:rPr>
          <w:rFonts w:hint="eastAsia" w:ascii="方正仿宋_GBK" w:hAnsi="方正仿宋_GBK" w:eastAsia="方正仿宋_GBK" w:cs="方正仿宋_GBK"/>
          <w:color w:val="auto"/>
          <w:sz w:val="32"/>
          <w:szCs w:val="32"/>
          <w:highlight w:val="none"/>
        </w:rPr>
        <w:t>调查人员补贴，促进各级党委政府和有关部门掌握民生状况，制定民生政策。</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项目决策方面</w:t>
      </w:r>
      <w:r>
        <w:rPr>
          <w:rFonts w:hint="eastAsia" w:ascii="方正仿宋_GBK" w:hAnsi="方正仿宋_GBK" w:eastAsia="方正仿宋_GBK" w:cs="方正仿宋_GBK"/>
          <w:b/>
          <w:bCs/>
          <w:color w:val="auto"/>
          <w:sz w:val="32"/>
          <w:szCs w:val="32"/>
          <w:highlight w:val="none"/>
          <w:lang w:val="en-US" w:eastAsia="zh-CN"/>
        </w:rPr>
        <w:t xml:space="preserve">: </w:t>
      </w:r>
      <w:r>
        <w:rPr>
          <w:rFonts w:hint="eastAsia" w:ascii="方正仿宋_GBK" w:hAnsi="方正仿宋_GBK" w:eastAsia="方正仿宋_GBK" w:cs="方正仿宋_GBK"/>
          <w:color w:val="auto"/>
          <w:sz w:val="32"/>
          <w:szCs w:val="32"/>
          <w:highlight w:val="none"/>
        </w:rPr>
        <w:t>本项目的立项符合相关法规政策及部门职责，依据充分；项目按照规定的程序申请设立；审批文件、材料符合相关要求；项目前期已经过必要的可行性研究、专家论证、风险评估、绩效评估、集体决策。</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项目管理方面</w:t>
      </w:r>
      <w:r>
        <w:rPr>
          <w:rFonts w:hint="eastAsia" w:ascii="方正仿宋_GBK" w:hAnsi="方正仿宋_GBK" w:eastAsia="方正仿宋_GBK" w:cs="方正仿宋_GBK"/>
          <w:b/>
          <w:bCs/>
          <w:color w:val="auto"/>
          <w:sz w:val="32"/>
          <w:szCs w:val="32"/>
          <w:highlight w:val="none"/>
          <w:lang w:val="en-US" w:eastAsia="zh-CN"/>
        </w:rPr>
        <w:t>:</w:t>
      </w:r>
      <w:r>
        <w:rPr>
          <w:rFonts w:hint="eastAsia" w:ascii="方正仿宋_GBK" w:hAnsi="方正仿宋_GBK" w:eastAsia="方正仿宋_GBK" w:cs="方正仿宋_GBK"/>
          <w:color w:val="auto"/>
          <w:sz w:val="32"/>
          <w:szCs w:val="32"/>
          <w:highlight w:val="none"/>
          <w:lang w:val="en-US" w:eastAsia="zh-CN"/>
        </w:rPr>
        <w:t xml:space="preserve"> </w:t>
      </w:r>
      <w:r>
        <w:rPr>
          <w:rFonts w:hint="eastAsia" w:ascii="方正仿宋_GBK" w:hAnsi="方正仿宋_GBK" w:eastAsia="方正仿宋_GBK" w:cs="方正仿宋_GBK"/>
          <w:color w:val="auto"/>
          <w:sz w:val="32"/>
          <w:szCs w:val="32"/>
          <w:highlight w:val="none"/>
        </w:rPr>
        <w:t>202</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年本项目预算安排</w:t>
      </w:r>
      <w:r>
        <w:rPr>
          <w:rFonts w:hint="eastAsia" w:ascii="方正仿宋_GBK" w:hAnsi="方正仿宋_GBK" w:eastAsia="方正仿宋_GBK" w:cs="方正仿宋_GBK"/>
          <w:color w:val="auto"/>
          <w:sz w:val="32"/>
          <w:szCs w:val="32"/>
          <w:highlight w:val="none"/>
          <w:lang w:val="en-US" w:eastAsia="zh-CN"/>
        </w:rPr>
        <w:t>4.32</w:t>
      </w:r>
      <w:r>
        <w:rPr>
          <w:rFonts w:hint="eastAsia" w:ascii="方正仿宋_GBK" w:hAnsi="方正仿宋_GBK" w:eastAsia="方正仿宋_GBK" w:cs="方正仿宋_GBK"/>
          <w:color w:val="auto"/>
          <w:sz w:val="32"/>
          <w:szCs w:val="32"/>
          <w:highlight w:val="none"/>
        </w:rPr>
        <w:t>万元，本项目实际</w:t>
      </w:r>
      <w:r>
        <w:rPr>
          <w:rFonts w:hint="eastAsia" w:ascii="方正仿宋_GBK" w:hAnsi="方正仿宋_GBK" w:eastAsia="方正仿宋_GBK" w:cs="方正仿宋_GBK"/>
          <w:color w:val="auto"/>
          <w:sz w:val="32"/>
          <w:szCs w:val="32"/>
          <w:highlight w:val="none"/>
          <w:lang w:val="en-US" w:eastAsia="zh-CN"/>
        </w:rPr>
        <w:t>实际支出4.32万元，预算执行率100%。</w:t>
      </w:r>
      <w:r>
        <w:rPr>
          <w:rFonts w:hint="eastAsia" w:ascii="方正仿宋_GBK" w:hAnsi="方正仿宋_GBK" w:eastAsia="方正仿宋_GBK" w:cs="方正仿宋_GBK"/>
          <w:color w:val="auto"/>
          <w:sz w:val="32"/>
          <w:szCs w:val="32"/>
          <w:highlight w:val="none"/>
        </w:rPr>
        <w:t>项目资金使用合规，项目财务管理制度健全，财务监控到位，所有资金支付均按照国库集中支付制度严格执行，现有项目管理制度执行情况良好。</w:t>
      </w:r>
    </w:p>
    <w:p>
      <w:pPr>
        <w:pStyle w:val="12"/>
        <w:pageBreakBefore w:val="0"/>
        <w:kinsoku/>
        <w:wordWrap/>
        <w:topLinePunct w:val="0"/>
        <w:autoSpaceDE/>
        <w:bidi w:val="0"/>
        <w:spacing w:line="560" w:lineRule="exact"/>
        <w:ind w:firstLine="6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eastAsia="zh-CN"/>
        </w:rPr>
        <w:t>项目产出方面：</w:t>
      </w:r>
      <w:r>
        <w:rPr>
          <w:rFonts w:hint="eastAsia" w:ascii="方正仿宋_GBK" w:hAnsi="方正仿宋_GBK" w:eastAsia="方正仿宋_GBK" w:cs="方正仿宋_GBK"/>
          <w:color w:val="auto"/>
          <w:sz w:val="32"/>
          <w:szCs w:val="32"/>
          <w:highlight w:val="none"/>
          <w:lang w:val="en-US" w:eastAsia="zh-CN"/>
        </w:rPr>
        <w:t>项目计划对132名住户调查人员发放补贴，促进各级党委政府和有关部门掌握民生状况，制定民生政策。</w:t>
      </w:r>
    </w:p>
    <w:p>
      <w:pPr>
        <w:pageBreakBefore w:val="0"/>
        <w:kinsoku/>
        <w:wordWrap/>
        <w:topLinePunct w:val="0"/>
        <w:autoSpaceDE/>
        <w:bidi w:val="0"/>
        <w:spacing w:line="560" w:lineRule="exac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highlight w:val="none"/>
          <w:lang w:eastAsia="zh-CN"/>
        </w:rPr>
        <w:t>项目效益方面：</w:t>
      </w:r>
      <w:r>
        <w:rPr>
          <w:rFonts w:hint="eastAsia" w:ascii="方正仿宋_GBK" w:hAnsi="方正仿宋_GBK" w:eastAsia="方正仿宋_GBK" w:cs="方正仿宋_GBK"/>
          <w:color w:val="auto"/>
          <w:sz w:val="32"/>
          <w:szCs w:val="32"/>
        </w:rPr>
        <w:t>本项目实施后将提高调查员和辅助调查员工作积极性，持续为群众提供政府性公共服务。</w:t>
      </w:r>
    </w:p>
    <w:p>
      <w:pPr>
        <w:pageBreakBefore w:val="0"/>
        <w:kinsoku/>
        <w:wordWrap/>
        <w:topLinePunct w:val="0"/>
        <w:autoSpaceDE/>
        <w:bidi w:val="0"/>
        <w:spacing w:line="560" w:lineRule="exact"/>
        <w:rPr>
          <w:rFonts w:hint="eastAsia" w:ascii="方正楷体_GBK" w:hAnsi="方正楷体_GBK" w:eastAsia="方正楷体_GBK" w:cs="方正楷体_GBK"/>
          <w:b/>
          <w:bCs/>
          <w:color w:val="auto"/>
          <w:sz w:val="32"/>
          <w:highlight w:val="none"/>
        </w:rPr>
      </w:pPr>
      <w:r>
        <w:rPr>
          <w:rFonts w:hint="eastAsia" w:ascii="方正楷体_GBK" w:hAnsi="方正楷体_GBK" w:eastAsia="方正楷体_GBK" w:cs="方正楷体_GBK"/>
          <w:b/>
          <w:bCs/>
          <w:color w:val="auto"/>
          <w:sz w:val="32"/>
          <w:highlight w:val="none"/>
        </w:rPr>
        <w:t>（二）综合评价结论</w:t>
      </w:r>
    </w:p>
    <w:bookmarkEnd w:id="9"/>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pPr>
      <w:bookmarkStart w:id="10" w:name="_Toc68364667"/>
      <w:r>
        <w:rPr>
          <w:rFonts w:hint="eastAsia" w:ascii="方正仿宋_GBK" w:hAnsi="方正仿宋_GBK" w:eastAsia="方正仿宋_GBK" w:cs="方正仿宋_GBK"/>
          <w:color w:val="auto"/>
          <w:sz w:val="32"/>
          <w:szCs w:val="32"/>
          <w:lang w:val="en-US" w:eastAsia="zh-CN"/>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已完成2022年度132名住户调查人员发放补贴，促进各级党委政府和有关部门掌握民生状况，制定民生政策。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该项目最终评分100分，绩效评级为“优”，具体得分情况为：项目决策20分、项目过程20分、项目产出40分、项目效益20分</w:t>
      </w:r>
    </w:p>
    <w:p>
      <w:pPr>
        <w:pStyle w:val="12"/>
        <w:pageBreakBefore w:val="0"/>
        <w:kinsoku/>
        <w:wordWrap/>
        <w:topLinePunct w:val="0"/>
        <w:autoSpaceDE/>
        <w:autoSpaceDN/>
        <w:bidi w:val="0"/>
        <w:spacing w:line="560" w:lineRule="exact"/>
        <w:ind w:left="0" w:leftChars="0" w:firstLine="320" w:firstLineChars="100"/>
        <w:rPr>
          <w:rFonts w:hint="eastAsia" w:ascii="Times New Roman" w:hAnsi="Times New Roman" w:eastAsia="方正仿宋_GBK" w:cs="方正仿宋_GBK"/>
          <w:color w:val="auto"/>
          <w:sz w:val="32"/>
          <w:szCs w:val="32"/>
        </w:rPr>
      </w:pPr>
      <w:r>
        <w:rPr>
          <w:rFonts w:hint="eastAsia" w:ascii="方正仿宋_GBK" w:hAnsi="方正仿宋_GBK" w:eastAsia="方正仿宋_GBK" w:cs="方正仿宋_GBK"/>
          <w:color w:val="auto"/>
          <w:kern w:val="0"/>
          <w:sz w:val="32"/>
          <w:szCs w:val="32"/>
          <w:highlight w:val="none"/>
          <w:lang w:val="en-US" w:eastAsia="zh-CN" w:bidi="en-US"/>
        </w:rPr>
        <w:t>伽师县统计局2022年住户调查补助经费项目</w:t>
      </w:r>
      <w:r>
        <w:rPr>
          <w:rFonts w:hint="eastAsia" w:ascii="Times New Roman" w:hAnsi="Times New Roman" w:eastAsia="方正仿宋_GBK" w:cs="方正仿宋_GBK"/>
          <w:color w:val="auto"/>
          <w:sz w:val="32"/>
          <w:szCs w:val="32"/>
        </w:rPr>
        <w:t>得分情况表</w:t>
      </w:r>
    </w:p>
    <w:tbl>
      <w:tblPr>
        <w:tblStyle w:val="8"/>
        <w:tblW w:w="8325" w:type="dxa"/>
        <w:jc w:val="center"/>
        <w:tblInd w:w="0" w:type="dxa"/>
        <w:tblLayout w:type="fixed"/>
        <w:tblCellMar>
          <w:top w:w="0" w:type="dxa"/>
          <w:left w:w="0" w:type="dxa"/>
          <w:bottom w:w="0" w:type="dxa"/>
          <w:right w:w="0" w:type="dxa"/>
        </w:tblCellMar>
      </w:tblPr>
      <w:tblGrid>
        <w:gridCol w:w="2317"/>
        <w:gridCol w:w="1840"/>
        <w:gridCol w:w="2083"/>
        <w:gridCol w:w="2085"/>
      </w:tblGrid>
      <w:tr>
        <w:tblPrEx>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一级指标</w:t>
            </w:r>
          </w:p>
        </w:tc>
        <w:tc>
          <w:tcPr>
            <w:tcW w:w="18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权重</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得分率</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实际得分</w:t>
            </w:r>
          </w:p>
        </w:tc>
      </w:tr>
      <w:tr>
        <w:tblPrEx>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项目决策</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项目过程</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项目产出</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r>
      <w:tr>
        <w:tblPrEx>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项目效益</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合计</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r>
    </w:tbl>
    <w:p>
      <w:pPr>
        <w:pStyle w:val="13"/>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color w:val="auto"/>
          <w:highlight w:val="none"/>
        </w:rPr>
      </w:pPr>
      <w:r>
        <w:rPr>
          <w:rFonts w:hint="eastAsia" w:ascii="方正黑体_GBK" w:hAnsi="方正黑体_GBK" w:eastAsia="方正黑体_GBK" w:cs="方正黑体_GBK"/>
          <w:b w:val="0"/>
          <w:bCs/>
          <w:color w:val="auto"/>
          <w:highlight w:val="none"/>
        </w:rPr>
        <w:t>四、绩效评价指标分析</w:t>
      </w:r>
      <w:bookmarkEnd w:id="10"/>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bookmarkStart w:id="11" w:name="_Toc68364668"/>
      <w:r>
        <w:rPr>
          <w:rFonts w:hint="eastAsia" w:ascii="方正楷体_GBK" w:hAnsi="方正楷体_GBK" w:eastAsia="方正楷体_GBK" w:cs="方正楷体_GBK"/>
          <w:color w:val="auto"/>
          <w:sz w:val="32"/>
          <w:highlight w:val="none"/>
        </w:rPr>
        <w:t>（一）项目决策情况</w:t>
      </w:r>
    </w:p>
    <w:p>
      <w:pPr>
        <w:pageBreakBefore w:val="0"/>
        <w:kinsoku/>
        <w:wordWrap/>
        <w:overflowPunct w:val="0"/>
        <w:topLinePunct w:val="0"/>
        <w:autoSpaceDE/>
        <w:bidi w:val="0"/>
        <w:spacing w:line="560" w:lineRule="exact"/>
        <w:ind w:firstLine="640"/>
        <w:contextualSpacing/>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项目决策类指标包括项目立项、绩效目标和资金投入三方面的内容，由</w:t>
      </w: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个三级指标构成，权重分为 20 分，实际得分</w:t>
      </w: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sz w:val="32"/>
          <w:szCs w:val="32"/>
          <w:highlight w:val="none"/>
        </w:rPr>
        <w:t>分，得分率为</w:t>
      </w:r>
      <w:r>
        <w:rPr>
          <w:rFonts w:hint="eastAsia" w:ascii="方正仿宋_GBK" w:hAnsi="方正仿宋_GBK" w:eastAsia="方正仿宋_GBK" w:cs="方正仿宋_GBK"/>
          <w:color w:val="auto"/>
          <w:sz w:val="32"/>
          <w:szCs w:val="32"/>
          <w:highlight w:val="none"/>
          <w:lang w:val="en-US" w:eastAsia="zh-CN"/>
        </w:rPr>
        <w:t>100</w:t>
      </w:r>
      <w:r>
        <w:rPr>
          <w:rFonts w:hint="eastAsia" w:ascii="方正仿宋_GBK" w:hAnsi="方正仿宋_GBK" w:eastAsia="方正仿宋_GBK" w:cs="方正仿宋_GBK"/>
          <w:color w:val="auto"/>
          <w:sz w:val="32"/>
          <w:szCs w:val="32"/>
          <w:highlight w:val="none"/>
        </w:rPr>
        <w:t>%。</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1</w:t>
      </w: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rPr>
        <w:t>立项依据充分性：</w:t>
      </w:r>
      <w:r>
        <w:rPr>
          <w:rFonts w:hint="eastAsia" w:ascii="方正仿宋_GBK" w:hAnsi="方正仿宋_GBK" w:eastAsia="方正仿宋_GBK" w:cs="方正仿宋_GBK"/>
          <w:color w:val="auto"/>
          <w:sz w:val="32"/>
          <w:szCs w:val="32"/>
          <w:highlight w:val="none"/>
          <w:lang w:eastAsia="zh-CN"/>
        </w:rPr>
        <w:t>本项目按照</w:t>
      </w:r>
      <w:r>
        <w:rPr>
          <w:rFonts w:hint="eastAsia" w:ascii="方正仿宋_GBK" w:hAnsi="方正仿宋_GBK" w:eastAsia="方正仿宋_GBK" w:cs="方正仿宋_GBK"/>
          <w:bCs w:val="0"/>
          <w:color w:val="auto"/>
          <w:kern w:val="0"/>
          <w:sz w:val="32"/>
          <w:szCs w:val="32"/>
          <w:highlight w:val="none"/>
          <w:lang w:val="en-US" w:eastAsia="zh-CN" w:bidi="ar-SA"/>
        </w:rPr>
        <w:t>《关于下达自治区2022年度统计专项业务经费的通知》</w:t>
      </w:r>
      <w:r>
        <w:rPr>
          <w:rFonts w:hint="eastAsia" w:ascii="方正仿宋_GBK" w:hAnsi="方正仿宋_GBK" w:eastAsia="方正仿宋_GBK" w:cs="方正仿宋_GBK"/>
          <w:color w:val="auto"/>
          <w:sz w:val="32"/>
          <w:szCs w:val="32"/>
          <w:highlight w:val="none"/>
          <w:lang w:eastAsia="zh-CN"/>
        </w:rPr>
        <w:t>（喀地财行[2022]4号、伽财行[2022]13号）要求</w:t>
      </w:r>
      <w:r>
        <w:rPr>
          <w:rFonts w:hint="eastAsia" w:ascii="方正仿宋_GBK" w:hAnsi="方正仿宋_GBK" w:eastAsia="方正仿宋_GBK" w:cs="方正仿宋_GBK"/>
          <w:color w:val="auto"/>
          <w:sz w:val="32"/>
          <w:szCs w:val="32"/>
          <w:highlight w:val="none"/>
        </w:rPr>
        <w:t>，并组织实施。</w:t>
      </w:r>
      <w:r>
        <w:rPr>
          <w:rFonts w:hint="eastAsia" w:ascii="方正仿宋_GBK" w:hAnsi="方正仿宋_GBK" w:eastAsia="方正仿宋_GBK" w:cs="方正仿宋_GBK"/>
          <w:color w:val="auto"/>
          <w:sz w:val="32"/>
          <w:szCs w:val="32"/>
        </w:rPr>
        <w:t>围绕伽师县年度工作重点和工作计划制定经费预算，</w:t>
      </w:r>
      <w:r>
        <w:rPr>
          <w:rFonts w:hint="eastAsia" w:ascii="方正仿宋_GBK" w:hAnsi="方正仿宋_GBK" w:eastAsia="方正仿宋_GBK" w:cs="方正仿宋_GBK"/>
          <w:bCs w:val="0"/>
          <w:color w:val="auto"/>
          <w:kern w:val="0"/>
          <w:sz w:val="32"/>
          <w:szCs w:val="32"/>
          <w:highlight w:val="none"/>
          <w:lang w:val="en-US" w:eastAsia="zh-CN" w:bidi="ar-SA"/>
        </w:rPr>
        <w:t>项目立项符合伽师县统计局职责范围，属于部门履职所需，项目属于公共财政支持范围，符合中央、地方事权支出责任，项目与相关部门同类项目或部门内部相关项目不重复，</w:t>
      </w:r>
      <w:r>
        <w:rPr>
          <w:rFonts w:hint="eastAsia" w:ascii="方正仿宋_GBK" w:hAnsi="方正仿宋_GBK" w:eastAsia="方正仿宋_GBK" w:cs="方正仿宋_GBK"/>
          <w:color w:val="auto"/>
          <w:sz w:val="32"/>
          <w:szCs w:val="32"/>
        </w:rPr>
        <w:t>根据评分标准，该指标不扣分，得3分。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highlight w:val="yellow"/>
          <w:lang w:eastAsia="zh-CN"/>
        </w:rPr>
      </w:pPr>
      <w:r>
        <w:rPr>
          <w:rFonts w:hint="eastAsia" w:ascii="Times New Roman" w:hAnsi="Times New Roman" w:eastAsia="方正仿宋_GBK" w:cs="方正仿宋_GBK"/>
          <w:b/>
          <w:bCs/>
          <w:color w:val="auto"/>
          <w:sz w:val="32"/>
          <w:szCs w:val="32"/>
        </w:rPr>
        <w:t>（2）立项程序规范性：</w:t>
      </w:r>
      <w:r>
        <w:rPr>
          <w:rFonts w:hint="eastAsia" w:ascii="方正仿宋_GBK" w:hAnsi="方正仿宋_GBK" w:eastAsia="方正仿宋_GBK" w:cs="方正仿宋_GBK"/>
          <w:color w:val="auto"/>
          <w:sz w:val="32"/>
          <w:szCs w:val="32"/>
          <w:highlight w:val="none"/>
          <w:lang w:eastAsia="zh-CN"/>
        </w:rPr>
        <w:t>根据决策依据编制工作计划和经费预算，经过与相关部门进行沟通、筛选确定经费预算计划，上党委会研究确定最终预算方案，</w:t>
      </w:r>
      <w:r>
        <w:rPr>
          <w:rFonts w:hint="eastAsia" w:ascii="方正仿宋_GBK" w:hAnsi="方正仿宋_GBK" w:eastAsia="方正仿宋_GBK" w:cs="方正仿宋_GBK"/>
          <w:color w:val="auto"/>
          <w:sz w:val="32"/>
          <w:szCs w:val="32"/>
          <w:highlight w:val="none"/>
          <w:lang w:val="en-US" w:eastAsia="zh-CN"/>
        </w:rPr>
        <w:t>严格按照规定的程序申请，项目审批文件、材料，事前已经过必要的</w:t>
      </w:r>
      <w:r>
        <w:rPr>
          <w:rFonts w:hint="eastAsia" w:ascii="方正仿宋_GBK" w:hAnsi="方正仿宋_GBK" w:eastAsia="方正仿宋_GBK" w:cs="方正仿宋_GBK"/>
          <w:color w:val="auto"/>
          <w:sz w:val="32"/>
          <w:szCs w:val="32"/>
          <w:highlight w:val="none"/>
          <w:lang w:eastAsia="zh-CN"/>
        </w:rPr>
        <w:t>根据评分标准，该指标不扣分，得2分。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方正仿宋_GBK" w:hAnsi="方正仿宋_GBK" w:eastAsia="方正仿宋_GBK" w:cs="方正仿宋_GBK"/>
          <w:bCs w:val="0"/>
          <w:color w:val="auto"/>
          <w:kern w:val="0"/>
          <w:sz w:val="32"/>
          <w:szCs w:val="32"/>
          <w:highlight w:val="none"/>
          <w:lang w:val="en-US" w:eastAsia="zh-CN" w:bidi="ar-SA"/>
        </w:rPr>
      </w:pPr>
      <w:r>
        <w:rPr>
          <w:rFonts w:hint="eastAsia" w:ascii="方正仿宋_GBK" w:hAnsi="方正仿宋_GBK" w:eastAsia="方正仿宋_GBK" w:cs="方正仿宋_GBK"/>
          <w:b/>
          <w:bCs/>
          <w:color w:val="auto"/>
          <w:sz w:val="32"/>
          <w:szCs w:val="32"/>
          <w:highlight w:val="none"/>
        </w:rPr>
        <w:t>（3）绩效目标合理性</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lang w:eastAsia="zh-CN"/>
        </w:rPr>
        <w:t>项目严格</w:t>
      </w:r>
      <w:r>
        <w:rPr>
          <w:rFonts w:hint="eastAsia" w:ascii="方正仿宋_GBK" w:hAnsi="方正仿宋_GBK" w:eastAsia="方正仿宋_GBK" w:cs="方正仿宋_GBK"/>
          <w:bCs w:val="0"/>
          <w:color w:val="auto"/>
          <w:kern w:val="0"/>
          <w:sz w:val="32"/>
          <w:szCs w:val="32"/>
          <w:highlight w:val="none"/>
          <w:lang w:val="en-US" w:eastAsia="zh-CN" w:bidi="ar-SA"/>
        </w:rPr>
        <w:t>《2022年自治区分行业分领域绩效指标体系》，</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bidi="ar"/>
        </w:rPr>
        <w:t>伽师县统计局住户调查补助经费项目</w:t>
      </w:r>
      <w:r>
        <w:rPr>
          <w:rFonts w:hint="eastAsia" w:ascii="方正仿宋_GBK" w:hAnsi="方正仿宋_GBK" w:eastAsia="方正仿宋_GBK" w:cs="方正仿宋_GBK"/>
          <w:color w:val="auto"/>
          <w:sz w:val="32"/>
          <w:szCs w:val="32"/>
          <w:highlight w:val="none"/>
          <w:lang w:bidi="ar"/>
        </w:rPr>
        <w:t>实施方案</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bidi="ar"/>
        </w:rPr>
        <w:t>，</w:t>
      </w:r>
      <w:r>
        <w:rPr>
          <w:rFonts w:hint="eastAsia" w:ascii="方正仿宋_GBK" w:hAnsi="方正仿宋_GBK" w:eastAsia="方正仿宋_GBK" w:cs="方正仿宋_GBK"/>
          <w:bCs w:val="0"/>
          <w:color w:val="auto"/>
          <w:kern w:val="0"/>
          <w:sz w:val="32"/>
          <w:szCs w:val="32"/>
          <w:highlight w:val="none"/>
          <w:lang w:val="en-US" w:eastAsia="zh-CN" w:bidi="ar-SA"/>
        </w:rPr>
        <w:t>设置了《项目支出绩效目标表》，项目绩效目标与实际工作内容相关，项目预期产出效益和效果是符合正常的业绩水平；</w:t>
      </w:r>
      <w:r>
        <w:rPr>
          <w:rFonts w:hint="eastAsia" w:ascii="方正仿宋_GBK" w:hAnsi="方正仿宋_GBK" w:eastAsia="方正仿宋_GBK" w:cs="方正仿宋_GBK"/>
          <w:color w:val="auto"/>
          <w:sz w:val="32"/>
          <w:szCs w:val="32"/>
        </w:rPr>
        <w:t>明确了总体思路及目标、并对任务进行了详细分解，对目标进行了细化，</w:t>
      </w:r>
      <w:r>
        <w:rPr>
          <w:rFonts w:hint="eastAsia" w:ascii="方正仿宋_GBK" w:hAnsi="方正仿宋_GBK" w:eastAsia="方正仿宋_GBK" w:cs="方正仿宋_GBK"/>
          <w:bCs w:val="0"/>
          <w:color w:val="auto"/>
          <w:kern w:val="0"/>
          <w:sz w:val="32"/>
          <w:szCs w:val="32"/>
          <w:highlight w:val="none"/>
          <w:lang w:val="en-US" w:eastAsia="zh-CN" w:bidi="ar-SA"/>
        </w:rPr>
        <w:t>预算确定金额、预算批复的项目投资额4.32万元，故绩效目标金额与预算确定的项目投资额或资金量相匹配，得3分。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highlight w:val="yellow"/>
        </w:rPr>
      </w:pPr>
      <w:r>
        <w:rPr>
          <w:rFonts w:hint="eastAsia" w:ascii="方正仿宋_GBK" w:hAnsi="方正仿宋_GBK" w:eastAsia="方正仿宋_GBK" w:cs="方正仿宋_GBK"/>
          <w:b/>
          <w:bCs/>
          <w:color w:val="auto"/>
          <w:sz w:val="32"/>
          <w:szCs w:val="32"/>
          <w:highlight w:val="none"/>
        </w:rPr>
        <w:t>（4）绩效指标明确性：</w:t>
      </w:r>
      <w:r>
        <w:rPr>
          <w:rFonts w:hint="eastAsia" w:ascii="方正仿宋_GBK" w:hAnsi="方正仿宋_GBK" w:eastAsia="方正仿宋_GBK" w:cs="方正仿宋_GBK"/>
          <w:bCs w:val="0"/>
          <w:color w:val="auto"/>
          <w:kern w:val="0"/>
          <w:sz w:val="32"/>
          <w:szCs w:val="32"/>
          <w:highlight w:val="none"/>
          <w:lang w:val="en-US" w:eastAsia="zh-CN" w:bidi="ar-SA"/>
        </w:rPr>
        <w:t>已</w:t>
      </w:r>
      <w:r>
        <w:rPr>
          <w:rFonts w:hint="eastAsia" w:ascii="方正仿宋_GBK" w:hAnsi="方正仿宋_GBK" w:eastAsia="方正仿宋_GBK" w:cs="方正仿宋_GBK"/>
          <w:color w:val="auto"/>
          <w:sz w:val="32"/>
          <w:szCs w:val="32"/>
        </w:rPr>
        <w:t>将项目绩效目标细化分解为具体的绩效指标，</w:t>
      </w:r>
      <w:r>
        <w:rPr>
          <w:rFonts w:hint="eastAsia" w:ascii="方正仿宋_GBK" w:hAnsi="方正仿宋_GBK" w:eastAsia="方正仿宋_GBK" w:cs="方正仿宋_GBK"/>
          <w:bCs w:val="0"/>
          <w:color w:val="auto"/>
          <w:kern w:val="0"/>
          <w:sz w:val="32"/>
          <w:szCs w:val="32"/>
          <w:highlight w:val="none"/>
          <w:lang w:val="en-US" w:eastAsia="zh-CN" w:bidi="ar-SA"/>
        </w:rPr>
        <w:t>绩效目标通过清晰、可衡量的指标值予以体现，与项目目标任务数或计划数相对应</w:t>
      </w:r>
      <w:r>
        <w:rPr>
          <w:rFonts w:hint="eastAsia" w:ascii="方正仿宋_GBK" w:hAnsi="方正仿宋_GBK" w:eastAsia="方正仿宋_GBK" w:cs="方正仿宋_GBK"/>
          <w:color w:val="auto"/>
          <w:sz w:val="32"/>
          <w:szCs w:val="32"/>
        </w:rPr>
        <w:t>根据评分标准，</w:t>
      </w:r>
      <w:r>
        <w:rPr>
          <w:rFonts w:hint="eastAsia" w:ascii="方正仿宋_GBK" w:hAnsi="方正仿宋_GBK" w:eastAsia="方正仿宋_GBK" w:cs="方正仿宋_GBK"/>
          <w:color w:val="auto"/>
          <w:sz w:val="32"/>
          <w:szCs w:val="32"/>
          <w:highlight w:val="none"/>
        </w:rPr>
        <w:t>该指标不扣分，得2分。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（5）预算编制科学性：</w:t>
      </w:r>
      <w:r>
        <w:rPr>
          <w:rFonts w:hint="eastAsia" w:ascii="方正仿宋_GBK" w:hAnsi="方正仿宋_GBK" w:eastAsia="方正仿宋_GBK" w:cs="方正仿宋_GBK"/>
          <w:color w:val="auto"/>
          <w:sz w:val="32"/>
          <w:szCs w:val="32"/>
        </w:rPr>
        <w:t xml:space="preserve"> </w:t>
      </w:r>
      <w:r>
        <w:rPr>
          <w:rFonts w:hint="eastAsia" w:ascii="方正仿宋_GBK" w:hAnsi="方正仿宋_GBK" w:eastAsia="方正仿宋_GBK" w:cs="方正仿宋_GBK"/>
          <w:color w:val="auto"/>
          <w:sz w:val="32"/>
          <w:szCs w:val="32"/>
        </w:rPr>
        <w:t xml:space="preserve"> 预算编制经过科学论证，内容与项目内容匹配，</w:t>
      </w:r>
      <w:r>
        <w:rPr>
          <w:rFonts w:hint="eastAsia" w:ascii="方正仿宋_GBK" w:hAnsi="方正仿宋_GBK" w:eastAsia="方正仿宋_GBK" w:cs="方正仿宋_GBK"/>
          <w:bCs w:val="0"/>
          <w:color w:val="auto"/>
          <w:kern w:val="0"/>
          <w:sz w:val="32"/>
          <w:szCs w:val="32"/>
          <w:highlight w:val="none"/>
          <w:lang w:val="en-US" w:eastAsia="zh-CN" w:bidi="ar-SA"/>
        </w:rPr>
        <w:t>预算额度测算依据充分，预算确定的</w:t>
      </w:r>
      <w:r>
        <w:rPr>
          <w:rFonts w:hint="eastAsia" w:ascii="方正仿宋_GBK" w:hAnsi="方正仿宋_GBK" w:eastAsia="方正仿宋_GBK" w:cs="方正仿宋_GBK"/>
          <w:color w:val="auto"/>
          <w:sz w:val="32"/>
          <w:szCs w:val="32"/>
        </w:rPr>
        <w:t>项目投资额与工作任务相匹配，根据评分标准，该指标不扣分，得5分。</w:t>
      </w:r>
    </w:p>
    <w:p>
      <w:pPr>
        <w:pageBreakBefore w:val="0"/>
        <w:widowControl w:val="0"/>
        <w:kinsoku/>
        <w:wordWrap/>
        <w:overflowPunct/>
        <w:topLinePunct w:val="0"/>
        <w:autoSpaceDE/>
        <w:autoSpaceDN/>
        <w:bidi w:val="0"/>
        <w:adjustRightInd/>
        <w:snapToGrid/>
        <w:spacing w:line="570" w:lineRule="exact"/>
        <w:ind w:firstLine="643"/>
        <w:textAlignment w:val="auto"/>
        <w:rPr>
          <w:rFonts w:hint="eastAsia" w:ascii="Times New Roman" w:hAnsi="Times New Roman" w:eastAsia="方正仿宋_GBK" w:cs="方正仿宋_GBK"/>
          <w:color w:val="auto"/>
          <w:kern w:val="0"/>
          <w:sz w:val="32"/>
          <w:szCs w:val="32"/>
          <w:highlight w:val="yellow"/>
          <w:lang w:val="en-US" w:eastAsia="zh-CN" w:bidi="ar-SA"/>
        </w:rPr>
      </w:pPr>
      <w:r>
        <w:rPr>
          <w:rFonts w:hint="eastAsia" w:ascii="方正仿宋_GBK" w:hAnsi="方正仿宋_GBK" w:eastAsia="方正仿宋_GBK" w:cs="方正仿宋_GBK"/>
          <w:b/>
          <w:bCs/>
          <w:color w:val="auto"/>
          <w:sz w:val="32"/>
          <w:szCs w:val="32"/>
        </w:rPr>
        <w:t>（6）资金分配合理性：</w:t>
      </w:r>
      <w:r>
        <w:rPr>
          <w:rFonts w:hint="eastAsia" w:ascii="方正仿宋_GBK" w:hAnsi="方正仿宋_GBK" w:eastAsia="方正仿宋_GBK" w:cs="方正仿宋_GBK"/>
          <w:bCs w:val="0"/>
          <w:color w:val="auto"/>
          <w:kern w:val="0"/>
          <w:sz w:val="32"/>
          <w:szCs w:val="32"/>
          <w:highlight w:val="none"/>
          <w:lang w:val="en-US" w:eastAsia="zh-CN" w:bidi="ar-SA"/>
        </w:rPr>
        <w:t>本项目以《关于下达自治区2022年度统计专项业务经费的通知》</w:t>
      </w:r>
      <w:r>
        <w:rPr>
          <w:rFonts w:hint="eastAsia" w:ascii="方正仿宋_GBK" w:hAnsi="方正仿宋_GBK" w:eastAsia="方正仿宋_GBK" w:cs="方正仿宋_GBK"/>
          <w:color w:val="auto"/>
          <w:sz w:val="32"/>
          <w:szCs w:val="32"/>
          <w:highlight w:val="none"/>
          <w:lang w:eastAsia="zh-CN"/>
        </w:rPr>
        <w:t>（喀地财行[2022]4号、伽财行[2022]13号）</w:t>
      </w:r>
      <w:r>
        <w:rPr>
          <w:rFonts w:hint="eastAsia" w:ascii="方正仿宋_GBK" w:hAnsi="方正仿宋_GBK" w:eastAsia="方正仿宋_GBK" w:cs="方正仿宋_GBK"/>
          <w:bCs w:val="0"/>
          <w:color w:val="auto"/>
          <w:kern w:val="0"/>
          <w:sz w:val="32"/>
          <w:szCs w:val="32"/>
          <w:highlight w:val="none"/>
          <w:lang w:val="en-US" w:eastAsia="zh-CN" w:bidi="ar-SA"/>
        </w:rPr>
        <w:t>文件为依据进行资金分配</w:t>
      </w:r>
      <w:r>
        <w:rPr>
          <w:rFonts w:hint="eastAsia" w:ascii="方正仿宋_GBK" w:hAnsi="方正仿宋_GBK" w:eastAsia="方正仿宋_GBK" w:cs="方正仿宋_GBK"/>
          <w:b w:val="0"/>
          <w:bCs w:val="0"/>
          <w:color w:val="auto"/>
          <w:kern w:val="0"/>
          <w:sz w:val="32"/>
          <w:szCs w:val="32"/>
          <w:highlight w:val="none"/>
          <w:lang w:val="en-US" w:eastAsia="zh-CN" w:bidi="ar-SA"/>
        </w:rPr>
        <w:t>资金分配与实际相适应，根据评分标准，该指标不扣分，得5分。</w:t>
      </w:r>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（二）项目过程情况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rPr>
        <w:t>项目过程类指标包括资金管理和组织实施两方面的内容，由 5个三级指标构成，权重分为20分，实际得分20 分，得分率为100%。</w:t>
      </w:r>
    </w:p>
    <w:p>
      <w:pPr>
        <w:pageBreakBefore w:val="0"/>
        <w:kinsoku/>
        <w:wordWrap/>
        <w:topLinePunct w:val="0"/>
        <w:autoSpaceDE/>
        <w:bidi w:val="0"/>
        <w:spacing w:line="560" w:lineRule="exact"/>
        <w:ind w:firstLine="643"/>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（1）资金到位率：</w:t>
      </w:r>
      <w:r>
        <w:rPr>
          <w:rFonts w:hint="eastAsia" w:ascii="方正仿宋_GBK" w:hAnsi="方正仿宋_GBK" w:eastAsia="方正仿宋_GBK" w:cs="方正仿宋_GBK"/>
          <w:color w:val="auto"/>
          <w:sz w:val="32"/>
          <w:szCs w:val="32"/>
          <w:highlight w:val="none"/>
          <w:lang w:eastAsia="zh-CN"/>
        </w:rPr>
        <w:t>本</w:t>
      </w:r>
      <w:r>
        <w:rPr>
          <w:rFonts w:hint="eastAsia" w:ascii="方正仿宋_GBK" w:hAnsi="方正仿宋_GBK" w:eastAsia="方正仿宋_GBK" w:cs="方正仿宋_GBK"/>
          <w:color w:val="auto"/>
          <w:sz w:val="32"/>
          <w:szCs w:val="32"/>
          <w:lang w:eastAsia="zh-CN"/>
        </w:rPr>
        <w:t>项目预算安排总额为</w:t>
      </w:r>
      <w:r>
        <w:rPr>
          <w:rFonts w:hint="eastAsia" w:ascii="方正仿宋_GBK" w:hAnsi="方正仿宋_GBK" w:eastAsia="方正仿宋_GBK" w:cs="方正仿宋_GBK"/>
          <w:color w:val="auto"/>
          <w:sz w:val="32"/>
          <w:szCs w:val="32"/>
          <w:lang w:val="en-US" w:eastAsia="zh-CN"/>
        </w:rPr>
        <w:t>4.32</w:t>
      </w:r>
      <w:r>
        <w:rPr>
          <w:rFonts w:hint="eastAsia" w:ascii="方正仿宋_GBK" w:hAnsi="方正仿宋_GBK" w:eastAsia="方正仿宋_GBK" w:cs="方正仿宋_GBK"/>
          <w:color w:val="auto"/>
          <w:sz w:val="32"/>
          <w:szCs w:val="32"/>
          <w:lang w:eastAsia="zh-CN"/>
        </w:rPr>
        <w:t>万元，实际到位</w:t>
      </w:r>
      <w:r>
        <w:rPr>
          <w:rFonts w:hint="eastAsia" w:ascii="方正仿宋_GBK" w:hAnsi="方正仿宋_GBK" w:eastAsia="方正仿宋_GBK" w:cs="方正仿宋_GBK"/>
          <w:color w:val="auto"/>
          <w:sz w:val="32"/>
          <w:szCs w:val="32"/>
          <w:lang w:val="en-US" w:eastAsia="zh-CN"/>
        </w:rPr>
        <w:t>4.32</w:t>
      </w:r>
      <w:r>
        <w:rPr>
          <w:rFonts w:hint="eastAsia" w:ascii="方正仿宋_GBK" w:hAnsi="方正仿宋_GBK" w:eastAsia="方正仿宋_GBK" w:cs="方正仿宋_GBK"/>
          <w:color w:val="auto"/>
          <w:sz w:val="32"/>
          <w:szCs w:val="32"/>
          <w:lang w:eastAsia="zh-CN"/>
        </w:rPr>
        <w:t>万元，资金到位率</w:t>
      </w:r>
      <w:r>
        <w:rPr>
          <w:rFonts w:hint="eastAsia" w:ascii="方正仿宋_GBK" w:hAnsi="方正仿宋_GBK" w:eastAsia="方正仿宋_GBK" w:cs="方正仿宋_GBK"/>
          <w:color w:val="auto"/>
          <w:sz w:val="32"/>
          <w:szCs w:val="32"/>
          <w:lang w:val="en-US" w:eastAsia="zh-CN"/>
        </w:rPr>
        <w:t>100%。</w:t>
      </w:r>
      <w:r>
        <w:rPr>
          <w:rFonts w:hint="eastAsia" w:ascii="方正仿宋_GBK" w:hAnsi="方正仿宋_GBK" w:eastAsia="方正仿宋_GBK" w:cs="方正仿宋_GBK"/>
          <w:bCs w:val="0"/>
          <w:color w:val="auto"/>
          <w:kern w:val="0"/>
          <w:sz w:val="32"/>
          <w:szCs w:val="32"/>
          <w:highlight w:val="none"/>
          <w:lang w:val="en-US" w:eastAsia="zh-CN" w:bidi="ar-SA"/>
        </w:rPr>
        <w:t>资金到位率=（实际到位资金/预算资金）×100%=（4.32万元/4.32万元）×100%=100%，</w:t>
      </w:r>
      <w:r>
        <w:rPr>
          <w:rFonts w:hint="eastAsia" w:ascii="方正仿宋_GBK" w:hAnsi="方正仿宋_GBK" w:eastAsia="方正仿宋_GBK" w:cs="方正仿宋_GBK"/>
          <w:color w:val="auto"/>
          <w:sz w:val="32"/>
          <w:szCs w:val="32"/>
        </w:rPr>
        <w:t>财政资金足额拨付到位，能够及时足额按照合同约定将专项资金拨付给联合体单位，根据评分标准，该指标不扣分，得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r>
        <w:rPr>
          <w:rFonts w:hint="eastAsia" w:ascii="方正仿宋_GBK" w:hAnsi="方正仿宋_GBK" w:eastAsia="方正仿宋_GBK" w:cs="方正仿宋_GBK"/>
          <w:color w:val="auto"/>
          <w:sz w:val="32"/>
          <w:szCs w:val="32"/>
          <w:highlight w:val="none"/>
        </w:rPr>
        <w:t xml:space="preserve">   </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highlight w:val="none"/>
        </w:rPr>
        <w:t>（2）预算执行率：</w:t>
      </w:r>
      <w:r>
        <w:rPr>
          <w:rFonts w:hint="eastAsia" w:ascii="方正仿宋_GBK" w:hAnsi="方正仿宋_GBK" w:eastAsia="方正仿宋_GBK" w:cs="方正仿宋_GBK"/>
          <w:color w:val="auto"/>
          <w:sz w:val="32"/>
          <w:szCs w:val="32"/>
          <w:lang w:eastAsia="zh-CN"/>
        </w:rPr>
        <w:t>本项目实际到位资金为</w:t>
      </w:r>
      <w:r>
        <w:rPr>
          <w:rFonts w:hint="eastAsia" w:ascii="方正仿宋_GBK" w:hAnsi="方正仿宋_GBK" w:eastAsia="方正仿宋_GBK" w:cs="方正仿宋_GBK"/>
          <w:color w:val="auto"/>
          <w:sz w:val="32"/>
          <w:szCs w:val="32"/>
          <w:lang w:val="en-US" w:eastAsia="zh-CN"/>
        </w:rPr>
        <w:t>4.32</w:t>
      </w:r>
      <w:r>
        <w:rPr>
          <w:rFonts w:hint="eastAsia" w:ascii="方正仿宋_GBK" w:hAnsi="方正仿宋_GBK" w:eastAsia="方正仿宋_GBK" w:cs="方正仿宋_GBK"/>
          <w:color w:val="auto"/>
          <w:sz w:val="32"/>
          <w:szCs w:val="32"/>
          <w:lang w:eastAsia="zh-CN"/>
        </w:rPr>
        <w:t>万元，实际支出资金为</w:t>
      </w:r>
      <w:r>
        <w:rPr>
          <w:rFonts w:hint="eastAsia" w:ascii="方正仿宋_GBK" w:hAnsi="方正仿宋_GBK" w:eastAsia="方正仿宋_GBK" w:cs="方正仿宋_GBK"/>
          <w:color w:val="auto"/>
          <w:sz w:val="32"/>
          <w:szCs w:val="32"/>
          <w:lang w:val="en-US" w:eastAsia="zh-CN"/>
        </w:rPr>
        <w:t>4.32</w:t>
      </w:r>
      <w:r>
        <w:rPr>
          <w:rFonts w:hint="eastAsia" w:ascii="方正仿宋_GBK" w:hAnsi="方正仿宋_GBK" w:eastAsia="方正仿宋_GBK" w:cs="方正仿宋_GBK"/>
          <w:color w:val="auto"/>
          <w:sz w:val="32"/>
          <w:szCs w:val="32"/>
          <w:lang w:eastAsia="zh-CN"/>
        </w:rPr>
        <w:t>万元，</w:t>
      </w:r>
      <w:r>
        <w:rPr>
          <w:rFonts w:hint="eastAsia" w:ascii="方正仿宋_GBK" w:hAnsi="方正仿宋_GBK" w:eastAsia="方正仿宋_GBK" w:cs="方正仿宋_GBK"/>
          <w:bCs w:val="0"/>
          <w:color w:val="auto"/>
          <w:kern w:val="0"/>
          <w:sz w:val="32"/>
          <w:szCs w:val="32"/>
          <w:highlight w:val="none"/>
          <w:lang w:val="en-US" w:eastAsia="zh-CN" w:bidi="ar-SA"/>
        </w:rPr>
        <w:t>预算执行率=（实际支出资金/实际到位资金）×100%=（4.32万元/4.32万元）×100%=100%，</w:t>
      </w:r>
      <w:r>
        <w:rPr>
          <w:rFonts w:hint="eastAsia" w:ascii="方正仿宋_GBK" w:hAnsi="方正仿宋_GBK" w:eastAsia="方正仿宋_GBK" w:cs="方正仿宋_GBK"/>
          <w:color w:val="auto"/>
          <w:sz w:val="32"/>
          <w:szCs w:val="32"/>
        </w:rPr>
        <w:t>预算编制较为详细，项目资金支出总体能够按照预算执行，根据评分标准，该指标不扣分，得5分。</w:t>
      </w:r>
    </w:p>
    <w:p>
      <w:pPr>
        <w:pStyle w:val="12"/>
        <w:pageBreakBefore w:val="0"/>
        <w:numPr>
          <w:ilvl w:val="0"/>
          <w:numId w:val="0"/>
        </w:numPr>
        <w:kinsoku/>
        <w:wordWrap/>
        <w:topLinePunct w:val="0"/>
        <w:autoSpaceDE/>
        <w:autoSpaceDN/>
        <w:bidi w:val="0"/>
        <w:adjustRightInd/>
        <w:snapToGrid/>
        <w:spacing w:line="570" w:lineRule="exact"/>
        <w:ind w:firstLine="640" w:firstLineChars="200"/>
        <w:rPr>
          <w:rFonts w:hint="eastAsia" w:ascii="方正仿宋_GBK" w:hAnsi="方正仿宋_GBK" w:eastAsia="方正仿宋_GBK" w:cs="方正仿宋_GBK"/>
          <w:b w:val="0"/>
          <w:bCs w:val="0"/>
          <w:color w:val="auto"/>
          <w:sz w:val="32"/>
          <w:szCs w:val="32"/>
          <w:highlight w:val="none"/>
        </w:rPr>
      </w:pPr>
      <w:r>
        <w:rPr>
          <w:rFonts w:hint="eastAsia" w:ascii="方正仿宋_GBK" w:hAnsi="方正仿宋_GBK" w:eastAsia="方正仿宋_GBK" w:cs="方正仿宋_GBK"/>
          <w:b/>
          <w:bCs/>
          <w:color w:val="auto"/>
          <w:sz w:val="32"/>
          <w:szCs w:val="32"/>
          <w:highlight w:val="none"/>
        </w:rPr>
        <w:t>（3）资金使用合规性：</w:t>
      </w:r>
      <w:r>
        <w:rPr>
          <w:rFonts w:hint="eastAsia" w:ascii="方正仿宋_GBK" w:hAnsi="方正仿宋_GBK" w:eastAsia="方正仿宋_GBK" w:cs="方正仿宋_GBK"/>
          <w:color w:val="auto"/>
          <w:sz w:val="32"/>
          <w:szCs w:val="32"/>
          <w:highlight w:val="none"/>
        </w:rPr>
        <w:t>经查证项目的支付凭证，项目资金的使用</w:t>
      </w:r>
      <w:r>
        <w:rPr>
          <w:rFonts w:hint="eastAsia" w:ascii="方正仿宋_GBK" w:hAnsi="方正仿宋_GBK" w:eastAsia="方正仿宋_GBK" w:cs="方正仿宋_GBK"/>
          <w:color w:val="auto"/>
          <w:sz w:val="32"/>
          <w:szCs w:val="32"/>
          <w:highlight w:val="none"/>
          <w:lang w:eastAsia="zh-CN"/>
        </w:rPr>
        <w:t>做到《伽师县统计局单位管理制度》“专款专用的使用要求”，资金的拨付有较为完整的审批程序和手续，经查证项目合同文件、支付凭证等资料，项目资金使用符合项目预算批复和合同规定的用途，</w:t>
      </w:r>
      <w:r>
        <w:rPr>
          <w:rFonts w:hint="eastAsia" w:ascii="方正仿宋_GBK" w:hAnsi="方正仿宋_GBK" w:eastAsia="方正仿宋_GBK" w:cs="方正仿宋_GBK"/>
          <w:b w:val="0"/>
          <w:bCs w:val="0"/>
          <w:color w:val="auto"/>
          <w:sz w:val="32"/>
          <w:szCs w:val="32"/>
          <w:highlight w:val="none"/>
        </w:rPr>
        <w:t>经查证，项目资金使用不存在截留、挤占、挪用、虚列支出等情况。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资金支出符合财务管理制度规定，根据评分标准，该指标不扣分，得5分。</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highlight w:val="none"/>
        </w:rPr>
        <w:t>（4）管理制度健全性：</w:t>
      </w:r>
      <w:r>
        <w:rPr>
          <w:rFonts w:hint="eastAsia" w:ascii="方正仿宋_GBK" w:hAnsi="方正仿宋_GBK" w:eastAsia="方正仿宋_GBK" w:cs="方正仿宋_GBK"/>
          <w:color w:val="auto"/>
          <w:sz w:val="32"/>
          <w:szCs w:val="32"/>
          <w:lang w:eastAsia="zh-CN"/>
        </w:rPr>
        <w:t>我单位制定了</w:t>
      </w:r>
      <w:r>
        <w:rPr>
          <w:rFonts w:hint="eastAsia" w:ascii="方正仿宋_GBK" w:hAnsi="方正仿宋_GBK" w:eastAsia="方正仿宋_GBK" w:cs="方正仿宋_GBK"/>
          <w:color w:val="auto"/>
          <w:sz w:val="32"/>
          <w:szCs w:val="32"/>
          <w:highlight w:val="none"/>
          <w:lang w:eastAsia="zh-CN"/>
        </w:rPr>
        <w:t>《伽师县统计局部门单位预算绩效管理工作实施办法》，</w:t>
      </w:r>
      <w:r>
        <w:rPr>
          <w:rFonts w:hint="eastAsia" w:ascii="方正仿宋_GBK" w:hAnsi="方正仿宋_GBK" w:eastAsia="方正仿宋_GBK" w:cs="方正仿宋_GBK"/>
          <w:color w:val="auto"/>
          <w:sz w:val="32"/>
          <w:szCs w:val="32"/>
          <w:lang w:eastAsia="zh-CN"/>
        </w:rPr>
        <w:t>《伽师县统计局财务管理制度》等健全完整的项目管理制度，资金管理办法，对财政专项资金进行严格管理，</w:t>
      </w:r>
      <w:r>
        <w:rPr>
          <w:rFonts w:hint="eastAsia" w:ascii="方正仿宋_GBK" w:hAnsi="方正仿宋_GBK" w:eastAsia="方正仿宋_GBK" w:cs="方正仿宋_GBK"/>
          <w:color w:val="auto"/>
          <w:sz w:val="32"/>
          <w:szCs w:val="32"/>
        </w:rPr>
        <w:t>基本做到了专款专用，根据评分标准，该指标不扣分，得2分。</w:t>
      </w:r>
    </w:p>
    <w:p>
      <w:pPr>
        <w:pStyle w:val="1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highlight w:val="none"/>
        </w:rPr>
        <w:t>（5）制度执行有效性</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lang w:eastAsia="zh-CN"/>
        </w:rPr>
        <w:t>由部门提出经费预算支出伽师县统计局2022年住户调查补助经费项目实施方案，经过与相关部门沟通后，报党支部会议研究执行，财务对资金的使用合法合规性进行监督，年底对资金使用效果进行自评，为加强对项目的组织领导，确保项目保质保量的按照相关规定及程序完成，成立项目领导小组，具体如下：</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姜华任组长，负责全盘工作。</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pacing w:val="-4"/>
          <w:sz w:val="32"/>
          <w:szCs w:val="32"/>
          <w:highlight w:val="none"/>
          <w:lang w:val="en-US" w:eastAsia="zh-CN"/>
        </w:rPr>
      </w:pPr>
      <w:r>
        <w:rPr>
          <w:rFonts w:hint="eastAsia" w:ascii="方正仿宋_GBK" w:hAnsi="方正仿宋_GBK" w:eastAsia="方正仿宋_GBK" w:cs="方正仿宋_GBK"/>
          <w:color w:val="auto"/>
          <w:spacing w:val="-4"/>
          <w:sz w:val="32"/>
          <w:szCs w:val="32"/>
          <w:highlight w:val="none"/>
          <w:lang w:val="en-US" w:eastAsia="zh-CN"/>
        </w:rPr>
        <w:t>胡春玲任副组长，责对项目实施情况进行实地调查。</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pacing w:val="-4"/>
          <w:sz w:val="32"/>
          <w:szCs w:val="32"/>
          <w:highlight w:val="none"/>
          <w:lang w:val="en-US" w:eastAsia="zh-CN"/>
        </w:rPr>
        <w:t>姑丽杰乃提、苏莱慢为成员，负责资料收集审核等工作。</w:t>
      </w:r>
    </w:p>
    <w:p>
      <w:pPr>
        <w:pStyle w:val="12"/>
        <w:spacing w:line="570" w:lineRule="exact"/>
        <w:ind w:firstLine="640"/>
        <w:rPr>
          <w:rStyle w:val="10"/>
          <w:rFonts w:hint="eastAsia" w:ascii="方正仿宋_GBK" w:hAnsi="方正仿宋_GBK" w:eastAsia="方正仿宋_GBK" w:cs="方正仿宋_GBK"/>
          <w:b w:val="0"/>
          <w:bCs w:val="0"/>
          <w:color w:val="auto"/>
          <w:kern w:val="2"/>
          <w:sz w:val="32"/>
          <w:szCs w:val="32"/>
          <w:lang w:val="en-US" w:eastAsia="zh-CN" w:bidi="ar"/>
        </w:rPr>
      </w:pPr>
      <w:r>
        <w:rPr>
          <w:rFonts w:hint="eastAsia" w:ascii="方正仿宋_GBK" w:hAnsi="方正仿宋_GBK" w:eastAsia="方正仿宋_GBK" w:cs="方正仿宋_GBK"/>
          <w:color w:val="auto"/>
          <w:sz w:val="32"/>
          <w:szCs w:val="32"/>
        </w:rPr>
        <w:t>根据评分标准，该指标不扣分，得3分。</w:t>
      </w:r>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（三）项目产出情况</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color w:val="auto"/>
          <w:sz w:val="32"/>
          <w:szCs w:val="32"/>
        </w:rPr>
        <w:t>项目产出类指标包括产出数量、产出质量、产出时效、产出成本四方面的内容，由4个三级指标构成，权重分为40分，实际得分40分，得分率为100%。</w:t>
      </w:r>
    </w:p>
    <w:p>
      <w:pPr>
        <w:pageBreakBefore w:val="0"/>
        <w:numPr>
          <w:ilvl w:val="0"/>
          <w:numId w:val="5"/>
        </w:numPr>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对于“产出数量”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eastAsia="zh-CN"/>
        </w:rPr>
        <w:t>发放补助人数（人）指标，预期指标值大于等于</w:t>
      </w:r>
      <w:r>
        <w:rPr>
          <w:rFonts w:hint="eastAsia" w:ascii="方正仿宋_GBK" w:hAnsi="方正仿宋_GBK" w:eastAsia="方正仿宋_GBK" w:cs="方正仿宋_GBK"/>
          <w:color w:val="auto"/>
          <w:sz w:val="32"/>
          <w:szCs w:val="32"/>
          <w:highlight w:val="none"/>
          <w:lang w:val="en-US" w:eastAsia="zh-CN"/>
        </w:rPr>
        <w:t>132人，实际完成值132人，</w:t>
      </w:r>
      <w:r>
        <w:rPr>
          <w:rFonts w:hint="eastAsia" w:ascii="方正仿宋_GBK" w:hAnsi="方正仿宋_GBK" w:eastAsia="方正仿宋_GBK" w:cs="方正仿宋_GBK"/>
          <w:color w:val="auto"/>
          <w:sz w:val="32"/>
          <w:szCs w:val="32"/>
          <w:highlight w:val="none"/>
        </w:rPr>
        <w:t>与预期目标一致，根据评分标准，该指标不扣分，得</w:t>
      </w:r>
      <w:r>
        <w:rPr>
          <w:rFonts w:hint="eastAsia" w:ascii="方正仿宋_GBK" w:hAnsi="方正仿宋_GBK" w:eastAsia="方正仿宋_GBK" w:cs="方正仿宋_GBK"/>
          <w:color w:val="auto"/>
          <w:sz w:val="32"/>
          <w:szCs w:val="32"/>
          <w:highlight w:val="none"/>
          <w:lang w:val="en-US" w:eastAsia="zh-CN"/>
        </w:rPr>
        <w:t>10</w:t>
      </w:r>
      <w:r>
        <w:rPr>
          <w:rFonts w:hint="eastAsia" w:ascii="方正仿宋_GBK" w:hAnsi="方正仿宋_GBK" w:eastAsia="方正仿宋_GBK" w:cs="方正仿宋_GBK"/>
          <w:color w:val="auto"/>
          <w:sz w:val="32"/>
          <w:szCs w:val="32"/>
          <w:highlight w:val="none"/>
        </w:rPr>
        <w:t>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lang w:val="en-US" w:eastAsia="zh-CN"/>
        </w:rPr>
        <w:t>2</w:t>
      </w:r>
      <w:r>
        <w:rPr>
          <w:rFonts w:hint="eastAsia" w:ascii="方正仿宋_GBK" w:hAnsi="方正仿宋_GBK" w:eastAsia="方正仿宋_GBK" w:cs="方正仿宋_GBK"/>
          <w:b/>
          <w:bCs/>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rPr>
        <w:t>对于“产出质量”：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补助覆盖率（%）指标，预期指标值等于100%，</w:t>
      </w:r>
      <w:r>
        <w:rPr>
          <w:rFonts w:hint="eastAsia" w:ascii="方正仿宋_GBK" w:hAnsi="方正仿宋_GBK" w:eastAsia="方正仿宋_GBK" w:cs="方正仿宋_GBK"/>
          <w:color w:val="auto"/>
          <w:sz w:val="32"/>
          <w:szCs w:val="32"/>
          <w:highlight w:val="none"/>
          <w:lang w:eastAsia="zh-CN"/>
        </w:rPr>
        <w:t>实际完成值</w:t>
      </w:r>
      <w:r>
        <w:rPr>
          <w:rFonts w:hint="eastAsia" w:ascii="方正仿宋_GBK" w:hAnsi="方正仿宋_GBK" w:eastAsia="方正仿宋_GBK" w:cs="方正仿宋_GBK"/>
          <w:color w:val="auto"/>
          <w:sz w:val="32"/>
          <w:szCs w:val="32"/>
          <w:highlight w:val="none"/>
          <w:lang w:val="en-US" w:eastAsia="zh-CN"/>
        </w:rPr>
        <w:t>为100%，</w:t>
      </w:r>
      <w:r>
        <w:rPr>
          <w:rFonts w:hint="eastAsia" w:ascii="方正仿宋_GBK" w:hAnsi="方正仿宋_GBK" w:eastAsia="方正仿宋_GBK" w:cs="方正仿宋_GBK"/>
          <w:color w:val="auto"/>
          <w:sz w:val="32"/>
          <w:szCs w:val="32"/>
          <w:highlight w:val="none"/>
        </w:rPr>
        <w:t>与预期目标一致，根据评分标准，该指标不扣分，得</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资金使用合规率（%）指标，预期指标值等于100%，</w:t>
      </w:r>
      <w:r>
        <w:rPr>
          <w:rFonts w:hint="eastAsia" w:ascii="方正仿宋_GBK" w:hAnsi="方正仿宋_GBK" w:eastAsia="方正仿宋_GBK" w:cs="方正仿宋_GBK"/>
          <w:color w:val="auto"/>
          <w:sz w:val="32"/>
          <w:szCs w:val="32"/>
          <w:highlight w:val="none"/>
          <w:lang w:eastAsia="zh-CN"/>
        </w:rPr>
        <w:t>实际完成值</w:t>
      </w:r>
      <w:r>
        <w:rPr>
          <w:rFonts w:hint="eastAsia" w:ascii="方正仿宋_GBK" w:hAnsi="方正仿宋_GBK" w:eastAsia="方正仿宋_GBK" w:cs="方正仿宋_GBK"/>
          <w:color w:val="auto"/>
          <w:sz w:val="32"/>
          <w:szCs w:val="32"/>
          <w:highlight w:val="none"/>
          <w:lang w:val="en-US" w:eastAsia="zh-CN"/>
        </w:rPr>
        <w:t>为100%</w:t>
      </w:r>
      <w:r>
        <w:rPr>
          <w:rFonts w:hint="eastAsia" w:ascii="方正仿宋_GBK" w:hAnsi="方正仿宋_GBK" w:eastAsia="方正仿宋_GBK" w:cs="方正仿宋_GBK"/>
          <w:color w:val="auto"/>
          <w:sz w:val="32"/>
          <w:szCs w:val="32"/>
          <w:highlight w:val="none"/>
        </w:rPr>
        <w:t>，与预期目标一致，根据评分标准，该指标不扣分，得</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b w:val="0"/>
          <w:bCs w:val="0"/>
          <w:color w:val="auto"/>
          <w:sz w:val="32"/>
          <w:szCs w:val="32"/>
          <w:highlight w:val="none"/>
          <w:lang w:eastAsia="zh-CN"/>
        </w:rPr>
      </w:pPr>
      <w:r>
        <w:rPr>
          <w:rFonts w:hint="eastAsia" w:ascii="方正仿宋_GBK" w:hAnsi="方正仿宋_GBK" w:eastAsia="方正仿宋_GBK" w:cs="方正仿宋_GBK"/>
          <w:b w:val="0"/>
          <w:bCs w:val="0"/>
          <w:color w:val="auto"/>
          <w:sz w:val="32"/>
          <w:szCs w:val="32"/>
          <w:highlight w:val="none"/>
          <w:lang w:eastAsia="zh-CN"/>
        </w:rPr>
        <w:t>合计得</w:t>
      </w:r>
      <w:r>
        <w:rPr>
          <w:rFonts w:hint="eastAsia" w:ascii="方正仿宋_GBK" w:hAnsi="方正仿宋_GBK" w:eastAsia="方正仿宋_GBK" w:cs="方正仿宋_GBK"/>
          <w:b w:val="0"/>
          <w:bCs w:val="0"/>
          <w:color w:val="auto"/>
          <w:sz w:val="32"/>
          <w:szCs w:val="32"/>
          <w:highlight w:val="none"/>
          <w:lang w:val="en-US" w:eastAsia="zh-CN"/>
        </w:rPr>
        <w:t>10</w:t>
      </w:r>
      <w:r>
        <w:rPr>
          <w:rFonts w:hint="eastAsia" w:ascii="方正仿宋_GBK" w:hAnsi="方正仿宋_GBK" w:eastAsia="方正仿宋_GBK" w:cs="方正仿宋_GBK"/>
          <w:b w:val="0"/>
          <w:bCs w:val="0"/>
          <w:color w:val="auto"/>
          <w:sz w:val="32"/>
          <w:szCs w:val="32"/>
          <w:highlight w:val="none"/>
          <w:lang w:eastAsia="zh-CN"/>
        </w:rPr>
        <w:t>分。</w:t>
      </w:r>
    </w:p>
    <w:p>
      <w:pPr>
        <w:pStyle w:val="5"/>
        <w:pageBreakBefore w:val="0"/>
        <w:numPr>
          <w:ilvl w:val="0"/>
          <w:numId w:val="0"/>
        </w:numPr>
        <w:kinsoku/>
        <w:wordWrap/>
        <w:topLinePunct w:val="0"/>
        <w:autoSpaceDE/>
        <w:bidi w:val="0"/>
        <w:spacing w:before="0" w:after="0" w:line="560" w:lineRule="exact"/>
        <w:ind w:firstLine="640" w:firstLineChars="200"/>
        <w:jc w:val="both"/>
        <w:rPr>
          <w:rFonts w:hint="eastAsia" w:ascii="方正仿宋_GBK" w:hAnsi="方正仿宋_GBK" w:eastAsia="方正仿宋_GBK" w:cs="方正仿宋_GBK"/>
          <w:bCs/>
          <w:color w:val="auto"/>
          <w:sz w:val="32"/>
          <w:szCs w:val="32"/>
          <w:highlight w:val="none"/>
        </w:rPr>
      </w:pPr>
      <w:r>
        <w:rPr>
          <w:rFonts w:hint="eastAsia" w:ascii="方正仿宋_GBK" w:hAnsi="方正仿宋_GBK" w:eastAsia="方正仿宋_GBK" w:cs="方正仿宋_GBK"/>
          <w:bCs/>
          <w:color w:val="auto"/>
          <w:sz w:val="32"/>
          <w:szCs w:val="32"/>
          <w:highlight w:val="none"/>
          <w:lang w:eastAsia="zh-CN"/>
        </w:rPr>
        <w:t>（</w:t>
      </w:r>
      <w:r>
        <w:rPr>
          <w:rFonts w:hint="eastAsia" w:ascii="方正仿宋_GBK" w:hAnsi="方正仿宋_GBK" w:eastAsia="方正仿宋_GBK" w:cs="方正仿宋_GBK"/>
          <w:bCs/>
          <w:color w:val="auto"/>
          <w:sz w:val="32"/>
          <w:szCs w:val="32"/>
          <w:highlight w:val="none"/>
          <w:lang w:val="en-US" w:eastAsia="zh-CN"/>
        </w:rPr>
        <w:t>3</w:t>
      </w:r>
      <w:r>
        <w:rPr>
          <w:rFonts w:hint="eastAsia" w:ascii="方正仿宋_GBK" w:hAnsi="方正仿宋_GBK" w:eastAsia="方正仿宋_GBK" w:cs="方正仿宋_GBK"/>
          <w:bCs/>
          <w:color w:val="auto"/>
          <w:sz w:val="32"/>
          <w:szCs w:val="32"/>
          <w:highlight w:val="none"/>
          <w:lang w:eastAsia="zh-CN"/>
        </w:rPr>
        <w:t>）</w:t>
      </w:r>
      <w:r>
        <w:rPr>
          <w:rFonts w:hint="eastAsia" w:ascii="方正仿宋_GBK" w:hAnsi="方正仿宋_GBK" w:eastAsia="方正仿宋_GBK" w:cs="方正仿宋_GBK"/>
          <w:bCs/>
          <w:color w:val="auto"/>
          <w:sz w:val="32"/>
          <w:szCs w:val="32"/>
          <w:highlight w:val="none"/>
        </w:rPr>
        <w:t>对于“产出时效”：</w:t>
      </w:r>
    </w:p>
    <w:p>
      <w:pPr>
        <w:pStyle w:val="5"/>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color w:val="auto"/>
          <w:kern w:val="2"/>
          <w:sz w:val="32"/>
          <w:szCs w:val="32"/>
          <w:highlight w:val="none"/>
          <w:lang w:val="en-US" w:eastAsia="zh-CN" w:bidi="ar-SA"/>
        </w:rPr>
      </w:pPr>
      <w:r>
        <w:rPr>
          <w:rFonts w:hint="eastAsia" w:ascii="方正仿宋_GBK" w:hAnsi="方正仿宋_GBK" w:eastAsia="方正仿宋_GBK" w:cs="方正仿宋_GBK"/>
          <w:b w:val="0"/>
          <w:color w:val="auto"/>
          <w:kern w:val="2"/>
          <w:sz w:val="32"/>
          <w:szCs w:val="32"/>
          <w:highlight w:val="none"/>
          <w:lang w:val="en-US" w:eastAsia="zh-CN" w:bidi="ar-SA"/>
        </w:rPr>
        <w:t>项目完成时间指标，预期指标值2022年6月，实际完成值为2022年6月，与预期目标指标一致，根据评分标准，该指标不扣分，得5分。</w:t>
      </w:r>
    </w:p>
    <w:p>
      <w:pPr>
        <w:pageBreakBefore w:val="0"/>
        <w:kinsoku/>
        <w:wordWrap/>
        <w:topLinePunct w:val="0"/>
        <w:autoSpaceDE/>
        <w:bidi w:val="0"/>
        <w:spacing w:line="560" w:lineRule="exact"/>
        <w:ind w:firstLine="64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资金发放及时率（%）指标，预期指标值等于100%</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实际完成值</w:t>
      </w:r>
      <w:r>
        <w:rPr>
          <w:rFonts w:hint="eastAsia" w:ascii="方正仿宋_GBK" w:hAnsi="方正仿宋_GBK" w:eastAsia="方正仿宋_GBK" w:cs="方正仿宋_GBK"/>
          <w:color w:val="auto"/>
          <w:sz w:val="32"/>
          <w:szCs w:val="32"/>
          <w:highlight w:val="none"/>
          <w:lang w:val="en-US" w:eastAsia="zh-CN"/>
        </w:rPr>
        <w:t>为100%</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b w:val="0"/>
          <w:color w:val="auto"/>
          <w:sz w:val="32"/>
          <w:szCs w:val="32"/>
          <w:highlight w:val="none"/>
        </w:rPr>
        <w:t>与预期目标指标一</w:t>
      </w:r>
      <w:r>
        <w:rPr>
          <w:rFonts w:hint="eastAsia" w:ascii="方正仿宋_GBK" w:hAnsi="方正仿宋_GBK" w:eastAsia="方正仿宋_GBK" w:cs="方正仿宋_GBK"/>
          <w:b w:val="0"/>
          <w:bCs/>
          <w:color w:val="auto"/>
          <w:sz w:val="32"/>
          <w:szCs w:val="32"/>
          <w:highlight w:val="none"/>
        </w:rPr>
        <w:t>致</w:t>
      </w:r>
      <w:r>
        <w:rPr>
          <w:rFonts w:hint="eastAsia" w:ascii="方正仿宋_GBK" w:hAnsi="方正仿宋_GBK" w:eastAsia="方正仿宋_GBK" w:cs="方正仿宋_GBK"/>
          <w:b w:val="0"/>
          <w:color w:val="auto"/>
          <w:sz w:val="32"/>
          <w:szCs w:val="32"/>
          <w:highlight w:val="none"/>
        </w:rPr>
        <w:t>，</w:t>
      </w:r>
      <w:r>
        <w:rPr>
          <w:rFonts w:hint="eastAsia" w:ascii="方正仿宋_GBK" w:hAnsi="方正仿宋_GBK" w:eastAsia="方正仿宋_GBK" w:cs="方正仿宋_GBK"/>
          <w:color w:val="auto"/>
          <w:sz w:val="32"/>
          <w:szCs w:val="32"/>
          <w:highlight w:val="none"/>
        </w:rPr>
        <w:t>根据评分标准，该指标</w:t>
      </w:r>
      <w:r>
        <w:rPr>
          <w:rFonts w:hint="eastAsia" w:ascii="方正仿宋_GBK" w:hAnsi="方正仿宋_GBK" w:eastAsia="方正仿宋_GBK" w:cs="方正仿宋_GBK"/>
          <w:color w:val="auto"/>
          <w:sz w:val="32"/>
          <w:szCs w:val="32"/>
          <w:highlight w:val="none"/>
          <w:lang w:val="en-US" w:eastAsia="zh-CN"/>
        </w:rPr>
        <w:t>不</w:t>
      </w:r>
      <w:r>
        <w:rPr>
          <w:rFonts w:hint="eastAsia" w:ascii="方正仿宋_GBK" w:hAnsi="方正仿宋_GBK" w:eastAsia="方正仿宋_GBK" w:cs="方正仿宋_GBK"/>
          <w:color w:val="auto"/>
          <w:sz w:val="32"/>
          <w:szCs w:val="32"/>
          <w:highlight w:val="none"/>
        </w:rPr>
        <w:t>扣分，得</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b w:val="0"/>
          <w:bCs w:val="0"/>
          <w:color w:val="auto"/>
          <w:sz w:val="32"/>
          <w:szCs w:val="32"/>
          <w:highlight w:val="none"/>
          <w:lang w:eastAsia="zh-CN"/>
        </w:rPr>
      </w:pPr>
      <w:r>
        <w:rPr>
          <w:rFonts w:hint="eastAsia" w:ascii="方正仿宋_GBK" w:hAnsi="方正仿宋_GBK" w:eastAsia="方正仿宋_GBK" w:cs="方正仿宋_GBK"/>
          <w:b w:val="0"/>
          <w:bCs w:val="0"/>
          <w:color w:val="auto"/>
          <w:sz w:val="32"/>
          <w:szCs w:val="32"/>
          <w:highlight w:val="none"/>
          <w:lang w:eastAsia="zh-CN"/>
        </w:rPr>
        <w:t>合计得</w:t>
      </w:r>
      <w:r>
        <w:rPr>
          <w:rFonts w:hint="eastAsia" w:ascii="方正仿宋_GBK" w:hAnsi="方正仿宋_GBK" w:eastAsia="方正仿宋_GBK" w:cs="方正仿宋_GBK"/>
          <w:b w:val="0"/>
          <w:bCs w:val="0"/>
          <w:color w:val="auto"/>
          <w:sz w:val="32"/>
          <w:szCs w:val="32"/>
          <w:highlight w:val="none"/>
          <w:lang w:val="en-US" w:eastAsia="zh-CN"/>
        </w:rPr>
        <w:t>10</w:t>
      </w:r>
      <w:r>
        <w:rPr>
          <w:rFonts w:hint="eastAsia" w:ascii="方正仿宋_GBK" w:hAnsi="方正仿宋_GBK" w:eastAsia="方正仿宋_GBK" w:cs="方正仿宋_GBK"/>
          <w:b w:val="0"/>
          <w:bCs w:val="0"/>
          <w:color w:val="auto"/>
          <w:sz w:val="32"/>
          <w:szCs w:val="32"/>
          <w:highlight w:val="none"/>
          <w:lang w:eastAsia="zh-CN"/>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（4）对于“产出成本”：</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发放补助标准（元/人）指标，预期指标值小于等于327.27</w:t>
      </w:r>
      <w:r>
        <w:rPr>
          <w:rFonts w:hint="eastAsia" w:ascii="方正仿宋_GBK" w:hAnsi="方正仿宋_GBK" w:eastAsia="方正仿宋_GBK" w:cs="方正仿宋_GBK"/>
          <w:color w:val="auto"/>
          <w:sz w:val="32"/>
          <w:szCs w:val="32"/>
          <w:highlight w:val="none"/>
        </w:rPr>
        <w:t>元</w:t>
      </w:r>
      <w:r>
        <w:rPr>
          <w:rFonts w:hint="eastAsia" w:ascii="方正仿宋_GBK" w:hAnsi="方正仿宋_GBK" w:eastAsia="方正仿宋_GBK" w:cs="方正仿宋_GBK"/>
          <w:color w:val="auto"/>
          <w:sz w:val="32"/>
          <w:szCs w:val="32"/>
          <w:highlight w:val="none"/>
          <w:lang w:val="en-US" w:eastAsia="zh-CN"/>
        </w:rPr>
        <w:t>/人</w:t>
      </w:r>
      <w:r>
        <w:rPr>
          <w:rFonts w:hint="eastAsia" w:ascii="方正仿宋_GBK" w:hAnsi="方正仿宋_GBK" w:eastAsia="方正仿宋_GBK" w:cs="方正仿宋_GBK"/>
          <w:color w:val="auto"/>
          <w:sz w:val="32"/>
          <w:szCs w:val="32"/>
          <w:highlight w:val="none"/>
        </w:rPr>
        <w:t>，实际</w:t>
      </w:r>
      <w:r>
        <w:rPr>
          <w:rFonts w:hint="eastAsia" w:ascii="方正仿宋_GBK" w:hAnsi="方正仿宋_GBK" w:eastAsia="方正仿宋_GBK" w:cs="方正仿宋_GBK"/>
          <w:color w:val="auto"/>
          <w:sz w:val="32"/>
          <w:szCs w:val="32"/>
          <w:highlight w:val="none"/>
          <w:lang w:eastAsia="zh-CN"/>
        </w:rPr>
        <w:t>完成值</w:t>
      </w:r>
      <w:r>
        <w:rPr>
          <w:rFonts w:hint="eastAsia" w:ascii="方正仿宋_GBK" w:hAnsi="方正仿宋_GBK" w:eastAsia="方正仿宋_GBK" w:cs="方正仿宋_GBK"/>
          <w:color w:val="auto"/>
          <w:sz w:val="32"/>
          <w:szCs w:val="32"/>
          <w:highlight w:val="none"/>
          <w:lang w:val="en-US" w:eastAsia="zh-CN"/>
        </w:rPr>
        <w:t>327.27</w:t>
      </w:r>
      <w:r>
        <w:rPr>
          <w:rFonts w:hint="eastAsia" w:ascii="方正仿宋_GBK" w:hAnsi="方正仿宋_GBK" w:eastAsia="方正仿宋_GBK" w:cs="方正仿宋_GBK"/>
          <w:color w:val="auto"/>
          <w:sz w:val="32"/>
          <w:szCs w:val="32"/>
          <w:highlight w:val="none"/>
        </w:rPr>
        <w:t>元</w:t>
      </w:r>
      <w:r>
        <w:rPr>
          <w:rFonts w:hint="eastAsia" w:ascii="方正仿宋_GBK" w:hAnsi="方正仿宋_GBK" w:eastAsia="方正仿宋_GBK" w:cs="方正仿宋_GBK"/>
          <w:color w:val="auto"/>
          <w:sz w:val="32"/>
          <w:szCs w:val="32"/>
          <w:highlight w:val="none"/>
          <w:lang w:val="en-US" w:eastAsia="zh-CN"/>
        </w:rPr>
        <w:t>/人</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b w:val="0"/>
          <w:color w:val="auto"/>
          <w:sz w:val="32"/>
          <w:szCs w:val="32"/>
          <w:highlight w:val="none"/>
        </w:rPr>
        <w:t>与预期目标指标一</w:t>
      </w:r>
      <w:r>
        <w:rPr>
          <w:rFonts w:hint="eastAsia" w:ascii="方正仿宋_GBK" w:hAnsi="方正仿宋_GBK" w:eastAsia="方正仿宋_GBK" w:cs="方正仿宋_GBK"/>
          <w:b w:val="0"/>
          <w:bCs/>
          <w:color w:val="auto"/>
          <w:sz w:val="32"/>
          <w:szCs w:val="32"/>
          <w:highlight w:val="none"/>
        </w:rPr>
        <w:t>致</w:t>
      </w:r>
      <w:r>
        <w:rPr>
          <w:rFonts w:hint="eastAsia" w:ascii="方正仿宋_GBK" w:hAnsi="方正仿宋_GBK" w:eastAsia="方正仿宋_GBK" w:cs="方正仿宋_GBK"/>
          <w:b w:val="0"/>
          <w:color w:val="auto"/>
          <w:sz w:val="32"/>
          <w:szCs w:val="32"/>
          <w:highlight w:val="none"/>
        </w:rPr>
        <w:t>，</w:t>
      </w:r>
      <w:r>
        <w:rPr>
          <w:rFonts w:hint="eastAsia" w:ascii="方正仿宋_GBK" w:hAnsi="方正仿宋_GBK" w:eastAsia="方正仿宋_GBK" w:cs="方正仿宋_GBK"/>
          <w:color w:val="auto"/>
          <w:sz w:val="32"/>
          <w:szCs w:val="32"/>
          <w:highlight w:val="none"/>
        </w:rPr>
        <w:t>根据评分标准，该指标不扣分，得</w:t>
      </w:r>
      <w:r>
        <w:rPr>
          <w:rFonts w:hint="eastAsia" w:ascii="方正仿宋_GBK" w:hAnsi="方正仿宋_GBK" w:eastAsia="方正仿宋_GBK" w:cs="方正仿宋_GBK"/>
          <w:color w:val="auto"/>
          <w:sz w:val="32"/>
          <w:szCs w:val="32"/>
          <w:highlight w:val="none"/>
          <w:lang w:val="en-US" w:eastAsia="zh-CN"/>
        </w:rPr>
        <w:t>10</w:t>
      </w:r>
      <w:r>
        <w:rPr>
          <w:rFonts w:hint="eastAsia" w:ascii="方正仿宋_GBK" w:hAnsi="方正仿宋_GBK" w:eastAsia="方正仿宋_GBK" w:cs="方正仿宋_GBK"/>
          <w:color w:val="auto"/>
          <w:sz w:val="32"/>
          <w:szCs w:val="32"/>
          <w:highlight w:val="none"/>
        </w:rPr>
        <w:t>分。</w:t>
      </w:r>
    </w:p>
    <w:p>
      <w:pPr>
        <w:pStyle w:val="15"/>
        <w:pageBreakBefore w:val="0"/>
        <w:kinsoku/>
        <w:wordWrap/>
        <w:topLinePunct w:val="0"/>
        <w:autoSpaceDE/>
        <w:bidi w:val="0"/>
        <w:spacing w:line="560" w:lineRule="exact"/>
        <w:ind w:firstLine="640" w:firstLineChars="200"/>
        <w:rPr>
          <w:rFonts w:hint="eastAsia" w:ascii="方正仿宋_GBK" w:hAnsi="方正仿宋_GBK" w:eastAsia="方正仿宋_GBK" w:cs="方正仿宋_GBK"/>
          <w:b/>
          <w:bCs/>
          <w:color w:val="auto"/>
          <w:kern w:val="2"/>
          <w:sz w:val="32"/>
          <w:szCs w:val="32"/>
          <w:highlight w:val="none"/>
          <w:lang w:val="en-US" w:eastAsia="zh-CN" w:bidi="ar-SA"/>
        </w:rPr>
      </w:pPr>
      <w:r>
        <w:rPr>
          <w:rFonts w:hint="eastAsia" w:ascii="方正仿宋_GBK" w:hAnsi="方正仿宋_GBK" w:eastAsia="方正仿宋_GBK" w:cs="方正仿宋_GBK"/>
          <w:b w:val="0"/>
          <w:bCs w:val="0"/>
          <w:color w:val="auto"/>
          <w:kern w:val="2"/>
          <w:sz w:val="32"/>
          <w:szCs w:val="32"/>
          <w:highlight w:val="none"/>
          <w:lang w:val="en-US" w:eastAsia="zh-CN" w:bidi="ar-SA"/>
        </w:rPr>
        <w:t>合计得10分</w:t>
      </w:r>
      <w:r>
        <w:rPr>
          <w:rFonts w:hint="eastAsia" w:ascii="方正仿宋_GBK" w:hAnsi="方正仿宋_GBK" w:eastAsia="方正仿宋_GBK" w:cs="方正仿宋_GBK"/>
          <w:b/>
          <w:bCs/>
          <w:color w:val="auto"/>
          <w:kern w:val="2"/>
          <w:sz w:val="32"/>
          <w:szCs w:val="32"/>
          <w:highlight w:val="none"/>
          <w:lang w:val="en-US" w:eastAsia="zh-CN" w:bidi="ar-SA"/>
        </w:rPr>
        <w:t>。</w:t>
      </w:r>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（四）项目效益情况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项目效益类指标包括项目效益1个方面的内容，由</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个三级指标构成，权重分为</w:t>
      </w: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sz w:val="32"/>
          <w:szCs w:val="32"/>
          <w:highlight w:val="none"/>
        </w:rPr>
        <w:t>分，实际得分</w:t>
      </w: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sz w:val="32"/>
          <w:szCs w:val="32"/>
          <w:highlight w:val="none"/>
        </w:rPr>
        <w:t>分，得分率为</w:t>
      </w:r>
      <w:r>
        <w:rPr>
          <w:rFonts w:hint="eastAsia" w:ascii="方正仿宋_GBK" w:hAnsi="方正仿宋_GBK" w:eastAsia="方正仿宋_GBK" w:cs="方正仿宋_GBK"/>
          <w:color w:val="auto"/>
          <w:sz w:val="32"/>
          <w:szCs w:val="32"/>
          <w:highlight w:val="none"/>
          <w:lang w:val="en-US" w:eastAsia="zh-CN"/>
        </w:rPr>
        <w:t>100</w:t>
      </w:r>
      <w:r>
        <w:rPr>
          <w:rFonts w:hint="eastAsia" w:ascii="方正仿宋_GBK" w:hAnsi="方正仿宋_GBK" w:eastAsia="方正仿宋_GBK" w:cs="方正仿宋_GBK"/>
          <w:color w:val="auto"/>
          <w:sz w:val="32"/>
          <w:szCs w:val="32"/>
          <w:highlight w:val="none"/>
        </w:rPr>
        <w:t>%。</w:t>
      </w:r>
    </w:p>
    <w:p>
      <w:pPr>
        <w:pageBreakBefore w:val="0"/>
        <w:kinsoku/>
        <w:wordWrap/>
        <w:overflowPunct w:val="0"/>
        <w:topLinePunct w:val="0"/>
        <w:autoSpaceDE/>
        <w:bidi w:val="0"/>
        <w:spacing w:line="560" w:lineRule="exact"/>
        <w:ind w:firstLine="643"/>
        <w:contextualSpacing/>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1.实施效益指标：</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highlight w:val="none"/>
        </w:rPr>
        <w:t>对于“社会效益指标”：</w:t>
      </w:r>
    </w:p>
    <w:p>
      <w:pPr>
        <w:pageBreakBefore w:val="0"/>
        <w:kinsoku/>
        <w:wordWrap/>
        <w:topLinePunct w:val="0"/>
        <w:autoSpaceDE/>
        <w:bidi w:val="0"/>
        <w:spacing w:line="560" w:lineRule="exact"/>
        <w:ind w:firstLine="640"/>
        <w:rPr>
          <w:rFonts w:hint="eastAsia" w:ascii="方正仿宋_GBK" w:hAnsi="方正仿宋_GBK" w:eastAsia="方正仿宋_GBK" w:cs="方正仿宋_GBK"/>
          <w:b w:val="0"/>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普查原始数据抄录差错率（%）指标，预期指标值等于0%,实际完成值0%，</w:t>
      </w:r>
      <w:r>
        <w:rPr>
          <w:rFonts w:hint="eastAsia" w:ascii="方正仿宋_GBK" w:hAnsi="方正仿宋_GBK" w:eastAsia="方正仿宋_GBK" w:cs="方正仿宋_GBK"/>
          <w:color w:val="auto"/>
          <w:sz w:val="32"/>
          <w:szCs w:val="32"/>
          <w:highlight w:val="none"/>
        </w:rPr>
        <w:t>与预期指标一致，根据评分标准，该指标不扣分，得</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highlight w:val="none"/>
        </w:rPr>
        <w:t>对于“可持续影响指标”：</w:t>
      </w:r>
    </w:p>
    <w:p>
      <w:pPr>
        <w:pStyle w:val="5"/>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color w:val="auto"/>
          <w:sz w:val="32"/>
          <w:szCs w:val="32"/>
          <w:highlight w:val="none"/>
        </w:rPr>
      </w:pPr>
      <w:r>
        <w:rPr>
          <w:rFonts w:hint="eastAsia" w:ascii="方正仿宋_GBK" w:hAnsi="方正仿宋_GBK" w:eastAsia="方正仿宋_GBK" w:cs="方正仿宋_GBK"/>
          <w:b w:val="0"/>
          <w:color w:val="auto"/>
          <w:sz w:val="32"/>
          <w:szCs w:val="32"/>
          <w:highlight w:val="none"/>
          <w:lang w:val="en-US" w:eastAsia="zh-CN"/>
        </w:rPr>
        <w:t>持续为群众提供政府公共服务指标</w:t>
      </w:r>
      <w:r>
        <w:rPr>
          <w:rFonts w:hint="eastAsia" w:ascii="方正仿宋_GBK" w:hAnsi="方正仿宋_GBK" w:eastAsia="方正仿宋_GBK" w:cs="方正仿宋_GBK"/>
          <w:b w:val="0"/>
          <w:color w:val="auto"/>
          <w:sz w:val="32"/>
          <w:szCs w:val="32"/>
          <w:highlight w:val="none"/>
        </w:rPr>
        <w:t>，</w:t>
      </w:r>
      <w:r>
        <w:rPr>
          <w:rFonts w:hint="eastAsia" w:ascii="方正仿宋_GBK" w:hAnsi="方正仿宋_GBK" w:eastAsia="方正仿宋_GBK" w:cs="方正仿宋_GBK"/>
          <w:b w:val="0"/>
          <w:color w:val="auto"/>
          <w:sz w:val="32"/>
          <w:szCs w:val="32"/>
          <w:highlight w:val="none"/>
          <w:lang w:eastAsia="zh-CN"/>
        </w:rPr>
        <w:t>预期指标值长期，</w:t>
      </w:r>
      <w:r>
        <w:rPr>
          <w:rFonts w:hint="eastAsia" w:ascii="方正仿宋_GBK" w:hAnsi="方正仿宋_GBK" w:eastAsia="方正仿宋_GBK" w:cs="方正仿宋_GBK"/>
          <w:b w:val="0"/>
          <w:color w:val="auto"/>
          <w:sz w:val="32"/>
          <w:szCs w:val="32"/>
          <w:highlight w:val="none"/>
          <w:lang w:val="en-US" w:eastAsia="zh-CN"/>
        </w:rPr>
        <w:t>实际完成值长期，</w:t>
      </w:r>
      <w:r>
        <w:rPr>
          <w:rFonts w:hint="eastAsia" w:ascii="方正仿宋_GBK" w:hAnsi="方正仿宋_GBK" w:eastAsia="方正仿宋_GBK" w:cs="方正仿宋_GBK"/>
          <w:b w:val="0"/>
          <w:color w:val="auto"/>
          <w:sz w:val="32"/>
          <w:szCs w:val="32"/>
          <w:highlight w:val="none"/>
        </w:rPr>
        <w:t>与预期指标一致，根据评分标准，该指标不扣分，得</w:t>
      </w:r>
      <w:r>
        <w:rPr>
          <w:rFonts w:hint="eastAsia" w:ascii="方正仿宋_GBK" w:hAnsi="方正仿宋_GBK" w:eastAsia="方正仿宋_GBK" w:cs="方正仿宋_GBK"/>
          <w:b w:val="0"/>
          <w:color w:val="auto"/>
          <w:sz w:val="32"/>
          <w:szCs w:val="32"/>
          <w:highlight w:val="none"/>
          <w:lang w:val="en-US" w:eastAsia="zh-CN"/>
        </w:rPr>
        <w:t>5</w:t>
      </w:r>
      <w:r>
        <w:rPr>
          <w:rFonts w:hint="eastAsia" w:ascii="方正仿宋_GBK" w:hAnsi="方正仿宋_GBK" w:eastAsia="方正仿宋_GBK" w:cs="方正仿宋_GBK"/>
          <w:b w:val="0"/>
          <w:color w:val="auto"/>
          <w:sz w:val="32"/>
          <w:szCs w:val="32"/>
          <w:highlight w:val="none"/>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3</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highlight w:val="none"/>
        </w:rPr>
        <w:t>对于“经济效益指标”：</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本项目无该指标。</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4</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highlight w:val="none"/>
        </w:rPr>
        <w:t>对于“生态效益指标”：</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本项目无该指标。</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val="0"/>
          <w:color w:val="auto"/>
          <w:sz w:val="32"/>
          <w:szCs w:val="32"/>
          <w:highlight w:val="none"/>
        </w:rPr>
        <w:t>实施效益指标合计得</w:t>
      </w:r>
      <w:r>
        <w:rPr>
          <w:rFonts w:hint="eastAsia" w:ascii="方正仿宋_GBK" w:hAnsi="方正仿宋_GBK" w:eastAsia="方正仿宋_GBK" w:cs="方正仿宋_GBK"/>
          <w:b w:val="0"/>
          <w:color w:val="auto"/>
          <w:sz w:val="32"/>
          <w:szCs w:val="32"/>
          <w:highlight w:val="none"/>
          <w:lang w:val="en-US" w:eastAsia="zh-CN"/>
        </w:rPr>
        <w:t>10</w:t>
      </w:r>
      <w:r>
        <w:rPr>
          <w:rFonts w:hint="eastAsia" w:ascii="方正仿宋_GBK" w:hAnsi="方正仿宋_GBK" w:eastAsia="方正仿宋_GBK" w:cs="方正仿宋_GBK"/>
          <w:b w:val="0"/>
          <w:color w:val="auto"/>
          <w:sz w:val="32"/>
          <w:szCs w:val="32"/>
          <w:highlight w:val="none"/>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2.满意度指标:</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受益群众满意度（%）</w:t>
      </w:r>
      <w:r>
        <w:rPr>
          <w:rFonts w:hint="eastAsia" w:ascii="方正仿宋_GBK" w:hAnsi="方正仿宋_GBK" w:eastAsia="方正仿宋_GBK" w:cs="方正仿宋_GBK"/>
          <w:color w:val="auto"/>
          <w:sz w:val="32"/>
          <w:szCs w:val="32"/>
          <w:highlight w:val="none"/>
          <w:lang w:eastAsia="zh-CN"/>
        </w:rPr>
        <w:t>指标，预期指标值大于等于</w:t>
      </w:r>
      <w:r>
        <w:rPr>
          <w:rFonts w:hint="eastAsia" w:ascii="方正仿宋_GBK" w:hAnsi="方正仿宋_GBK" w:eastAsia="方正仿宋_GBK" w:cs="方正仿宋_GBK"/>
          <w:color w:val="auto"/>
          <w:sz w:val="32"/>
          <w:szCs w:val="32"/>
          <w:highlight w:val="none"/>
          <w:lang w:val="en-US" w:eastAsia="zh-CN"/>
        </w:rPr>
        <w:t>95%，实际完成值100%，</w:t>
      </w:r>
      <w:r>
        <w:rPr>
          <w:rFonts w:hint="eastAsia" w:ascii="方正仿宋_GBK" w:hAnsi="方正仿宋_GBK" w:eastAsia="方正仿宋_GBK" w:cs="方正仿宋_GBK"/>
          <w:color w:val="auto"/>
          <w:sz w:val="32"/>
          <w:szCs w:val="32"/>
          <w:highlight w:val="none"/>
        </w:rPr>
        <w:t>与预期目标一致，根据评分标准，该指标</w:t>
      </w:r>
      <w:r>
        <w:rPr>
          <w:rFonts w:hint="eastAsia" w:ascii="方正仿宋_GBK" w:hAnsi="方正仿宋_GBK" w:eastAsia="方正仿宋_GBK" w:cs="方正仿宋_GBK"/>
          <w:color w:val="auto"/>
          <w:sz w:val="32"/>
          <w:szCs w:val="32"/>
          <w:highlight w:val="none"/>
          <w:lang w:eastAsia="zh-CN"/>
        </w:rPr>
        <w:t>不</w:t>
      </w:r>
      <w:r>
        <w:rPr>
          <w:rFonts w:hint="eastAsia" w:ascii="方正仿宋_GBK" w:hAnsi="方正仿宋_GBK" w:eastAsia="方正仿宋_GBK" w:cs="方正仿宋_GBK"/>
          <w:color w:val="auto"/>
          <w:sz w:val="32"/>
          <w:szCs w:val="32"/>
          <w:highlight w:val="none"/>
        </w:rPr>
        <w:t>扣分</w:t>
      </w:r>
      <w:bookmarkEnd w:id="11"/>
      <w:r>
        <w:rPr>
          <w:rFonts w:hint="eastAsia" w:ascii="方正仿宋_GBK" w:hAnsi="方正仿宋_GBK" w:eastAsia="方正仿宋_GBK" w:cs="方正仿宋_GBK"/>
          <w:color w:val="auto"/>
          <w:sz w:val="32"/>
          <w:szCs w:val="32"/>
          <w:highlight w:val="none"/>
          <w:lang w:eastAsia="zh-CN"/>
        </w:rPr>
        <w:t>，得</w:t>
      </w:r>
      <w:r>
        <w:rPr>
          <w:rFonts w:hint="eastAsia" w:ascii="方正仿宋_GBK" w:hAnsi="方正仿宋_GBK" w:eastAsia="方正仿宋_GBK" w:cs="方正仿宋_GBK"/>
          <w:color w:val="auto"/>
          <w:sz w:val="32"/>
          <w:szCs w:val="32"/>
          <w:highlight w:val="none"/>
          <w:lang w:val="en-US" w:eastAsia="zh-CN"/>
        </w:rPr>
        <w:t>10分。</w:t>
      </w:r>
    </w:p>
    <w:p>
      <w:pPr>
        <w:pStyle w:val="5"/>
        <w:spacing w:before="0" w:after="0" w:line="560" w:lineRule="exact"/>
        <w:ind w:firstLine="640"/>
        <w:jc w:val="both"/>
        <w:rPr>
          <w:rStyle w:val="10"/>
          <w:rFonts w:hint="eastAsia" w:ascii="方正仿宋_GBK" w:hAnsi="方正仿宋_GBK" w:eastAsia="方正仿宋_GBK" w:cs="方正仿宋_GBK"/>
          <w:b w:val="0"/>
          <w:color w:val="auto"/>
          <w:spacing w:val="-4"/>
          <w:sz w:val="32"/>
          <w:szCs w:val="32"/>
          <w:highlight w:val="none"/>
          <w:lang w:val="en-US" w:eastAsia="zh-CN"/>
        </w:rPr>
      </w:pPr>
      <w:r>
        <w:rPr>
          <w:rFonts w:hint="eastAsia" w:ascii="方正仿宋_GBK" w:hAnsi="方正仿宋_GBK" w:eastAsia="方正仿宋_GBK" w:cs="方正仿宋_GBK"/>
          <w:b w:val="0"/>
          <w:bCs/>
          <w:color w:val="auto"/>
          <w:sz w:val="32"/>
          <w:szCs w:val="32"/>
          <w:highlight w:val="none"/>
          <w:lang w:val="en-US" w:eastAsia="zh-CN"/>
        </w:rPr>
        <w:t>本次采取发放问卷调查的方式，对受益群众进行问卷调查；组织安排了</w:t>
      </w:r>
      <w:r>
        <w:rPr>
          <w:rStyle w:val="10"/>
          <w:rFonts w:hint="eastAsia" w:ascii="方正仿宋_GBK" w:hAnsi="方正仿宋_GBK" w:eastAsia="方正仿宋_GBK" w:cs="方正仿宋_GBK"/>
          <w:b w:val="0"/>
          <w:color w:val="auto"/>
          <w:spacing w:val="-4"/>
          <w:sz w:val="32"/>
          <w:szCs w:val="32"/>
          <w:highlight w:val="none"/>
          <w:lang w:val="en-US" w:eastAsia="zh-CN"/>
        </w:rPr>
        <w:t>伽师县统计局2022年住户调查补助经费项目</w:t>
      </w:r>
      <w:r>
        <w:rPr>
          <w:rFonts w:hint="eastAsia" w:ascii="方正仿宋_GBK" w:hAnsi="方正仿宋_GBK" w:eastAsia="方正仿宋_GBK" w:cs="方正仿宋_GBK"/>
          <w:b w:val="0"/>
          <w:bCs/>
          <w:color w:val="auto"/>
          <w:sz w:val="32"/>
          <w:szCs w:val="32"/>
          <w:highlight w:val="none"/>
          <w:lang w:val="en-US" w:eastAsia="zh-CN"/>
        </w:rPr>
        <w:t>问卷调研工作，发</w:t>
      </w:r>
      <w:r>
        <w:rPr>
          <w:rStyle w:val="10"/>
          <w:rFonts w:hint="eastAsia" w:ascii="方正仿宋_GBK" w:hAnsi="方正仿宋_GBK" w:eastAsia="方正仿宋_GBK" w:cs="方正仿宋_GBK"/>
          <w:b w:val="0"/>
          <w:color w:val="auto"/>
          <w:spacing w:val="-4"/>
          <w:sz w:val="32"/>
          <w:szCs w:val="32"/>
          <w:highlight w:val="none"/>
          <w:lang w:val="en-US" w:eastAsia="zh-CN"/>
        </w:rPr>
        <w:t>放问卷204份，收回204份，有效调查问卷为204份。通过对调查问卷的梳理和统计，</w:t>
      </w:r>
      <w:r>
        <w:rPr>
          <w:rFonts w:hint="eastAsia" w:ascii="方正仿宋_GBK" w:hAnsi="方正仿宋_GBK" w:eastAsia="方正仿宋_GBK" w:cs="方正仿宋_GBK"/>
          <w:b w:val="0"/>
          <w:bCs/>
          <w:color w:val="auto"/>
          <w:sz w:val="32"/>
          <w:szCs w:val="32"/>
          <w:highlight w:val="none"/>
          <w:lang w:val="en-US" w:eastAsia="zh-CN"/>
        </w:rPr>
        <w:t>被调查者中</w:t>
      </w:r>
      <w:r>
        <w:rPr>
          <w:rStyle w:val="10"/>
          <w:rFonts w:hint="eastAsia" w:ascii="方正仿宋_GBK" w:hAnsi="方正仿宋_GBK" w:eastAsia="方正仿宋_GBK" w:cs="方正仿宋_GBK"/>
          <w:b w:val="0"/>
          <w:color w:val="auto"/>
          <w:spacing w:val="-4"/>
          <w:sz w:val="32"/>
          <w:szCs w:val="32"/>
          <w:highlight w:val="none"/>
          <w:lang w:val="en-US" w:eastAsia="zh-CN"/>
        </w:rPr>
        <w:t>100%的受益群众对伽师县统计局2022年住户调查补助经费项目满意。</w:t>
      </w:r>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eastAsia="zh-CN"/>
        </w:rPr>
        <w:t>合计得</w:t>
      </w:r>
      <w:r>
        <w:rPr>
          <w:rFonts w:hint="eastAsia" w:ascii="方正仿宋_GBK" w:hAnsi="方正仿宋_GBK" w:eastAsia="方正仿宋_GBK" w:cs="方正仿宋_GBK"/>
          <w:color w:val="auto"/>
          <w:sz w:val="32"/>
          <w:szCs w:val="32"/>
          <w:highlight w:val="none"/>
          <w:lang w:val="en-US" w:eastAsia="zh-CN"/>
        </w:rPr>
        <w:t>10分。</w:t>
      </w:r>
    </w:p>
    <w:p>
      <w:pPr>
        <w:pStyle w:val="13"/>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highlight w:val="none"/>
        </w:rPr>
      </w:pPr>
      <w:r>
        <w:rPr>
          <w:rFonts w:hint="eastAsia" w:ascii="方正黑体_GBK" w:hAnsi="方正黑体_GBK" w:eastAsia="方正黑体_GBK" w:cs="方正黑体_GBK"/>
          <w:b w:val="0"/>
          <w:bCs w:val="0"/>
          <w:color w:val="auto"/>
          <w:highlight w:val="none"/>
        </w:rPr>
        <w:t>五、预算执行进度与绩效指标偏差情况</w:t>
      </w:r>
    </w:p>
    <w:p>
      <w:pPr>
        <w:pageBreakBefore w:val="0"/>
        <w:kinsoku/>
        <w:wordWrap/>
        <w:topLinePunct w:val="0"/>
        <w:autoSpaceDE/>
        <w:bidi w:val="0"/>
        <w:spacing w:line="560" w:lineRule="exact"/>
        <w:ind w:firstLine="56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伽师县统计局住户调查补助经费</w:t>
      </w:r>
      <w:r>
        <w:rPr>
          <w:rFonts w:hint="eastAsia" w:ascii="方正仿宋_GBK" w:hAnsi="方正仿宋_GBK" w:eastAsia="方正仿宋_GBK" w:cs="方正仿宋_GBK"/>
          <w:color w:val="auto"/>
          <w:sz w:val="32"/>
          <w:szCs w:val="32"/>
          <w:highlight w:val="none"/>
        </w:rPr>
        <w:t>项目预算</w:t>
      </w:r>
      <w:r>
        <w:rPr>
          <w:rFonts w:hint="eastAsia" w:ascii="方正仿宋_GBK" w:hAnsi="方正仿宋_GBK" w:eastAsia="方正仿宋_GBK" w:cs="方正仿宋_GBK"/>
          <w:color w:val="auto"/>
          <w:sz w:val="32"/>
          <w:szCs w:val="32"/>
          <w:highlight w:val="none"/>
          <w:lang w:val="en-US" w:eastAsia="zh-CN"/>
        </w:rPr>
        <w:t>4.32</w:t>
      </w:r>
      <w:r>
        <w:rPr>
          <w:rFonts w:hint="eastAsia" w:ascii="方正仿宋_GBK" w:hAnsi="方正仿宋_GBK" w:eastAsia="方正仿宋_GBK" w:cs="方正仿宋_GBK"/>
          <w:color w:val="auto"/>
          <w:sz w:val="32"/>
          <w:szCs w:val="32"/>
          <w:highlight w:val="none"/>
          <w:lang w:eastAsia="zh-CN"/>
        </w:rPr>
        <w:t>万元</w:t>
      </w:r>
      <w:r>
        <w:rPr>
          <w:rFonts w:hint="eastAsia" w:ascii="方正仿宋_GBK" w:hAnsi="方正仿宋_GBK" w:eastAsia="方正仿宋_GBK" w:cs="方正仿宋_GBK"/>
          <w:color w:val="auto"/>
          <w:sz w:val="32"/>
          <w:szCs w:val="32"/>
          <w:highlight w:val="none"/>
        </w:rPr>
        <w:t>，到位</w:t>
      </w:r>
      <w:r>
        <w:rPr>
          <w:rFonts w:hint="eastAsia" w:ascii="方正仿宋_GBK" w:hAnsi="方正仿宋_GBK" w:eastAsia="方正仿宋_GBK" w:cs="方正仿宋_GBK"/>
          <w:color w:val="auto"/>
          <w:sz w:val="32"/>
          <w:szCs w:val="32"/>
          <w:highlight w:val="none"/>
          <w:lang w:val="en-US" w:eastAsia="zh-CN"/>
        </w:rPr>
        <w:t>4.32</w:t>
      </w:r>
      <w:r>
        <w:rPr>
          <w:rFonts w:hint="eastAsia" w:ascii="方正仿宋_GBK" w:hAnsi="方正仿宋_GBK" w:eastAsia="方正仿宋_GBK" w:cs="方正仿宋_GBK"/>
          <w:color w:val="auto"/>
          <w:sz w:val="32"/>
          <w:szCs w:val="32"/>
          <w:highlight w:val="none"/>
          <w:lang w:eastAsia="zh-CN"/>
        </w:rPr>
        <w:t>万元</w:t>
      </w:r>
      <w:r>
        <w:rPr>
          <w:rFonts w:hint="eastAsia" w:ascii="方正仿宋_GBK" w:hAnsi="方正仿宋_GBK" w:eastAsia="方正仿宋_GBK" w:cs="方正仿宋_GBK"/>
          <w:color w:val="auto"/>
          <w:sz w:val="32"/>
          <w:szCs w:val="32"/>
          <w:highlight w:val="none"/>
        </w:rPr>
        <w:t>，实际支出</w:t>
      </w:r>
      <w:r>
        <w:rPr>
          <w:rFonts w:hint="eastAsia" w:ascii="方正仿宋_GBK" w:hAnsi="方正仿宋_GBK" w:eastAsia="方正仿宋_GBK" w:cs="方正仿宋_GBK"/>
          <w:color w:val="auto"/>
          <w:sz w:val="32"/>
          <w:szCs w:val="32"/>
          <w:highlight w:val="none"/>
          <w:lang w:val="en-US" w:eastAsia="zh-CN"/>
        </w:rPr>
        <w:t>4.32</w:t>
      </w:r>
      <w:r>
        <w:rPr>
          <w:rFonts w:hint="eastAsia" w:ascii="方正仿宋_GBK" w:hAnsi="方正仿宋_GBK" w:eastAsia="方正仿宋_GBK" w:cs="方正仿宋_GBK"/>
          <w:color w:val="auto"/>
          <w:sz w:val="32"/>
          <w:szCs w:val="32"/>
          <w:highlight w:val="none"/>
          <w:lang w:eastAsia="zh-CN"/>
        </w:rPr>
        <w:t>万元</w:t>
      </w:r>
      <w:r>
        <w:rPr>
          <w:rFonts w:hint="eastAsia" w:ascii="方正仿宋_GBK" w:hAnsi="方正仿宋_GBK" w:eastAsia="方正仿宋_GBK" w:cs="方正仿宋_GBK"/>
          <w:color w:val="auto"/>
          <w:sz w:val="32"/>
          <w:szCs w:val="32"/>
          <w:highlight w:val="none"/>
        </w:rPr>
        <w:t>，预算执行率为</w:t>
      </w:r>
      <w:r>
        <w:rPr>
          <w:rFonts w:hint="eastAsia" w:ascii="方正仿宋_GBK" w:hAnsi="方正仿宋_GBK" w:eastAsia="方正仿宋_GBK" w:cs="方正仿宋_GBK"/>
          <w:color w:val="auto"/>
          <w:sz w:val="32"/>
          <w:szCs w:val="32"/>
          <w:highlight w:val="none"/>
          <w:lang w:val="en-US" w:eastAsia="zh-CN"/>
        </w:rPr>
        <w:t>100</w:t>
      </w:r>
      <w:r>
        <w:rPr>
          <w:rFonts w:hint="eastAsia" w:ascii="方正仿宋_GBK" w:hAnsi="方正仿宋_GBK" w:eastAsia="方正仿宋_GBK" w:cs="方正仿宋_GBK"/>
          <w:color w:val="auto"/>
          <w:sz w:val="32"/>
          <w:szCs w:val="32"/>
          <w:highlight w:val="none"/>
        </w:rPr>
        <w:t>%，项目绩效指标总体完成率为100%，</w:t>
      </w:r>
      <w:r>
        <w:rPr>
          <w:rFonts w:hint="eastAsia" w:ascii="方正仿宋_GBK" w:hAnsi="方正仿宋_GBK" w:eastAsia="方正仿宋_GBK" w:cs="方正仿宋_GBK"/>
          <w:color w:val="auto"/>
          <w:sz w:val="32"/>
          <w:szCs w:val="32"/>
          <w:highlight w:val="none"/>
          <w:lang w:eastAsia="zh-CN"/>
        </w:rPr>
        <w:t>无</w:t>
      </w:r>
      <w:r>
        <w:rPr>
          <w:rFonts w:hint="eastAsia" w:ascii="方正仿宋_GBK" w:hAnsi="方正仿宋_GBK" w:eastAsia="方正仿宋_GBK" w:cs="方正仿宋_GBK"/>
          <w:color w:val="auto"/>
          <w:sz w:val="32"/>
          <w:szCs w:val="32"/>
          <w:highlight w:val="none"/>
        </w:rPr>
        <w:t>偏差。</w:t>
      </w:r>
    </w:p>
    <w:p>
      <w:pPr>
        <w:pStyle w:val="13"/>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highlight w:val="none"/>
        </w:rPr>
      </w:pPr>
      <w:bookmarkStart w:id="12" w:name="_Toc68364673"/>
      <w:r>
        <w:rPr>
          <w:rFonts w:hint="eastAsia" w:ascii="方正黑体_GBK" w:hAnsi="方正黑体_GBK" w:eastAsia="方正黑体_GBK" w:cs="方正黑体_GBK"/>
          <w:b w:val="0"/>
          <w:bCs w:val="0"/>
          <w:color w:val="auto"/>
          <w:highlight w:val="none"/>
        </w:rPr>
        <w:t>六、主要经验及做法、存在的问题及原因分析</w:t>
      </w:r>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（一）主要经验及做法</w:t>
      </w:r>
      <w:bookmarkEnd w:id="1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color w:val="auto"/>
          <w:sz w:val="32"/>
          <w:szCs w:val="32"/>
          <w:lang w:val="en-US" w:eastAsia="zh-CN"/>
        </w:rPr>
      </w:pPr>
      <w:bookmarkStart w:id="13" w:name="_Toc68364674"/>
      <w:r>
        <w:rPr>
          <w:rFonts w:hint="eastAsia" w:ascii="方正仿宋_GBK" w:hAnsi="方正仿宋_GBK" w:eastAsia="方正仿宋_GBK" w:cs="方正仿宋_GBK"/>
          <w:color w:val="auto"/>
          <w:sz w:val="32"/>
          <w:szCs w:val="32"/>
          <w:lang w:val="en-US" w:eastAsia="zh-CN"/>
        </w:rPr>
        <w:t>一是本项目能够严格按照《项目实施方案》执行，项目执行情况较好。项目前期阶段做好了实施方案，在实施流程的程序得到了进一步规范，严格执行资金管理办法和财政资金管理制度，按照项目实施方案、加强组织领导，督促项目实施进度。在本项目绩效评价工作中，由政府主要领导亲自挂帅，分管领导具体负责，从项目到资金，均能后很好的执行。并且做好了各阶段沟通协调工作，我单位及时向领导汇报项目建设进度，加强与施工单位的沟通，确保项目按期完工。</w:t>
      </w:r>
    </w:p>
    <w:p>
      <w:pPr>
        <w:pStyle w:val="11"/>
        <w:pageBreakBefore w:val="0"/>
        <w:kinsoku/>
        <w:wordWrap/>
        <w:topLinePunct w:val="0"/>
        <w:autoSpaceDE/>
        <w:bidi w:val="0"/>
        <w:spacing w:line="560" w:lineRule="exact"/>
        <w:ind w:left="560"/>
        <w:rPr>
          <w:rFonts w:hint="eastAsia" w:ascii="方正楷体_GBK" w:hAnsi="方正楷体_GBK" w:eastAsia="方正楷体_GBK" w:cs="方正楷体_GBK"/>
          <w:color w:val="auto"/>
          <w:sz w:val="32"/>
          <w:highlight w:val="none"/>
        </w:rPr>
      </w:pPr>
      <w:r>
        <w:rPr>
          <w:rFonts w:hint="eastAsia" w:ascii="方正楷体_GBK" w:hAnsi="方正楷体_GBK" w:eastAsia="方正楷体_GBK" w:cs="方正楷体_GBK"/>
          <w:color w:val="auto"/>
          <w:sz w:val="32"/>
          <w:highlight w:val="none"/>
        </w:rPr>
        <w:t>（二）存在问题及原因分析</w:t>
      </w:r>
      <w:bookmarkEnd w:id="13"/>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r>
        <w:rPr>
          <w:rFonts w:hint="eastAsia" w:ascii="方正仿宋_GBK" w:hAnsi="方正仿宋_GBK" w:eastAsia="方正仿宋_GBK" w:cs="方正仿宋_GBK"/>
          <w:color w:val="auto"/>
          <w:sz w:val="32"/>
          <w:szCs w:val="32"/>
          <w:highlight w:val="none"/>
        </w:rPr>
        <w:t>一是对各项指标和指标值要进一步优化、完善，主要在细化、量化上改进</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二是自评工作还存在自我审定的局限性，会影响评价质量，容易造成问题的疏漏，在客观性和公正性上说服力不强</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三是缺少带着问题去评价的意识</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四是现场评价的工作量少，后续效益评价具体措施和方法较少。</w:t>
      </w:r>
    </w:p>
    <w:p>
      <w:pPr>
        <w:pStyle w:val="13"/>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highlight w:val="none"/>
        </w:rPr>
      </w:pPr>
      <w:bookmarkStart w:id="14" w:name="_Toc68364675"/>
      <w:r>
        <w:rPr>
          <w:rFonts w:hint="eastAsia" w:ascii="方正黑体_GBK" w:hAnsi="方正黑体_GBK" w:eastAsia="方正黑体_GBK" w:cs="方正黑体_GBK"/>
          <w:b w:val="0"/>
          <w:bCs w:val="0"/>
          <w:color w:val="auto"/>
          <w:highlight w:val="none"/>
        </w:rPr>
        <w:t>七、有关建议</w:t>
      </w:r>
      <w:bookmarkEnd w:id="14"/>
    </w:p>
    <w:p>
      <w:pPr>
        <w:pageBreakBefore w:val="0"/>
        <w:kinsoku/>
        <w:wordWrap/>
        <w:topLinePunct w:val="0"/>
        <w:autoSpaceDN/>
        <w:bidi w:val="0"/>
        <w:adjustRightInd/>
        <w:snapToGrid/>
        <w:spacing w:line="570" w:lineRule="exact"/>
        <w:rPr>
          <w:rFonts w:hint="eastAsia" w:ascii="方正仿宋_GBK" w:hAnsi="方正仿宋_GBK" w:eastAsia="方正仿宋_GBK" w:cs="方正仿宋_GBK"/>
          <w:color w:val="auto"/>
          <w:kern w:val="0"/>
          <w:sz w:val="32"/>
          <w:szCs w:val="32"/>
          <w:lang w:val="en-US" w:eastAsia="zh-CN" w:bidi="ar-SA"/>
        </w:rPr>
      </w:pPr>
      <w:bookmarkStart w:id="15" w:name="_Toc68364676"/>
      <w:r>
        <w:rPr>
          <w:rFonts w:hint="eastAsia" w:ascii="方正仿宋_GBK" w:hAnsi="方正仿宋_GBK" w:eastAsia="方正仿宋_GBK" w:cs="方正仿宋_GBK"/>
          <w:color w:val="auto"/>
          <w:kern w:val="0"/>
          <w:sz w:val="32"/>
          <w:szCs w:val="32"/>
          <w:lang w:val="en-US" w:eastAsia="zh-CN" w:bidi="ar-SA"/>
        </w:rPr>
        <w:t>绩效管理工作是一个持续、系统、周期性强的工作，行业部门从事绩效管理工作的绩效专干人员应设置固定专人负责，压实责任；并且项目建设的程序进一步规范。项目前期更加细化实施方案，严格执行资金管理办法和财政资金管理制度，严格按照项目实施方案等稳步推进工作，各部门单位根据自己项目的特点进行总结；积极参加财政局组织的绩效业务培训，认真学习绩效理论及实操，进一步增强我单位绩效管理意识，推动落实主体责任，促进我单位绩效管理各项工作高校开展，加快部门预算绩效改革步伐。</w:t>
      </w:r>
    </w:p>
    <w:p>
      <w:pPr>
        <w:pStyle w:val="13"/>
        <w:pageBreakBefore w:val="0"/>
        <w:kinsoku/>
        <w:wordWrap/>
        <w:topLinePunct w:val="0"/>
        <w:autoSpaceDE/>
        <w:bidi w:val="0"/>
        <w:spacing w:line="560" w:lineRule="exact"/>
        <w:ind w:firstLine="640" w:firstLineChars="200"/>
        <w:rPr>
          <w:rFonts w:hint="eastAsia" w:ascii="方正黑体_GBK" w:hAnsi="方正黑体_GBK" w:eastAsia="方正黑体_GBK" w:cs="方正黑体_GBK"/>
          <w:b w:val="0"/>
          <w:bCs w:val="0"/>
          <w:color w:val="auto"/>
          <w:highlight w:val="none"/>
        </w:rPr>
      </w:pPr>
      <w:r>
        <w:rPr>
          <w:rFonts w:hint="eastAsia" w:ascii="方正黑体_GBK" w:hAnsi="方正黑体_GBK" w:eastAsia="方正黑体_GBK" w:cs="方正黑体_GBK"/>
          <w:b w:val="0"/>
          <w:bCs w:val="0"/>
          <w:color w:val="auto"/>
          <w:highlight w:val="none"/>
        </w:rPr>
        <w:t>八、其他需要说明的问题</w:t>
      </w:r>
      <w:bookmarkEnd w:id="15"/>
    </w:p>
    <w:p>
      <w:pPr>
        <w:pStyle w:val="1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我单位对上述项目支出绩效评价报告内反映内容的真实性、完整性负责，接受上级部门及社会公众监督。</w:t>
      </w:r>
    </w:p>
    <w:p>
      <w:pPr>
        <w:pStyle w:val="13"/>
        <w:pageBreakBefore w:val="0"/>
        <w:kinsoku/>
        <w:wordWrap/>
        <w:topLinePunct w:val="0"/>
        <w:autoSpaceDE/>
        <w:bidi w:val="0"/>
        <w:spacing w:line="560" w:lineRule="exact"/>
        <w:ind w:firstLine="643" w:firstLineChars="200"/>
        <w:rPr>
          <w:rFonts w:hint="eastAsia" w:ascii="仿宋_GB2312" w:hAnsi="仿宋_GB2312" w:eastAsia="仿宋_GB2312" w:cs="仿宋_GB2312"/>
          <w:b/>
          <w:color w:val="auto"/>
          <w:highlight w:val="none"/>
        </w:rPr>
      </w:pPr>
      <w:r>
        <w:rPr>
          <w:rFonts w:hint="eastAsia" w:ascii="仿宋_GB2312" w:hAnsi="仿宋_GB2312" w:eastAsia="仿宋_GB2312" w:cs="仿宋_GB2312"/>
          <w:b/>
          <w:color w:val="auto"/>
          <w:highlight w:val="none"/>
        </w:rPr>
        <w:t>附件1：综合评分表</w:t>
      </w:r>
    </w:p>
    <w:p>
      <w:pPr>
        <w:pStyle w:val="13"/>
        <w:pageBreakBefore w:val="0"/>
        <w:kinsoku/>
        <w:wordWrap/>
        <w:topLinePunct w:val="0"/>
        <w:autoSpaceDE/>
        <w:autoSpaceDN/>
        <w:bidi w:val="0"/>
        <w:spacing w:line="560" w:lineRule="exact"/>
        <w:ind w:firstLine="1601" w:firstLineChars="500"/>
        <w:rPr>
          <w:rFonts w:hint="default" w:ascii="Times New Roman" w:hAnsi="Times New Roman" w:eastAsia="方正仿宋_GBK" w:cs="方正仿宋_GBK"/>
          <w:b/>
          <w:bCs/>
          <w:color w:val="auto"/>
          <w:lang w:val="en-US" w:eastAsia="zh-CN"/>
        </w:rPr>
      </w:pPr>
      <w:r>
        <w:rPr>
          <w:rFonts w:hint="eastAsia" w:ascii="Times New Roman" w:hAnsi="Times New Roman" w:eastAsia="方正仿宋_GBK" w:cs="方正仿宋_GBK"/>
          <w:b/>
          <w:bCs/>
          <w:color w:val="auto"/>
          <w:lang w:val="en-US" w:eastAsia="zh-CN"/>
        </w:rPr>
        <w:t>2.满意度调查问卷</w:t>
      </w: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firstLine="640"/>
        <w:rPr>
          <w:rFonts w:hint="eastAsia" w:ascii="仿宋_GB2312" w:hAnsi="仿宋_GB2312" w:cs="仿宋_GB2312"/>
          <w:color w:val="auto"/>
          <w:sz w:val="32"/>
          <w:szCs w:val="32"/>
          <w:highlight w:val="none"/>
        </w:rPr>
      </w:pPr>
    </w:p>
    <w:p>
      <w:pPr>
        <w:pStyle w:val="12"/>
        <w:pageBreakBefore w:val="0"/>
        <w:kinsoku/>
        <w:wordWrap/>
        <w:topLinePunct w:val="0"/>
        <w:autoSpaceDE/>
        <w:bidi w:val="0"/>
        <w:spacing w:line="560" w:lineRule="exact"/>
        <w:ind w:left="0" w:leftChars="0" w:firstLine="0" w:firstLineChars="0"/>
        <w:rPr>
          <w:rFonts w:hint="eastAsia" w:ascii="仿宋_GB2312" w:hAnsi="仿宋_GB2312" w:cs="仿宋_GB2312"/>
          <w:color w:val="auto"/>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12"/>
        <w:pageBreakBefore w:val="0"/>
        <w:kinsoku/>
        <w:wordWrap/>
        <w:topLinePunct w:val="0"/>
        <w:autoSpaceDE/>
        <w:bidi w:val="0"/>
        <w:spacing w:line="560" w:lineRule="exact"/>
        <w:ind w:firstLine="0" w:firstLineChars="0"/>
        <w:rPr>
          <w:rFonts w:hint="eastAsia" w:ascii="仿宋_GB2312" w:hAnsi="仿宋_GB2312" w:cs="仿宋_GB2312"/>
          <w:color w:val="auto"/>
          <w:sz w:val="32"/>
          <w:szCs w:val="32"/>
          <w:highlight w:val="none"/>
        </w:rPr>
      </w:pPr>
    </w:p>
    <w:p>
      <w:pPr>
        <w:pStyle w:val="13"/>
        <w:pageBreakBefore w:val="0"/>
        <w:kinsoku/>
        <w:wordWrap/>
        <w:topLinePunct w:val="0"/>
        <w:autoSpaceDE/>
        <w:bidi w:val="0"/>
        <w:spacing w:line="560" w:lineRule="exact"/>
        <w:ind w:firstLine="643" w:firstLineChars="200"/>
        <w:rPr>
          <w:rFonts w:hint="eastAsia" w:ascii="仿宋_GB2312" w:hAnsi="仿宋_GB2312" w:cs="仿宋_GB2312"/>
          <w:color w:val="auto"/>
          <w:sz w:val="32"/>
          <w:szCs w:val="32"/>
          <w:highlight w:val="none"/>
        </w:rPr>
      </w:pPr>
      <w:r>
        <w:rPr>
          <w:rFonts w:hint="eastAsia" w:ascii="仿宋_GB2312" w:hAnsi="仿宋_GB2312" w:eastAsia="仿宋_GB2312" w:cs="仿宋_GB2312"/>
          <w:b/>
          <w:color w:val="auto"/>
          <w:highlight w:val="none"/>
        </w:rPr>
        <w:t>附件1：综合评分表</w:t>
      </w:r>
    </w:p>
    <w:p>
      <w:pPr>
        <w:pageBreakBefore w:val="0"/>
        <w:kinsoku/>
        <w:wordWrap/>
        <w:topLinePunct w:val="0"/>
        <w:autoSpaceDE/>
        <w:autoSpaceDN/>
        <w:bidi w:val="0"/>
        <w:spacing w:line="560" w:lineRule="exact"/>
        <w:ind w:left="0" w:leftChars="0" w:firstLine="0" w:firstLineChars="0"/>
        <w:jc w:val="both"/>
        <w:rPr>
          <w:rFonts w:hint="eastAsia" w:ascii="Times New Roman" w:hAnsi="Times New Roman" w:eastAsia="方正仿宋_GBK" w:cs="方正仿宋_GBK"/>
          <w:color w:val="auto"/>
          <w:kern w:val="0"/>
          <w:szCs w:val="28"/>
        </w:rPr>
      </w:pPr>
      <w:r>
        <w:rPr>
          <w:rFonts w:hint="eastAsia" w:ascii="Times New Roman" w:hAnsi="Times New Roman" w:eastAsia="方正仿宋_GBK" w:cs="方正仿宋_GBK"/>
          <w:color w:val="auto"/>
          <w:kern w:val="0"/>
          <w:szCs w:val="28"/>
          <w:lang w:eastAsia="zh-CN"/>
        </w:rPr>
        <w:t>伽师县统计局2022年住户调查补助经费项目</w:t>
      </w:r>
      <w:r>
        <w:rPr>
          <w:rFonts w:hint="eastAsia" w:ascii="Times New Roman" w:hAnsi="Times New Roman" w:eastAsia="方正仿宋_GBK" w:cs="方正仿宋_GBK"/>
          <w:color w:val="auto"/>
          <w:kern w:val="0"/>
          <w:szCs w:val="28"/>
        </w:rPr>
        <w:t>绩效评价指标体系及评分标准</w:t>
      </w:r>
    </w:p>
    <w:tbl>
      <w:tblPr>
        <w:tblStyle w:val="8"/>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firstLine="0" w:firstLineChars="0"/>
              <w:jc w:val="both"/>
              <w:textAlignment w:val="auto"/>
              <w:rPr>
                <w:rFonts w:hint="default" w:ascii="宋体" w:hAnsi="宋体" w:eastAsia="宋体" w:cs="宋体"/>
                <w:color w:val="auto"/>
                <w:kern w:val="2"/>
                <w:sz w:val="18"/>
                <w:szCs w:val="18"/>
                <w:lang w:val="en-US" w:eastAsia="zh-CN" w:bidi="ar-SA"/>
              </w:rPr>
            </w:pPr>
            <w:r>
              <w:rPr>
                <w:rFonts w:hint="eastAsia" w:ascii="方正仿宋_GBK" w:hAnsi="方正仿宋_GBK" w:eastAsia="方正仿宋_GBK" w:cs="方正仿宋_GBK"/>
                <w:i w:val="0"/>
                <w:iCs w:val="0"/>
                <w:color w:val="auto"/>
                <w:kern w:val="0"/>
                <w:sz w:val="24"/>
                <w:szCs w:val="24"/>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⑤项目是否与相关部门同类项目或部门内部相关项目重复</w:t>
            </w:r>
            <w:r>
              <w:rPr>
                <w:rFonts w:hint="eastAsia" w:ascii="方正仿宋_GBK" w:hAnsi="方正仿宋_GBK" w:eastAsia="方正仿宋_GBK" w:cs="方正仿宋_GBK"/>
                <w:i w:val="0"/>
                <w:iCs w:val="0"/>
                <w:color w:val="auto"/>
                <w:kern w:val="0"/>
                <w:sz w:val="24"/>
                <w:szCs w:val="24"/>
                <w:lang w:val="en-US" w:eastAsia="zh-CN" w:bidi="ar"/>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①项目是否按照规定的程序申请设立</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②审批文件、材料是否符合相关要求</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③事前是否已经过必要的可行性研究、专家论证、风险评估、绩效评估、集体决策</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①项目是否有绩效目标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②项目绩效目标与实际工作内容是否具有相关性</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③项目预期产出效益和效果是否符合正常的业绩水平</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④是否与预算确定的项目投资额或资金量相匹配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①是否将项目绩效目标细化分解为具体的绩效指标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②是否通过清晰、可衡量的指标值予以体现</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③是否与项目目标任务数或计划数相对应</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①预算编制是否经过科学论证</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②预算内容与项目内容是否匹配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③预算额度测算依据是否充分，是否按照标准编制</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④预算确定的项目投资额或资金量是否与工作任务相匹配</w:t>
            </w:r>
            <w:r>
              <w:rPr>
                <w:rFonts w:hint="eastAsia" w:ascii="方正仿宋_GBK" w:hAnsi="方正仿宋_GBK" w:eastAsia="方正仿宋_GBK" w:cs="方正仿宋_GBK"/>
                <w:i w:val="0"/>
                <w:iCs w:val="0"/>
                <w:color w:val="auto"/>
                <w:kern w:val="0"/>
                <w:sz w:val="24"/>
                <w:szCs w:val="24"/>
                <w:lang w:val="en-US" w:eastAsia="zh-CN" w:bidi="ar"/>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①预算资金分配依据是否充分</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②资金分配额度是否合理，与项目单位或地方实际是否相适应</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资金到位率=（实际到位资金/预算资金）×100%，实际到位资金：一定时期（本年度或项目期）内落实到具体项目的资金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预算资金：一定时期（本年度或项目期）内预算安排到具体项目的资金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w:t>
            </w:r>
            <w:r>
              <w:rPr>
                <w:rStyle w:val="17"/>
                <w:rFonts w:eastAsia="方正仿宋_GBK"/>
                <w:color w:val="auto"/>
                <w:highlight w:val="none"/>
                <w:lang w:val="en-US" w:eastAsia="zh-CN" w:bidi="ar"/>
              </w:rPr>
              <w:t>=</w:t>
            </w:r>
            <w:r>
              <w:rPr>
                <w:rStyle w:val="18"/>
                <w:color w:val="auto"/>
                <w:highlight w:val="none"/>
                <w:lang w:val="en-US" w:eastAsia="zh-CN" w:bidi="ar"/>
              </w:rPr>
              <w:t>（实际支出资金</w:t>
            </w:r>
            <w:r>
              <w:rPr>
                <w:rStyle w:val="17"/>
                <w:rFonts w:eastAsia="方正仿宋_GBK"/>
                <w:color w:val="auto"/>
                <w:highlight w:val="none"/>
                <w:lang w:val="en-US" w:eastAsia="zh-CN" w:bidi="ar"/>
              </w:rPr>
              <w:t>/</w:t>
            </w:r>
            <w:r>
              <w:rPr>
                <w:rStyle w:val="18"/>
                <w:color w:val="auto"/>
                <w:highlight w:val="none"/>
                <w:lang w:val="en-US" w:eastAsia="zh-CN" w:bidi="ar"/>
              </w:rPr>
              <w:t>实际到位资金）×</w:t>
            </w:r>
            <w:r>
              <w:rPr>
                <w:rStyle w:val="17"/>
                <w:rFonts w:eastAsia="方正仿宋_GBK"/>
                <w:color w:val="auto"/>
                <w:highlight w:val="none"/>
                <w:lang w:val="en-US" w:eastAsia="zh-CN" w:bidi="ar"/>
              </w:rPr>
              <w:t>100%</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Style w:val="18"/>
                <w:color w:val="auto"/>
                <w:highlight w:val="none"/>
                <w:lang w:val="en-US" w:eastAsia="zh-CN" w:bidi="ar"/>
              </w:rPr>
              <w:t>实际支出资金：一定时期（本年度或项目期）内项目实际拨付的资金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①是否符合国家财经法规和财务管理制度以及有关专项资金管理办法的规定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；②资金的拨付是否有完整的审批程序和手续</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；③是否符合项目预算批复或合同规定的用途</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；④是否存在截留、挤占、挪用、虚列支出等情况</w:t>
            </w:r>
            <w:r>
              <w:rPr>
                <w:rFonts w:hint="eastAsia" w:ascii="方正仿宋_GBK" w:hAnsi="方正仿宋_GBK" w:eastAsia="方正仿宋_GBK" w:cs="方正仿宋_GBK"/>
                <w:i w:val="0"/>
                <w:iCs w:val="0"/>
                <w:color w:val="auto"/>
                <w:kern w:val="0"/>
                <w:sz w:val="24"/>
                <w:szCs w:val="24"/>
                <w:lang w:val="en-US" w:eastAsia="zh-CN" w:bidi="ar"/>
              </w:rPr>
              <w:t>得2分，否则不得分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①是否已制定或具有相应的财务和业务管理制度</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；②财务和业务管理制度是否合法、合规、完整</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①是否遵守相关法律法规和相关管理规定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；；②项目调整及支出调整手续是否完备</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；③项目合同书、验收报告、技术鉴定等资料是否齐全并及时归档</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；；④项目实施的人员条件、场地设备、信息支撑等是否落实到位</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产出数量（</w:t>
            </w:r>
            <w:r>
              <w:rPr>
                <w:rStyle w:val="17"/>
                <w:rFonts w:eastAsia="方正仿宋_GBK"/>
                <w:color w:val="auto"/>
                <w:highlight w:val="none"/>
                <w:lang w:val="en-US" w:eastAsia="zh-CN" w:bidi="ar"/>
              </w:rPr>
              <w:t>10</w:t>
            </w:r>
            <w:r>
              <w:rPr>
                <w:rStyle w:val="18"/>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w:t>
            </w:r>
            <w:r>
              <w:rPr>
                <w:rFonts w:hint="eastAsia" w:ascii="方正仿宋_GBK" w:hAnsi="方正仿宋_GBK" w:eastAsia="方正仿宋_GBK" w:cs="方正仿宋_GBK"/>
                <w:color w:val="auto"/>
                <w:kern w:val="0"/>
                <w:sz w:val="24"/>
                <w:szCs w:val="24"/>
                <w:lang w:eastAsia="zh-CN" w:bidi="ar"/>
              </w:rPr>
              <w:tab/>
            </w:r>
            <w:r>
              <w:rPr>
                <w:rFonts w:hint="eastAsia" w:ascii="方正仿宋_GBK" w:hAnsi="方正仿宋_GBK" w:eastAsia="方正仿宋_GBK" w:cs="方正仿宋_GBK"/>
                <w:color w:val="auto"/>
                <w:kern w:val="0"/>
                <w:sz w:val="24"/>
                <w:szCs w:val="24"/>
                <w:lang w:eastAsia="zh-CN" w:bidi="ar"/>
              </w:rPr>
              <w:t>发放补助人数（人）指标</w:t>
            </w:r>
            <w:r>
              <w:rPr>
                <w:rFonts w:hint="eastAsia" w:ascii="方正仿宋_GBK" w:hAnsi="方正仿宋_GBK" w:eastAsia="方正仿宋_GBK" w:cs="方正仿宋_GBK"/>
                <w:color w:val="auto"/>
                <w:kern w:val="0"/>
                <w:sz w:val="24"/>
                <w:szCs w:val="24"/>
                <w:lang w:val="en-US" w:eastAsia="zh-CN" w:bidi="ar"/>
              </w:rPr>
              <w:t>,</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 xml:space="preserve">实际完成率=（实际产出数/计划产出数）×100% 。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实际产出数：一定时期（本年度或项目期）内项目实际产出的产品或提供的服务数量。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①</w:t>
            </w:r>
            <w:r>
              <w:rPr>
                <w:rFonts w:hint="eastAsia" w:ascii="方正仿宋_GBK" w:hAnsi="方正仿宋_GBK" w:eastAsia="方正仿宋_GBK" w:cs="方正仿宋_GBK"/>
                <w:color w:val="auto"/>
                <w:kern w:val="0"/>
                <w:sz w:val="24"/>
                <w:szCs w:val="24"/>
                <w:lang w:eastAsia="zh-CN" w:bidi="ar"/>
              </w:rPr>
              <w:t>补助覆盖率（%）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分）；②资金使用合规率（%）完成该指标得满分（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 xml:space="preserve">质量达标率=（质量达标产出数/实际产出数）×100%。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①项目完成时间完成该指标得满分（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②资金发放及时率（%）完成该指标得满分（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实际完成时间：项目实施单位完成该项目实际所耗用的时间。                                                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产出成本（10</w:t>
            </w:r>
            <w:r>
              <w:rPr>
                <w:rStyle w:val="18"/>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w:t>
            </w:r>
            <w:r>
              <w:rPr>
                <w:rFonts w:hint="eastAsia" w:ascii="方正仿宋_GBK" w:hAnsi="方正仿宋_GBK" w:eastAsia="方正仿宋_GBK" w:cs="方正仿宋_GBK"/>
                <w:color w:val="auto"/>
                <w:kern w:val="0"/>
                <w:sz w:val="24"/>
                <w:szCs w:val="24"/>
                <w:lang w:eastAsia="zh-CN" w:bidi="ar"/>
              </w:rPr>
              <w:t>发放补助标准（元/人）</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①经济效益：</w:t>
            </w:r>
            <w:r>
              <w:rPr>
                <w:rFonts w:hint="eastAsia" w:ascii="方正仿宋_GBK" w:hAnsi="方正仿宋_GBK" w:eastAsia="方正仿宋_GBK" w:cs="方正仿宋_GBK"/>
                <w:color w:val="auto"/>
                <w:kern w:val="0"/>
                <w:sz w:val="24"/>
                <w:szCs w:val="24"/>
                <w:lang w:eastAsia="zh-CN" w:bidi="ar"/>
              </w:rPr>
              <w:t>无</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default" w:ascii="Calibri" w:hAnsi="Calibri" w:eastAsia="方正仿宋_GBK" w:cs="Calibri"/>
                <w:color w:val="auto"/>
                <w:kern w:val="0"/>
                <w:sz w:val="24"/>
                <w:szCs w:val="24"/>
                <w:lang w:bidi="ar"/>
              </w:rPr>
              <w:t>②</w:t>
            </w:r>
            <w:r>
              <w:rPr>
                <w:rFonts w:hint="eastAsia" w:ascii="方正仿宋_GBK" w:hAnsi="方正仿宋_GBK" w:eastAsia="方正仿宋_GBK" w:cs="方正仿宋_GBK"/>
                <w:color w:val="auto"/>
                <w:kern w:val="0"/>
                <w:sz w:val="24"/>
                <w:szCs w:val="24"/>
                <w:lang w:bidi="ar"/>
              </w:rPr>
              <w:t>社会效益：普查原始数据抄录差错率（%）完成该指标得满分（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 xml:space="preserve">分）否则不得分；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 xml:space="preserve">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③生态效益：</w:t>
            </w:r>
            <w:r>
              <w:rPr>
                <w:rFonts w:hint="eastAsia" w:ascii="方正仿宋_GBK" w:hAnsi="方正仿宋_GBK" w:eastAsia="方正仿宋_GBK" w:cs="方正仿宋_GBK"/>
                <w:color w:val="auto"/>
                <w:kern w:val="0"/>
                <w:sz w:val="24"/>
                <w:szCs w:val="24"/>
                <w:lang w:eastAsia="zh-CN" w:bidi="ar"/>
              </w:rPr>
              <w:t>无</w:t>
            </w:r>
            <w:r>
              <w:rPr>
                <w:rFonts w:hint="eastAsia" w:ascii="方正仿宋_GBK" w:hAnsi="方正仿宋_GBK" w:eastAsia="方正仿宋_GBK" w:cs="方正仿宋_GBK"/>
                <w:color w:val="auto"/>
                <w:kern w:val="0"/>
                <w:sz w:val="24"/>
                <w:szCs w:val="24"/>
                <w:lang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④可持续影响：</w:t>
            </w:r>
            <w:r>
              <w:rPr>
                <w:rFonts w:hint="eastAsia" w:ascii="方正仿宋_GBK" w:hAnsi="方正仿宋_GBK" w:eastAsia="方正仿宋_GBK" w:cs="方正仿宋_GBK"/>
                <w:color w:val="auto"/>
                <w:kern w:val="0"/>
                <w:sz w:val="24"/>
                <w:szCs w:val="24"/>
                <w:lang w:eastAsia="zh-CN" w:bidi="ar"/>
              </w:rPr>
              <w:t>持续为群众提供政府公共服务</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 xml:space="preserve">根据问卷调查，受益群众满意度达到满意的人数：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val="en-US" w:eastAsia="zh-CN" w:bidi="ar"/>
              </w:rPr>
            </w:pPr>
            <w:r>
              <w:rPr>
                <w:rFonts w:hint="eastAsia" w:ascii="方正仿宋_GBK" w:hAnsi="方正仿宋_GBK" w:eastAsia="方正仿宋_GBK" w:cs="方正仿宋_GBK"/>
                <w:color w:val="auto"/>
                <w:kern w:val="0"/>
                <w:sz w:val="24"/>
                <w:szCs w:val="24"/>
                <w:lang w:bidi="ar"/>
              </w:rPr>
              <w:t>①人数大于等于95%，得10分；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②人数小于95%大于等于85%，得8分；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③人数小于85%大于等于70%，得5分；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④人数小于等于70%，不得分。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default" w:ascii="Times New Roman" w:hAnsi="Times New Roman" w:eastAsia="等线" w:cs="Times New Roman"/>
                <w:i w:val="0"/>
                <w:iCs w:val="0"/>
                <w:color w:val="auto"/>
                <w:sz w:val="24"/>
                <w:szCs w:val="24"/>
                <w:highlight w:val="none"/>
                <w:u w:val="none"/>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100</w:t>
            </w:r>
          </w:p>
        </w:tc>
      </w:tr>
    </w:tbl>
    <w:p>
      <w:pPr>
        <w:pageBreakBefore w:val="0"/>
        <w:kinsoku/>
        <w:wordWrap/>
        <w:topLinePunct w:val="0"/>
        <w:autoSpaceDE/>
        <w:bidi w:val="0"/>
        <w:spacing w:line="560" w:lineRule="exact"/>
        <w:rPr>
          <w:color w:val="auto"/>
        </w:rPr>
        <w:sectPr>
          <w:pgSz w:w="11906" w:h="16838"/>
          <w:pgMar w:top="1440" w:right="1800" w:bottom="1440" w:left="1800" w:header="851" w:footer="992" w:gutter="0"/>
          <w:cols w:space="720" w:num="1"/>
          <w:docGrid w:type="lines" w:linePitch="312" w:charSpace="0"/>
        </w:sectPr>
      </w:pPr>
    </w:p>
    <w:p>
      <w:pPr>
        <w:pageBreakBefore w:val="0"/>
        <w:kinsoku/>
        <w:wordWrap/>
        <w:overflowPunct w:val="0"/>
        <w:topLinePunct w:val="0"/>
        <w:autoSpaceDE/>
        <w:autoSpaceDN/>
        <w:bidi w:val="0"/>
        <w:spacing w:line="560" w:lineRule="exact"/>
        <w:ind w:firstLine="643"/>
        <w:contextualSpacing/>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kern w:val="2"/>
          <w:sz w:val="32"/>
          <w:szCs w:val="32"/>
          <w:lang w:val="en-US" w:eastAsia="zh-CN" w:bidi="ar-SA"/>
        </w:rPr>
        <w:t>附件2：满意度调查问卷</w:t>
      </w:r>
    </w:p>
    <w:p>
      <w:pPr>
        <w:keepLines w:val="0"/>
        <w:spacing w:after="400"/>
        <w:ind w:firstLine="160"/>
        <w:jc w:val="center"/>
        <w:rPr>
          <w:b/>
          <w:color w:val="auto"/>
          <w:sz w:val="32"/>
        </w:rPr>
      </w:pPr>
    </w:p>
    <w:p>
      <w:pPr>
        <w:keepLines w:val="0"/>
        <w:spacing w:after="400"/>
        <w:ind w:firstLine="160"/>
        <w:jc w:val="center"/>
        <w:rPr>
          <w:color w:val="auto"/>
        </w:rPr>
      </w:pPr>
      <w:r>
        <w:rPr>
          <w:b/>
          <w:color w:val="auto"/>
          <w:sz w:val="32"/>
        </w:rPr>
        <w:t>伽师县</w:t>
      </w:r>
      <w:r>
        <w:rPr>
          <w:rFonts w:hint="eastAsia" w:eastAsia="宋体"/>
          <w:b/>
          <w:color w:val="auto"/>
          <w:sz w:val="32"/>
          <w:lang w:val="en-US" w:eastAsia="zh-CN"/>
        </w:rPr>
        <w:t>统计</w:t>
      </w:r>
      <w:r>
        <w:rPr>
          <w:b/>
          <w:color w:val="auto"/>
          <w:sz w:val="32"/>
        </w:rPr>
        <w:t>局2022年</w:t>
      </w:r>
      <w:r>
        <w:rPr>
          <w:rFonts w:hint="eastAsia" w:eastAsia="宋体"/>
          <w:b/>
          <w:color w:val="auto"/>
          <w:sz w:val="32"/>
          <w:lang w:val="en-US" w:eastAsia="zh-CN"/>
        </w:rPr>
        <w:t>住户调查补助经费</w:t>
      </w:r>
      <w:r>
        <w:rPr>
          <w:b/>
          <w:color w:val="auto"/>
          <w:sz w:val="32"/>
        </w:rPr>
        <w:t>项目满意度问卷调查</w:t>
      </w:r>
    </w:p>
    <w:p>
      <w:pPr>
        <w:rPr>
          <w:b/>
          <w:color w:val="auto"/>
          <w:sz w:val="32"/>
        </w:rPr>
      </w:pPr>
      <w:r>
        <w:rPr>
          <w:b w:val="0"/>
          <w:color w:val="auto"/>
          <w:sz w:val="24"/>
        </w:rPr>
        <w:t xml:space="preserve">第1题   您的性别      </w:t>
      </w:r>
      <w:r>
        <w:rPr>
          <w:b w:val="0"/>
          <w:color w:val="auto"/>
          <w:sz w:val="24"/>
        </w:rPr>
        <w:t>[单选题]</w:t>
      </w:r>
    </w:p>
    <w:p>
      <w:pPr>
        <w:rPr>
          <w:b w:val="0"/>
          <w:color w:val="auto"/>
          <w:sz w:val="24"/>
        </w:rPr>
      </w:pPr>
    </w:p>
    <w:tbl>
      <w:tblPr>
        <w:tblStyle w:val="8"/>
        <w:tblW w:w="8522"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060"/>
        <w:gridCol w:w="997"/>
        <w:gridCol w:w="446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center"/>
              <w:rPr>
                <w:color w:val="auto"/>
              </w:rPr>
            </w:pPr>
            <w:r>
              <w:rPr>
                <w:color w:val="auto"/>
              </w:rPr>
              <w:t>选项</w:t>
            </w:r>
          </w:p>
        </w:tc>
        <w:tc>
          <w:tcPr>
            <w:tcW w:w="997" w:type="dxa"/>
            <w:shd w:val="clear" w:color="auto" w:fill="E0E0E0"/>
            <w:vAlign w:val="center"/>
          </w:tcPr>
          <w:p>
            <w:pPr>
              <w:jc w:val="center"/>
              <w:rPr>
                <w:color w:val="auto"/>
              </w:rPr>
            </w:pPr>
            <w:r>
              <w:rPr>
                <w:color w:val="auto"/>
              </w:rPr>
              <w:t>小计</w:t>
            </w:r>
          </w:p>
        </w:tc>
        <w:tc>
          <w:tcPr>
            <w:tcW w:w="4465" w:type="dxa"/>
            <w:shd w:val="clear" w:color="auto" w:fill="E0E0E0"/>
            <w:vAlign w:val="center"/>
          </w:tcPr>
          <w:p>
            <w:pPr>
              <w:jc w:val="center"/>
              <w:rPr>
                <w:color w:val="auto"/>
              </w:rPr>
            </w:pPr>
            <w:r>
              <w:rPr>
                <w:color w:val="auto"/>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男</w:t>
            </w:r>
          </w:p>
        </w:tc>
        <w:tc>
          <w:tcPr>
            <w:tcW w:w="997" w:type="dxa"/>
            <w:shd w:val="clear" w:color="auto" w:fill="FFFFFF"/>
            <w:vAlign w:val="center"/>
          </w:tcPr>
          <w:p>
            <w:pPr>
              <w:jc w:val="center"/>
              <w:rPr>
                <w:color w:val="auto"/>
              </w:rPr>
            </w:pPr>
            <w:r>
              <w:rPr>
                <w:color w:val="auto"/>
              </w:rPr>
              <w:t>123</w:t>
            </w:r>
          </w:p>
        </w:tc>
        <w:tc>
          <w:tcPr>
            <w:tcW w:w="4465" w:type="dxa"/>
            <w:shd w:val="clear" w:color="auto" w:fill="FFFFFF"/>
            <w:vAlign w:val="center"/>
          </w:tcPr>
          <w:p>
            <w:pPr>
              <w:jc w:val="left"/>
              <w:rPr>
                <w:color w:val="auto"/>
              </w:rPr>
            </w:pPr>
            <w:r>
              <w:rPr>
                <w:color w:val="auto"/>
              </w:rPr>
              <w:drawing>
                <wp:inline distT="0" distB="0" distL="114300" distR="114300">
                  <wp:extent cx="809625" cy="1143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809625" cy="114300"/>
                          </a:xfrm>
                          <a:prstGeom prst="rect">
                            <a:avLst/>
                          </a:prstGeom>
                          <a:noFill/>
                          <a:ln>
                            <a:noFill/>
                          </a:ln>
                        </pic:spPr>
                      </pic:pic>
                    </a:graphicData>
                  </a:graphic>
                </wp:inline>
              </w:drawing>
            </w:r>
            <w:r>
              <w:rPr>
                <w:color w:val="auto"/>
              </w:rPr>
              <w:drawing>
                <wp:inline distT="0" distB="0" distL="114300" distR="114300">
                  <wp:extent cx="542925" cy="1143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42925" cy="114300"/>
                          </a:xfrm>
                          <a:prstGeom prst="rect">
                            <a:avLst/>
                          </a:prstGeom>
                          <a:noFill/>
                          <a:ln>
                            <a:noFill/>
                          </a:ln>
                        </pic:spPr>
                      </pic:pic>
                    </a:graphicData>
                  </a:graphic>
                </wp:inline>
              </w:drawing>
            </w:r>
            <w:r>
              <w:rPr>
                <w:color w:val="auto"/>
              </w:rPr>
              <w:t>60.29%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9F9F9"/>
            <w:vAlign w:val="center"/>
          </w:tcPr>
          <w:p>
            <w:pPr>
              <w:jc w:val="left"/>
              <w:rPr>
                <w:color w:val="auto"/>
              </w:rPr>
            </w:pPr>
            <w:r>
              <w:rPr>
                <w:color w:val="auto"/>
              </w:rPr>
              <w:t>女</w:t>
            </w:r>
          </w:p>
        </w:tc>
        <w:tc>
          <w:tcPr>
            <w:tcW w:w="997" w:type="dxa"/>
            <w:shd w:val="clear" w:color="auto" w:fill="F9F9F9"/>
            <w:vAlign w:val="center"/>
          </w:tcPr>
          <w:p>
            <w:pPr>
              <w:jc w:val="center"/>
              <w:rPr>
                <w:color w:val="auto"/>
              </w:rPr>
            </w:pPr>
            <w:r>
              <w:rPr>
                <w:color w:val="auto"/>
              </w:rPr>
              <w:t>81</w:t>
            </w:r>
          </w:p>
        </w:tc>
        <w:tc>
          <w:tcPr>
            <w:tcW w:w="4465" w:type="dxa"/>
            <w:shd w:val="clear" w:color="auto" w:fill="F9F9F9"/>
            <w:vAlign w:val="center"/>
          </w:tcPr>
          <w:p>
            <w:pPr>
              <w:jc w:val="left"/>
              <w:rPr>
                <w:color w:val="auto"/>
              </w:rPr>
            </w:pPr>
            <w:r>
              <w:rPr>
                <w:color w:val="auto"/>
              </w:rPr>
              <w:drawing>
                <wp:inline distT="0" distB="0" distL="114300" distR="114300">
                  <wp:extent cx="533400" cy="114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33400" cy="114300"/>
                          </a:xfrm>
                          <a:prstGeom prst="rect">
                            <a:avLst/>
                          </a:prstGeom>
                          <a:noFill/>
                          <a:ln>
                            <a:noFill/>
                          </a:ln>
                        </pic:spPr>
                      </pic:pic>
                    </a:graphicData>
                  </a:graphic>
                </wp:inline>
              </w:drawing>
            </w:r>
            <w:r>
              <w:rPr>
                <w:color w:val="auto"/>
              </w:rPr>
              <w:drawing>
                <wp:inline distT="0" distB="0" distL="114300" distR="114300">
                  <wp:extent cx="819150" cy="114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819150" cy="114300"/>
                          </a:xfrm>
                          <a:prstGeom prst="rect">
                            <a:avLst/>
                          </a:prstGeom>
                          <a:noFill/>
                          <a:ln>
                            <a:noFill/>
                          </a:ln>
                        </pic:spPr>
                      </pic:pic>
                    </a:graphicData>
                  </a:graphic>
                </wp:inline>
              </w:drawing>
            </w:r>
            <w:r>
              <w:rPr>
                <w:color w:val="auto"/>
              </w:rPr>
              <w:t>39.71%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left"/>
              <w:rPr>
                <w:color w:val="auto"/>
              </w:rPr>
            </w:pPr>
            <w:r>
              <w:rPr>
                <w:color w:val="auto"/>
              </w:rPr>
              <w:t>本题有效填写人次</w:t>
            </w:r>
          </w:p>
        </w:tc>
        <w:tc>
          <w:tcPr>
            <w:tcW w:w="997" w:type="dxa"/>
            <w:shd w:val="clear" w:color="auto" w:fill="E0E0E0"/>
            <w:vAlign w:val="center"/>
          </w:tcPr>
          <w:p>
            <w:pPr>
              <w:jc w:val="center"/>
              <w:rPr>
                <w:color w:val="auto"/>
              </w:rPr>
            </w:pPr>
            <w:r>
              <w:rPr>
                <w:color w:val="auto"/>
              </w:rPr>
              <w:t>204</w:t>
            </w:r>
          </w:p>
        </w:tc>
        <w:tc>
          <w:tcPr>
            <w:tcW w:w="4465" w:type="dxa"/>
            <w:shd w:val="clear" w:color="auto" w:fill="E0E0E0"/>
            <w:vAlign w:val="center"/>
          </w:tcPr>
          <w:p>
            <w:pPr>
              <w:jc w:val="left"/>
              <w:rPr>
                <w:color w:val="auto"/>
              </w:rPr>
            </w:pPr>
          </w:p>
        </w:tc>
      </w:tr>
    </w:tbl>
    <w:p>
      <w:pPr>
        <w:rPr>
          <w:color w:val="auto"/>
        </w:rPr>
      </w:pPr>
    </w:p>
    <w:p>
      <w:pPr>
        <w:rPr>
          <w:color w:val="auto"/>
        </w:rPr>
      </w:pPr>
    </w:p>
    <w:p>
      <w:pPr>
        <w:rPr>
          <w:color w:val="auto"/>
        </w:rPr>
      </w:pPr>
    </w:p>
    <w:p>
      <w:pPr>
        <w:rPr>
          <w:color w:val="auto"/>
        </w:rPr>
      </w:pPr>
      <w:r>
        <w:rPr>
          <w:b w:val="0"/>
          <w:color w:val="auto"/>
          <w:sz w:val="24"/>
        </w:rPr>
        <w:t>第</w:t>
      </w:r>
      <w:r>
        <w:rPr>
          <w:rFonts w:hint="eastAsia" w:eastAsia="宋体"/>
          <w:b w:val="0"/>
          <w:color w:val="auto"/>
          <w:sz w:val="24"/>
          <w:lang w:val="en-US" w:eastAsia="zh-CN"/>
        </w:rPr>
        <w:t>2</w:t>
      </w:r>
      <w:r>
        <w:rPr>
          <w:b w:val="0"/>
          <w:color w:val="auto"/>
          <w:sz w:val="24"/>
        </w:rPr>
        <w:t>题   本项目的实施对</w:t>
      </w:r>
      <w:r>
        <w:rPr>
          <w:rFonts w:hint="eastAsia" w:eastAsia="宋体"/>
          <w:b w:val="0"/>
          <w:color w:val="auto"/>
          <w:sz w:val="24"/>
          <w:lang w:val="en-US" w:eastAsia="zh-CN"/>
        </w:rPr>
        <w:t>住户调查工作</w:t>
      </w:r>
      <w:r>
        <w:rPr>
          <w:b w:val="0"/>
          <w:color w:val="auto"/>
          <w:sz w:val="24"/>
        </w:rPr>
        <w:t xml:space="preserve">的顺利完成起到的效果如何      </w:t>
      </w:r>
      <w:r>
        <w:rPr>
          <w:b w:val="0"/>
          <w:color w:val="auto"/>
          <w:sz w:val="24"/>
        </w:rPr>
        <w:t>[单选题]</w:t>
      </w:r>
    </w:p>
    <w:p>
      <w:pPr>
        <w:rPr>
          <w:b w:val="0"/>
          <w:color w:val="auto"/>
          <w:sz w:val="24"/>
        </w:rPr>
      </w:pPr>
    </w:p>
    <w:tbl>
      <w:tblPr>
        <w:tblStyle w:val="8"/>
        <w:tblW w:w="8522"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073"/>
        <w:gridCol w:w="1001"/>
        <w:gridCol w:w="4448"/>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73" w:type="dxa"/>
            <w:shd w:val="clear" w:color="auto" w:fill="E0E0E0"/>
            <w:vAlign w:val="center"/>
          </w:tcPr>
          <w:p>
            <w:pPr>
              <w:jc w:val="center"/>
              <w:rPr>
                <w:color w:val="auto"/>
              </w:rPr>
            </w:pPr>
            <w:r>
              <w:rPr>
                <w:color w:val="auto"/>
              </w:rPr>
              <w:t>选项</w:t>
            </w:r>
          </w:p>
        </w:tc>
        <w:tc>
          <w:tcPr>
            <w:tcW w:w="1001" w:type="dxa"/>
            <w:shd w:val="clear" w:color="auto" w:fill="E0E0E0"/>
            <w:vAlign w:val="center"/>
          </w:tcPr>
          <w:p>
            <w:pPr>
              <w:jc w:val="center"/>
              <w:rPr>
                <w:color w:val="auto"/>
              </w:rPr>
            </w:pPr>
            <w:r>
              <w:rPr>
                <w:color w:val="auto"/>
              </w:rPr>
              <w:t>小计</w:t>
            </w:r>
          </w:p>
        </w:tc>
        <w:tc>
          <w:tcPr>
            <w:tcW w:w="4448" w:type="dxa"/>
            <w:shd w:val="clear" w:color="auto" w:fill="E0E0E0"/>
            <w:vAlign w:val="center"/>
          </w:tcPr>
          <w:p>
            <w:pPr>
              <w:jc w:val="center"/>
              <w:rPr>
                <w:color w:val="auto"/>
              </w:rPr>
            </w:pPr>
            <w:r>
              <w:rPr>
                <w:color w:val="auto"/>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73" w:type="dxa"/>
            <w:shd w:val="clear" w:color="auto" w:fill="FFFFFF"/>
            <w:vAlign w:val="center"/>
          </w:tcPr>
          <w:p>
            <w:pPr>
              <w:jc w:val="left"/>
              <w:rPr>
                <w:color w:val="auto"/>
              </w:rPr>
            </w:pPr>
            <w:r>
              <w:rPr>
                <w:color w:val="auto"/>
              </w:rPr>
              <w:t>非常有效</w:t>
            </w:r>
          </w:p>
        </w:tc>
        <w:tc>
          <w:tcPr>
            <w:tcW w:w="1001" w:type="dxa"/>
            <w:shd w:val="clear" w:color="auto" w:fill="FFFFFF"/>
            <w:vAlign w:val="center"/>
          </w:tcPr>
          <w:p>
            <w:pPr>
              <w:jc w:val="center"/>
              <w:rPr>
                <w:color w:val="auto"/>
              </w:rPr>
            </w:pPr>
            <w:r>
              <w:rPr>
                <w:color w:val="auto"/>
              </w:rPr>
              <w:t>196</w:t>
            </w:r>
          </w:p>
        </w:tc>
        <w:tc>
          <w:tcPr>
            <w:tcW w:w="4448" w:type="dxa"/>
            <w:shd w:val="clear" w:color="auto" w:fill="FFFFFF"/>
            <w:vAlign w:val="center"/>
          </w:tcPr>
          <w:p>
            <w:pPr>
              <w:jc w:val="left"/>
              <w:rPr>
                <w:color w:val="auto"/>
              </w:rPr>
            </w:pPr>
            <w:r>
              <w:rPr>
                <w:color w:val="auto"/>
              </w:rPr>
              <w:drawing>
                <wp:inline distT="0" distB="0" distL="114300" distR="114300">
                  <wp:extent cx="1295400" cy="114300"/>
                  <wp:effectExtent l="0" t="0" r="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4"/>
                          <a:stretch>
                            <a:fillRect/>
                          </a:stretch>
                        </pic:blipFill>
                        <pic:spPr>
                          <a:xfrm>
                            <a:off x="0" y="0"/>
                            <a:ext cx="1295400" cy="114300"/>
                          </a:xfrm>
                          <a:prstGeom prst="rect">
                            <a:avLst/>
                          </a:prstGeom>
                          <a:noFill/>
                          <a:ln>
                            <a:noFill/>
                          </a:ln>
                        </pic:spPr>
                      </pic:pic>
                    </a:graphicData>
                  </a:graphic>
                </wp:inline>
              </w:drawing>
            </w:r>
            <w:r>
              <w:rPr>
                <w:color w:val="auto"/>
              </w:rPr>
              <w:drawing>
                <wp:inline distT="0" distB="0" distL="114300" distR="114300">
                  <wp:extent cx="57150" cy="114300"/>
                  <wp:effectExtent l="0" t="0" r="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5"/>
                          <a:stretch>
                            <a:fillRect/>
                          </a:stretch>
                        </pic:blipFill>
                        <pic:spPr>
                          <a:xfrm>
                            <a:off x="0" y="0"/>
                            <a:ext cx="57150" cy="114300"/>
                          </a:xfrm>
                          <a:prstGeom prst="rect">
                            <a:avLst/>
                          </a:prstGeom>
                          <a:noFill/>
                          <a:ln>
                            <a:noFill/>
                          </a:ln>
                        </pic:spPr>
                      </pic:pic>
                    </a:graphicData>
                  </a:graphic>
                </wp:inline>
              </w:drawing>
            </w:r>
            <w:r>
              <w:rPr>
                <w:color w:val="auto"/>
              </w:rPr>
              <w:t>96.08%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73" w:type="dxa"/>
            <w:shd w:val="clear" w:color="auto" w:fill="F9F9F9"/>
            <w:vAlign w:val="center"/>
          </w:tcPr>
          <w:p>
            <w:pPr>
              <w:jc w:val="left"/>
              <w:rPr>
                <w:color w:val="auto"/>
              </w:rPr>
            </w:pPr>
            <w:r>
              <w:rPr>
                <w:color w:val="auto"/>
              </w:rPr>
              <w:t>有效</w:t>
            </w:r>
          </w:p>
        </w:tc>
        <w:tc>
          <w:tcPr>
            <w:tcW w:w="1001" w:type="dxa"/>
            <w:shd w:val="clear" w:color="auto" w:fill="F9F9F9"/>
            <w:vAlign w:val="center"/>
          </w:tcPr>
          <w:p>
            <w:pPr>
              <w:jc w:val="center"/>
              <w:rPr>
                <w:color w:val="auto"/>
              </w:rPr>
            </w:pPr>
            <w:r>
              <w:rPr>
                <w:color w:val="auto"/>
              </w:rPr>
              <w:t>8</w:t>
            </w:r>
          </w:p>
        </w:tc>
        <w:tc>
          <w:tcPr>
            <w:tcW w:w="4448" w:type="dxa"/>
            <w:shd w:val="clear" w:color="auto" w:fill="F9F9F9"/>
            <w:vAlign w:val="center"/>
          </w:tcPr>
          <w:p>
            <w:pPr>
              <w:jc w:val="left"/>
              <w:rPr>
                <w:color w:val="auto"/>
              </w:rPr>
            </w:pPr>
            <w:r>
              <w:rPr>
                <w:color w:val="auto"/>
              </w:rPr>
              <w:drawing>
                <wp:inline distT="0" distB="0" distL="114300" distR="114300">
                  <wp:extent cx="47625" cy="114300"/>
                  <wp:effectExtent l="0" t="0" r="9525" b="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16"/>
                          <a:stretch>
                            <a:fillRect/>
                          </a:stretch>
                        </pic:blipFill>
                        <pic:spPr>
                          <a:xfrm>
                            <a:off x="0" y="0"/>
                            <a:ext cx="47625" cy="114300"/>
                          </a:xfrm>
                          <a:prstGeom prst="rect">
                            <a:avLst/>
                          </a:prstGeom>
                          <a:noFill/>
                          <a:ln>
                            <a:noFill/>
                          </a:ln>
                        </pic:spPr>
                      </pic:pic>
                    </a:graphicData>
                  </a:graphic>
                </wp:inline>
              </w:drawing>
            </w:r>
            <w:r>
              <w:rPr>
                <w:color w:val="auto"/>
              </w:rPr>
              <w:drawing>
                <wp:inline distT="0" distB="0" distL="114300" distR="114300">
                  <wp:extent cx="1304925" cy="114300"/>
                  <wp:effectExtent l="0" t="0" r="9525" b="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17"/>
                          <a:stretch>
                            <a:fillRect/>
                          </a:stretch>
                        </pic:blipFill>
                        <pic:spPr>
                          <a:xfrm>
                            <a:off x="0" y="0"/>
                            <a:ext cx="1304925" cy="114300"/>
                          </a:xfrm>
                          <a:prstGeom prst="rect">
                            <a:avLst/>
                          </a:prstGeom>
                          <a:noFill/>
                          <a:ln>
                            <a:noFill/>
                          </a:ln>
                        </pic:spPr>
                      </pic:pic>
                    </a:graphicData>
                  </a:graphic>
                </wp:inline>
              </w:drawing>
            </w:r>
            <w:r>
              <w:rPr>
                <w:color w:val="auto"/>
              </w:rPr>
              <w:t>3.92%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73" w:type="dxa"/>
            <w:shd w:val="clear" w:color="auto" w:fill="FFFFFF"/>
            <w:vAlign w:val="center"/>
          </w:tcPr>
          <w:p>
            <w:pPr>
              <w:jc w:val="left"/>
              <w:rPr>
                <w:color w:val="auto"/>
              </w:rPr>
            </w:pPr>
            <w:r>
              <w:rPr>
                <w:color w:val="auto"/>
              </w:rPr>
              <w:t>没有效果</w:t>
            </w:r>
          </w:p>
        </w:tc>
        <w:tc>
          <w:tcPr>
            <w:tcW w:w="1001" w:type="dxa"/>
            <w:shd w:val="clear" w:color="auto" w:fill="FFFFFF"/>
            <w:vAlign w:val="center"/>
          </w:tcPr>
          <w:p>
            <w:pPr>
              <w:jc w:val="center"/>
              <w:rPr>
                <w:color w:val="auto"/>
              </w:rPr>
            </w:pPr>
            <w:r>
              <w:rPr>
                <w:color w:val="auto"/>
              </w:rPr>
              <w:t>0</w:t>
            </w:r>
          </w:p>
        </w:tc>
        <w:tc>
          <w:tcPr>
            <w:tcW w:w="4448" w:type="dxa"/>
            <w:shd w:val="clear" w:color="auto" w:fill="FFFFFF"/>
            <w:vAlign w:val="center"/>
          </w:tcPr>
          <w:p>
            <w:pPr>
              <w:jc w:val="left"/>
              <w:rPr>
                <w:color w:val="auto"/>
              </w:rPr>
            </w:pPr>
            <w:r>
              <w:rPr>
                <w:color w:val="auto"/>
              </w:rPr>
              <w:drawing>
                <wp:inline distT="0" distB="0" distL="114300" distR="114300">
                  <wp:extent cx="1352550" cy="114300"/>
                  <wp:effectExtent l="0" t="0" r="0" b="0"/>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1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73" w:type="dxa"/>
            <w:shd w:val="clear" w:color="auto" w:fill="E0E0E0"/>
            <w:vAlign w:val="center"/>
          </w:tcPr>
          <w:p>
            <w:pPr>
              <w:jc w:val="left"/>
              <w:rPr>
                <w:color w:val="auto"/>
              </w:rPr>
            </w:pPr>
            <w:r>
              <w:rPr>
                <w:color w:val="auto"/>
              </w:rPr>
              <w:t>本题有效填写人次</w:t>
            </w:r>
          </w:p>
        </w:tc>
        <w:tc>
          <w:tcPr>
            <w:tcW w:w="1001" w:type="dxa"/>
            <w:shd w:val="clear" w:color="auto" w:fill="E0E0E0"/>
            <w:vAlign w:val="center"/>
          </w:tcPr>
          <w:p>
            <w:pPr>
              <w:jc w:val="center"/>
              <w:rPr>
                <w:color w:val="auto"/>
              </w:rPr>
            </w:pPr>
            <w:r>
              <w:rPr>
                <w:color w:val="auto"/>
              </w:rPr>
              <w:t>204</w:t>
            </w:r>
          </w:p>
        </w:tc>
        <w:tc>
          <w:tcPr>
            <w:tcW w:w="4448" w:type="dxa"/>
            <w:shd w:val="clear" w:color="auto" w:fill="E0E0E0"/>
            <w:vAlign w:val="center"/>
          </w:tcPr>
          <w:p>
            <w:pPr>
              <w:jc w:val="left"/>
              <w:rPr>
                <w:color w:val="auto"/>
              </w:rPr>
            </w:pPr>
          </w:p>
        </w:tc>
      </w:tr>
    </w:tbl>
    <w:p>
      <w:pPr>
        <w:rPr>
          <w:color w:val="auto"/>
        </w:rPr>
      </w:pPr>
    </w:p>
    <w:p>
      <w:pPr>
        <w:rPr>
          <w:color w:val="auto"/>
        </w:rPr>
      </w:pPr>
    </w:p>
    <w:p>
      <w:pPr>
        <w:rPr>
          <w:color w:val="auto"/>
        </w:rPr>
      </w:pPr>
      <w:r>
        <w:rPr>
          <w:b w:val="0"/>
          <w:color w:val="auto"/>
          <w:sz w:val="24"/>
        </w:rPr>
        <w:t>第</w:t>
      </w:r>
      <w:r>
        <w:rPr>
          <w:rFonts w:hint="eastAsia" w:eastAsia="宋体"/>
          <w:b w:val="0"/>
          <w:color w:val="auto"/>
          <w:sz w:val="24"/>
          <w:lang w:val="en-US" w:eastAsia="zh-CN"/>
        </w:rPr>
        <w:t>3</w:t>
      </w:r>
      <w:r>
        <w:rPr>
          <w:b w:val="0"/>
          <w:color w:val="auto"/>
          <w:sz w:val="24"/>
        </w:rPr>
        <w:t xml:space="preserve">题   此次补助对您工作积极性起到的效果如何      </w:t>
      </w:r>
      <w:r>
        <w:rPr>
          <w:b w:val="0"/>
          <w:color w:val="auto"/>
          <w:sz w:val="24"/>
        </w:rPr>
        <w:t>[单选题]</w:t>
      </w:r>
    </w:p>
    <w:p>
      <w:pPr>
        <w:rPr>
          <w:b w:val="0"/>
          <w:color w:val="auto"/>
          <w:sz w:val="24"/>
        </w:rPr>
      </w:pPr>
    </w:p>
    <w:tbl>
      <w:tblPr>
        <w:tblStyle w:val="8"/>
        <w:tblW w:w="8522"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060"/>
        <w:gridCol w:w="997"/>
        <w:gridCol w:w="446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center"/>
              <w:rPr>
                <w:color w:val="auto"/>
              </w:rPr>
            </w:pPr>
            <w:r>
              <w:rPr>
                <w:color w:val="auto"/>
              </w:rPr>
              <w:t>选项</w:t>
            </w:r>
          </w:p>
        </w:tc>
        <w:tc>
          <w:tcPr>
            <w:tcW w:w="997" w:type="dxa"/>
            <w:shd w:val="clear" w:color="auto" w:fill="E0E0E0"/>
            <w:vAlign w:val="center"/>
          </w:tcPr>
          <w:p>
            <w:pPr>
              <w:jc w:val="center"/>
              <w:rPr>
                <w:color w:val="auto"/>
              </w:rPr>
            </w:pPr>
            <w:r>
              <w:rPr>
                <w:color w:val="auto"/>
              </w:rPr>
              <w:t>小计</w:t>
            </w:r>
          </w:p>
        </w:tc>
        <w:tc>
          <w:tcPr>
            <w:tcW w:w="4465" w:type="dxa"/>
            <w:shd w:val="clear" w:color="auto" w:fill="E0E0E0"/>
            <w:vAlign w:val="center"/>
          </w:tcPr>
          <w:p>
            <w:pPr>
              <w:jc w:val="center"/>
              <w:rPr>
                <w:color w:val="auto"/>
              </w:rPr>
            </w:pPr>
            <w:r>
              <w:rPr>
                <w:color w:val="auto"/>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非常有效</w:t>
            </w:r>
          </w:p>
        </w:tc>
        <w:tc>
          <w:tcPr>
            <w:tcW w:w="997" w:type="dxa"/>
            <w:shd w:val="clear" w:color="auto" w:fill="FFFFFF"/>
            <w:vAlign w:val="center"/>
          </w:tcPr>
          <w:p>
            <w:pPr>
              <w:jc w:val="center"/>
              <w:rPr>
                <w:color w:val="auto"/>
              </w:rPr>
            </w:pPr>
            <w:r>
              <w:rPr>
                <w:color w:val="auto"/>
              </w:rPr>
              <w:t>190</w:t>
            </w:r>
          </w:p>
        </w:tc>
        <w:tc>
          <w:tcPr>
            <w:tcW w:w="4465" w:type="dxa"/>
            <w:shd w:val="clear" w:color="auto" w:fill="FFFFFF"/>
            <w:vAlign w:val="center"/>
          </w:tcPr>
          <w:p>
            <w:pPr>
              <w:jc w:val="left"/>
              <w:rPr>
                <w:color w:val="auto"/>
              </w:rPr>
            </w:pPr>
            <w:r>
              <w:rPr>
                <w:color w:val="auto"/>
              </w:rPr>
              <w:drawing>
                <wp:inline distT="0" distB="0" distL="114300" distR="114300">
                  <wp:extent cx="1257300" cy="114300"/>
                  <wp:effectExtent l="0" t="0" r="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19"/>
                          <a:stretch>
                            <a:fillRect/>
                          </a:stretch>
                        </pic:blipFill>
                        <pic:spPr>
                          <a:xfrm>
                            <a:off x="0" y="0"/>
                            <a:ext cx="1257300" cy="114300"/>
                          </a:xfrm>
                          <a:prstGeom prst="rect">
                            <a:avLst/>
                          </a:prstGeom>
                          <a:noFill/>
                          <a:ln>
                            <a:noFill/>
                          </a:ln>
                        </pic:spPr>
                      </pic:pic>
                    </a:graphicData>
                  </a:graphic>
                </wp:inline>
              </w:drawing>
            </w:r>
            <w:r>
              <w:rPr>
                <w:color w:val="auto"/>
              </w:rPr>
              <w:drawing>
                <wp:inline distT="0" distB="0" distL="114300" distR="114300">
                  <wp:extent cx="95250" cy="114300"/>
                  <wp:effectExtent l="0" t="0" r="0" b="0"/>
                  <wp:docPr id="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
                          <pic:cNvPicPr>
                            <a:picLocks noChangeAspect="1"/>
                          </pic:cNvPicPr>
                        </pic:nvPicPr>
                        <pic:blipFill>
                          <a:blip r:embed="rId20"/>
                          <a:stretch>
                            <a:fillRect/>
                          </a:stretch>
                        </pic:blipFill>
                        <pic:spPr>
                          <a:xfrm>
                            <a:off x="0" y="0"/>
                            <a:ext cx="95250" cy="114300"/>
                          </a:xfrm>
                          <a:prstGeom prst="rect">
                            <a:avLst/>
                          </a:prstGeom>
                          <a:noFill/>
                          <a:ln>
                            <a:noFill/>
                          </a:ln>
                        </pic:spPr>
                      </pic:pic>
                    </a:graphicData>
                  </a:graphic>
                </wp:inline>
              </w:drawing>
            </w:r>
            <w:r>
              <w:rPr>
                <w:color w:val="auto"/>
              </w:rPr>
              <w:t>93.14%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9F9F9"/>
            <w:vAlign w:val="center"/>
          </w:tcPr>
          <w:p>
            <w:pPr>
              <w:jc w:val="left"/>
              <w:rPr>
                <w:color w:val="auto"/>
              </w:rPr>
            </w:pPr>
            <w:r>
              <w:rPr>
                <w:color w:val="auto"/>
              </w:rPr>
              <w:t>有效</w:t>
            </w:r>
          </w:p>
        </w:tc>
        <w:tc>
          <w:tcPr>
            <w:tcW w:w="997" w:type="dxa"/>
            <w:shd w:val="clear" w:color="auto" w:fill="F9F9F9"/>
            <w:vAlign w:val="center"/>
          </w:tcPr>
          <w:p>
            <w:pPr>
              <w:jc w:val="center"/>
              <w:rPr>
                <w:color w:val="auto"/>
              </w:rPr>
            </w:pPr>
            <w:r>
              <w:rPr>
                <w:color w:val="auto"/>
              </w:rPr>
              <w:t>14</w:t>
            </w:r>
          </w:p>
        </w:tc>
        <w:tc>
          <w:tcPr>
            <w:tcW w:w="4465" w:type="dxa"/>
            <w:shd w:val="clear" w:color="auto" w:fill="F9F9F9"/>
            <w:vAlign w:val="center"/>
          </w:tcPr>
          <w:p>
            <w:pPr>
              <w:jc w:val="left"/>
              <w:rPr>
                <w:color w:val="auto"/>
              </w:rPr>
            </w:pPr>
            <w:r>
              <w:rPr>
                <w:color w:val="auto"/>
              </w:rPr>
              <w:drawing>
                <wp:inline distT="0" distB="0" distL="114300" distR="114300">
                  <wp:extent cx="85725" cy="114300"/>
                  <wp:effectExtent l="0" t="0" r="9525" b="0"/>
                  <wp:docPr id="1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8"/>
                          <pic:cNvPicPr>
                            <a:picLocks noChangeAspect="1"/>
                          </pic:cNvPicPr>
                        </pic:nvPicPr>
                        <pic:blipFill>
                          <a:blip r:embed="rId21"/>
                          <a:stretch>
                            <a:fillRect/>
                          </a:stretch>
                        </pic:blipFill>
                        <pic:spPr>
                          <a:xfrm>
                            <a:off x="0" y="0"/>
                            <a:ext cx="85725" cy="114300"/>
                          </a:xfrm>
                          <a:prstGeom prst="rect">
                            <a:avLst/>
                          </a:prstGeom>
                          <a:noFill/>
                          <a:ln>
                            <a:noFill/>
                          </a:ln>
                        </pic:spPr>
                      </pic:pic>
                    </a:graphicData>
                  </a:graphic>
                </wp:inline>
              </w:drawing>
            </w:r>
            <w:r>
              <w:rPr>
                <w:color w:val="auto"/>
              </w:rPr>
              <w:drawing>
                <wp:inline distT="0" distB="0" distL="114300" distR="114300">
                  <wp:extent cx="1266825" cy="114300"/>
                  <wp:effectExtent l="0" t="0" r="9525" b="0"/>
                  <wp:docPr id="1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9"/>
                          <pic:cNvPicPr>
                            <a:picLocks noChangeAspect="1"/>
                          </pic:cNvPicPr>
                        </pic:nvPicPr>
                        <pic:blipFill>
                          <a:blip r:embed="rId22"/>
                          <a:stretch>
                            <a:fillRect/>
                          </a:stretch>
                        </pic:blipFill>
                        <pic:spPr>
                          <a:xfrm>
                            <a:off x="0" y="0"/>
                            <a:ext cx="1266825" cy="114300"/>
                          </a:xfrm>
                          <a:prstGeom prst="rect">
                            <a:avLst/>
                          </a:prstGeom>
                          <a:noFill/>
                          <a:ln>
                            <a:noFill/>
                          </a:ln>
                        </pic:spPr>
                      </pic:pic>
                    </a:graphicData>
                  </a:graphic>
                </wp:inline>
              </w:drawing>
            </w:r>
            <w:r>
              <w:rPr>
                <w:color w:val="auto"/>
              </w:rPr>
              <w:t>6.86%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没有效果</w:t>
            </w:r>
          </w:p>
        </w:tc>
        <w:tc>
          <w:tcPr>
            <w:tcW w:w="997" w:type="dxa"/>
            <w:shd w:val="clear" w:color="auto" w:fill="FFFFFF"/>
            <w:vAlign w:val="center"/>
          </w:tcPr>
          <w:p>
            <w:pPr>
              <w:jc w:val="center"/>
              <w:rPr>
                <w:color w:val="auto"/>
              </w:rPr>
            </w:pPr>
            <w:r>
              <w:rPr>
                <w:color w:val="auto"/>
              </w:rPr>
              <w:t>0</w:t>
            </w:r>
          </w:p>
        </w:tc>
        <w:tc>
          <w:tcPr>
            <w:tcW w:w="4465" w:type="dxa"/>
            <w:shd w:val="clear" w:color="auto" w:fill="FFFFFF"/>
            <w:vAlign w:val="center"/>
          </w:tcPr>
          <w:p>
            <w:pPr>
              <w:jc w:val="left"/>
              <w:rPr>
                <w:color w:val="auto"/>
              </w:rPr>
            </w:pPr>
            <w:r>
              <w:rPr>
                <w:color w:val="auto"/>
              </w:rPr>
              <w:drawing>
                <wp:inline distT="0" distB="0" distL="114300" distR="114300">
                  <wp:extent cx="1352550" cy="114300"/>
                  <wp:effectExtent l="0" t="0" r="0" b="0"/>
                  <wp:docPr id="1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
                          <pic:cNvPicPr>
                            <a:picLocks noChangeAspect="1"/>
                          </pic:cNvPicPr>
                        </pic:nvPicPr>
                        <pic:blipFill>
                          <a:blip r:embed="rId1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left"/>
              <w:rPr>
                <w:color w:val="auto"/>
              </w:rPr>
            </w:pPr>
            <w:r>
              <w:rPr>
                <w:color w:val="auto"/>
              </w:rPr>
              <w:t>本题有效填写人次</w:t>
            </w:r>
          </w:p>
        </w:tc>
        <w:tc>
          <w:tcPr>
            <w:tcW w:w="997" w:type="dxa"/>
            <w:shd w:val="clear" w:color="auto" w:fill="E0E0E0"/>
            <w:vAlign w:val="center"/>
          </w:tcPr>
          <w:p>
            <w:pPr>
              <w:jc w:val="center"/>
              <w:rPr>
                <w:color w:val="auto"/>
              </w:rPr>
            </w:pPr>
            <w:r>
              <w:rPr>
                <w:color w:val="auto"/>
              </w:rPr>
              <w:t>204</w:t>
            </w:r>
          </w:p>
        </w:tc>
        <w:tc>
          <w:tcPr>
            <w:tcW w:w="4465" w:type="dxa"/>
            <w:shd w:val="clear" w:color="auto" w:fill="E0E0E0"/>
            <w:vAlign w:val="center"/>
          </w:tcPr>
          <w:p>
            <w:pPr>
              <w:jc w:val="left"/>
              <w:rPr>
                <w:color w:val="auto"/>
              </w:rPr>
            </w:pPr>
          </w:p>
        </w:tc>
      </w:tr>
    </w:tbl>
    <w:p>
      <w:pPr>
        <w:rPr>
          <w:color w:val="auto"/>
        </w:rPr>
      </w:pPr>
    </w:p>
    <w:p>
      <w:pPr>
        <w:rPr>
          <w:color w:val="auto"/>
        </w:rPr>
      </w:pPr>
    </w:p>
    <w:p>
      <w:pPr>
        <w:rPr>
          <w:color w:val="auto"/>
        </w:rPr>
      </w:pPr>
      <w:r>
        <w:rPr>
          <w:b w:val="0"/>
          <w:color w:val="auto"/>
          <w:sz w:val="24"/>
        </w:rPr>
        <w:t>第</w:t>
      </w:r>
      <w:r>
        <w:rPr>
          <w:rFonts w:hint="eastAsia" w:eastAsia="宋体"/>
          <w:b w:val="0"/>
          <w:color w:val="auto"/>
          <w:sz w:val="24"/>
          <w:lang w:val="en-US" w:eastAsia="zh-CN"/>
        </w:rPr>
        <w:t>4</w:t>
      </w:r>
      <w:r>
        <w:rPr>
          <w:b w:val="0"/>
          <w:color w:val="auto"/>
          <w:sz w:val="24"/>
        </w:rPr>
        <w:t xml:space="preserve">题   您对此项目的总体满意度      </w:t>
      </w:r>
      <w:r>
        <w:rPr>
          <w:b w:val="0"/>
          <w:color w:val="auto"/>
          <w:sz w:val="24"/>
        </w:rPr>
        <w:t>[单选题]</w:t>
      </w:r>
    </w:p>
    <w:p>
      <w:pPr>
        <w:rPr>
          <w:b w:val="0"/>
          <w:color w:val="auto"/>
          <w:sz w:val="24"/>
        </w:rPr>
      </w:pPr>
    </w:p>
    <w:tbl>
      <w:tblPr>
        <w:tblStyle w:val="8"/>
        <w:tblW w:w="8522"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060"/>
        <w:gridCol w:w="997"/>
        <w:gridCol w:w="446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center"/>
              <w:rPr>
                <w:color w:val="auto"/>
              </w:rPr>
            </w:pPr>
            <w:r>
              <w:rPr>
                <w:color w:val="auto"/>
              </w:rPr>
              <w:t>选项</w:t>
            </w:r>
          </w:p>
        </w:tc>
        <w:tc>
          <w:tcPr>
            <w:tcW w:w="997" w:type="dxa"/>
            <w:shd w:val="clear" w:color="auto" w:fill="E0E0E0"/>
            <w:vAlign w:val="center"/>
          </w:tcPr>
          <w:p>
            <w:pPr>
              <w:jc w:val="center"/>
              <w:rPr>
                <w:color w:val="auto"/>
              </w:rPr>
            </w:pPr>
            <w:r>
              <w:rPr>
                <w:color w:val="auto"/>
              </w:rPr>
              <w:t>小计</w:t>
            </w:r>
          </w:p>
        </w:tc>
        <w:tc>
          <w:tcPr>
            <w:tcW w:w="4465" w:type="dxa"/>
            <w:shd w:val="clear" w:color="auto" w:fill="E0E0E0"/>
            <w:vAlign w:val="center"/>
          </w:tcPr>
          <w:p>
            <w:pPr>
              <w:jc w:val="center"/>
              <w:rPr>
                <w:color w:val="auto"/>
              </w:rPr>
            </w:pPr>
            <w:r>
              <w:rPr>
                <w:color w:val="auto"/>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非常满意</w:t>
            </w:r>
          </w:p>
        </w:tc>
        <w:tc>
          <w:tcPr>
            <w:tcW w:w="997" w:type="dxa"/>
            <w:shd w:val="clear" w:color="auto" w:fill="FFFFFF"/>
            <w:vAlign w:val="center"/>
          </w:tcPr>
          <w:p>
            <w:pPr>
              <w:jc w:val="center"/>
              <w:rPr>
                <w:color w:val="auto"/>
              </w:rPr>
            </w:pPr>
            <w:r>
              <w:rPr>
                <w:color w:val="auto"/>
              </w:rPr>
              <w:t>191</w:t>
            </w:r>
          </w:p>
        </w:tc>
        <w:tc>
          <w:tcPr>
            <w:tcW w:w="4465" w:type="dxa"/>
            <w:shd w:val="clear" w:color="auto" w:fill="FFFFFF"/>
            <w:vAlign w:val="center"/>
          </w:tcPr>
          <w:p>
            <w:pPr>
              <w:jc w:val="left"/>
              <w:rPr>
                <w:color w:val="auto"/>
              </w:rPr>
            </w:pPr>
            <w:r>
              <w:rPr>
                <w:color w:val="auto"/>
              </w:rPr>
              <w:drawing>
                <wp:inline distT="0" distB="0" distL="114300" distR="114300">
                  <wp:extent cx="1257300" cy="114300"/>
                  <wp:effectExtent l="0" t="0" r="0" b="0"/>
                  <wp:docPr id="1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1"/>
                          <pic:cNvPicPr>
                            <a:picLocks noChangeAspect="1"/>
                          </pic:cNvPicPr>
                        </pic:nvPicPr>
                        <pic:blipFill>
                          <a:blip r:embed="rId19"/>
                          <a:stretch>
                            <a:fillRect/>
                          </a:stretch>
                        </pic:blipFill>
                        <pic:spPr>
                          <a:xfrm>
                            <a:off x="0" y="0"/>
                            <a:ext cx="1257300" cy="114300"/>
                          </a:xfrm>
                          <a:prstGeom prst="rect">
                            <a:avLst/>
                          </a:prstGeom>
                          <a:noFill/>
                          <a:ln>
                            <a:noFill/>
                          </a:ln>
                        </pic:spPr>
                      </pic:pic>
                    </a:graphicData>
                  </a:graphic>
                </wp:inline>
              </w:drawing>
            </w:r>
            <w:r>
              <w:rPr>
                <w:color w:val="auto"/>
              </w:rPr>
              <w:drawing>
                <wp:inline distT="0" distB="0" distL="114300" distR="114300">
                  <wp:extent cx="95250" cy="114300"/>
                  <wp:effectExtent l="0" t="0" r="0" b="0"/>
                  <wp:docPr id="1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2"/>
                          <pic:cNvPicPr>
                            <a:picLocks noChangeAspect="1"/>
                          </pic:cNvPicPr>
                        </pic:nvPicPr>
                        <pic:blipFill>
                          <a:blip r:embed="rId20"/>
                          <a:stretch>
                            <a:fillRect/>
                          </a:stretch>
                        </pic:blipFill>
                        <pic:spPr>
                          <a:xfrm>
                            <a:off x="0" y="0"/>
                            <a:ext cx="95250" cy="114300"/>
                          </a:xfrm>
                          <a:prstGeom prst="rect">
                            <a:avLst/>
                          </a:prstGeom>
                          <a:noFill/>
                          <a:ln>
                            <a:noFill/>
                          </a:ln>
                        </pic:spPr>
                      </pic:pic>
                    </a:graphicData>
                  </a:graphic>
                </wp:inline>
              </w:drawing>
            </w:r>
            <w:r>
              <w:rPr>
                <w:color w:val="auto"/>
              </w:rPr>
              <w:t>93.63%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9F9F9"/>
            <w:vAlign w:val="center"/>
          </w:tcPr>
          <w:p>
            <w:pPr>
              <w:jc w:val="left"/>
              <w:rPr>
                <w:color w:val="auto"/>
              </w:rPr>
            </w:pPr>
            <w:r>
              <w:rPr>
                <w:color w:val="auto"/>
              </w:rPr>
              <w:t>满意</w:t>
            </w:r>
          </w:p>
        </w:tc>
        <w:tc>
          <w:tcPr>
            <w:tcW w:w="997" w:type="dxa"/>
            <w:shd w:val="clear" w:color="auto" w:fill="F9F9F9"/>
            <w:vAlign w:val="center"/>
          </w:tcPr>
          <w:p>
            <w:pPr>
              <w:jc w:val="center"/>
              <w:rPr>
                <w:color w:val="auto"/>
              </w:rPr>
            </w:pPr>
            <w:r>
              <w:rPr>
                <w:color w:val="auto"/>
              </w:rPr>
              <w:t>13</w:t>
            </w:r>
          </w:p>
        </w:tc>
        <w:tc>
          <w:tcPr>
            <w:tcW w:w="4465" w:type="dxa"/>
            <w:shd w:val="clear" w:color="auto" w:fill="F9F9F9"/>
            <w:vAlign w:val="center"/>
          </w:tcPr>
          <w:p>
            <w:pPr>
              <w:jc w:val="left"/>
              <w:rPr>
                <w:color w:val="auto"/>
              </w:rPr>
            </w:pPr>
            <w:r>
              <w:rPr>
                <w:color w:val="auto"/>
              </w:rPr>
              <w:drawing>
                <wp:inline distT="0" distB="0" distL="114300" distR="114300">
                  <wp:extent cx="85725" cy="114300"/>
                  <wp:effectExtent l="0" t="0" r="9525" b="0"/>
                  <wp:docPr id="1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3"/>
                          <pic:cNvPicPr>
                            <a:picLocks noChangeAspect="1"/>
                          </pic:cNvPicPr>
                        </pic:nvPicPr>
                        <pic:blipFill>
                          <a:blip r:embed="rId21"/>
                          <a:stretch>
                            <a:fillRect/>
                          </a:stretch>
                        </pic:blipFill>
                        <pic:spPr>
                          <a:xfrm>
                            <a:off x="0" y="0"/>
                            <a:ext cx="85725" cy="114300"/>
                          </a:xfrm>
                          <a:prstGeom prst="rect">
                            <a:avLst/>
                          </a:prstGeom>
                          <a:noFill/>
                          <a:ln>
                            <a:noFill/>
                          </a:ln>
                        </pic:spPr>
                      </pic:pic>
                    </a:graphicData>
                  </a:graphic>
                </wp:inline>
              </w:drawing>
            </w:r>
            <w:r>
              <w:rPr>
                <w:color w:val="auto"/>
              </w:rPr>
              <w:drawing>
                <wp:inline distT="0" distB="0" distL="114300" distR="114300">
                  <wp:extent cx="1266825" cy="114300"/>
                  <wp:effectExtent l="0" t="0" r="9525" b="0"/>
                  <wp:docPr id="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4"/>
                          <pic:cNvPicPr>
                            <a:picLocks noChangeAspect="1"/>
                          </pic:cNvPicPr>
                        </pic:nvPicPr>
                        <pic:blipFill>
                          <a:blip r:embed="rId22"/>
                          <a:stretch>
                            <a:fillRect/>
                          </a:stretch>
                        </pic:blipFill>
                        <pic:spPr>
                          <a:xfrm>
                            <a:off x="0" y="0"/>
                            <a:ext cx="1266825" cy="114300"/>
                          </a:xfrm>
                          <a:prstGeom prst="rect">
                            <a:avLst/>
                          </a:prstGeom>
                          <a:noFill/>
                          <a:ln>
                            <a:noFill/>
                          </a:ln>
                        </pic:spPr>
                      </pic:pic>
                    </a:graphicData>
                  </a:graphic>
                </wp:inline>
              </w:drawing>
            </w:r>
            <w:r>
              <w:rPr>
                <w:color w:val="auto"/>
              </w:rPr>
              <w:t>6.37%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不满意</w:t>
            </w:r>
          </w:p>
        </w:tc>
        <w:tc>
          <w:tcPr>
            <w:tcW w:w="997" w:type="dxa"/>
            <w:shd w:val="clear" w:color="auto" w:fill="FFFFFF"/>
            <w:vAlign w:val="center"/>
          </w:tcPr>
          <w:p>
            <w:pPr>
              <w:jc w:val="center"/>
              <w:rPr>
                <w:color w:val="auto"/>
              </w:rPr>
            </w:pPr>
            <w:r>
              <w:rPr>
                <w:color w:val="auto"/>
              </w:rPr>
              <w:t>0</w:t>
            </w:r>
          </w:p>
        </w:tc>
        <w:tc>
          <w:tcPr>
            <w:tcW w:w="4465" w:type="dxa"/>
            <w:shd w:val="clear" w:color="auto" w:fill="FFFFFF"/>
            <w:vAlign w:val="center"/>
          </w:tcPr>
          <w:p>
            <w:pPr>
              <w:jc w:val="left"/>
              <w:rPr>
                <w:color w:val="auto"/>
              </w:rPr>
            </w:pPr>
            <w:r>
              <w:rPr>
                <w:color w:val="auto"/>
              </w:rPr>
              <w:drawing>
                <wp:inline distT="0" distB="0" distL="114300" distR="114300">
                  <wp:extent cx="1352550" cy="114300"/>
                  <wp:effectExtent l="0" t="0" r="0" b="0"/>
                  <wp:docPr id="1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5"/>
                          <pic:cNvPicPr>
                            <a:picLocks noChangeAspect="1"/>
                          </pic:cNvPicPr>
                        </pic:nvPicPr>
                        <pic:blipFill>
                          <a:blip r:embed="rId1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left"/>
              <w:rPr>
                <w:color w:val="auto"/>
              </w:rPr>
            </w:pPr>
            <w:r>
              <w:rPr>
                <w:color w:val="auto"/>
              </w:rPr>
              <w:t>本题有效填写人次</w:t>
            </w:r>
          </w:p>
        </w:tc>
        <w:tc>
          <w:tcPr>
            <w:tcW w:w="997" w:type="dxa"/>
            <w:shd w:val="clear" w:color="auto" w:fill="E0E0E0"/>
            <w:vAlign w:val="center"/>
          </w:tcPr>
          <w:p>
            <w:pPr>
              <w:jc w:val="center"/>
              <w:rPr>
                <w:color w:val="auto"/>
              </w:rPr>
            </w:pPr>
            <w:r>
              <w:rPr>
                <w:color w:val="auto"/>
              </w:rPr>
              <w:t>204</w:t>
            </w:r>
          </w:p>
        </w:tc>
        <w:tc>
          <w:tcPr>
            <w:tcW w:w="4465" w:type="dxa"/>
            <w:shd w:val="clear" w:color="auto" w:fill="E0E0E0"/>
            <w:vAlign w:val="center"/>
          </w:tcPr>
          <w:p>
            <w:pPr>
              <w:jc w:val="left"/>
              <w:rPr>
                <w:color w:val="auto"/>
              </w:rPr>
            </w:pPr>
          </w:p>
        </w:tc>
      </w:tr>
    </w:tbl>
    <w:p>
      <w:pPr>
        <w:rPr>
          <w:color w:val="auto"/>
        </w:rPr>
      </w:pPr>
    </w:p>
    <w:p>
      <w:pPr>
        <w:rPr>
          <w:color w:val="auto"/>
        </w:rPr>
      </w:pPr>
    </w:p>
    <w:p>
      <w:pPr>
        <w:rPr>
          <w:color w:val="auto"/>
        </w:rPr>
      </w:pPr>
      <w:r>
        <w:rPr>
          <w:b w:val="0"/>
          <w:color w:val="auto"/>
          <w:sz w:val="24"/>
        </w:rPr>
        <w:t>第</w:t>
      </w:r>
      <w:r>
        <w:rPr>
          <w:rFonts w:hint="eastAsia" w:eastAsia="宋体"/>
          <w:b w:val="0"/>
          <w:color w:val="auto"/>
          <w:sz w:val="24"/>
          <w:lang w:val="en-US" w:eastAsia="zh-CN"/>
        </w:rPr>
        <w:t>5</w:t>
      </w:r>
      <w:r>
        <w:rPr>
          <w:b w:val="0"/>
          <w:color w:val="auto"/>
          <w:sz w:val="24"/>
        </w:rPr>
        <w:t xml:space="preserve">题   您对补助标准的满意度      </w:t>
      </w:r>
      <w:r>
        <w:rPr>
          <w:b w:val="0"/>
          <w:color w:val="auto"/>
          <w:sz w:val="24"/>
        </w:rPr>
        <w:t>[单选题]</w:t>
      </w:r>
    </w:p>
    <w:p>
      <w:pPr>
        <w:rPr>
          <w:b w:val="0"/>
          <w:color w:val="auto"/>
          <w:sz w:val="24"/>
        </w:rPr>
      </w:pPr>
    </w:p>
    <w:tbl>
      <w:tblPr>
        <w:tblStyle w:val="8"/>
        <w:tblW w:w="8522"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060"/>
        <w:gridCol w:w="997"/>
        <w:gridCol w:w="446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center"/>
              <w:rPr>
                <w:color w:val="auto"/>
              </w:rPr>
            </w:pPr>
            <w:r>
              <w:rPr>
                <w:color w:val="auto"/>
              </w:rPr>
              <w:t>选项</w:t>
            </w:r>
          </w:p>
        </w:tc>
        <w:tc>
          <w:tcPr>
            <w:tcW w:w="997" w:type="dxa"/>
            <w:shd w:val="clear" w:color="auto" w:fill="E0E0E0"/>
            <w:vAlign w:val="center"/>
          </w:tcPr>
          <w:p>
            <w:pPr>
              <w:jc w:val="center"/>
              <w:rPr>
                <w:color w:val="auto"/>
              </w:rPr>
            </w:pPr>
            <w:r>
              <w:rPr>
                <w:color w:val="auto"/>
              </w:rPr>
              <w:t>小计</w:t>
            </w:r>
          </w:p>
        </w:tc>
        <w:tc>
          <w:tcPr>
            <w:tcW w:w="4465" w:type="dxa"/>
            <w:shd w:val="clear" w:color="auto" w:fill="E0E0E0"/>
            <w:vAlign w:val="center"/>
          </w:tcPr>
          <w:p>
            <w:pPr>
              <w:jc w:val="center"/>
              <w:rPr>
                <w:color w:val="auto"/>
              </w:rPr>
            </w:pPr>
            <w:r>
              <w:rPr>
                <w:color w:val="auto"/>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非常满意</w:t>
            </w:r>
          </w:p>
        </w:tc>
        <w:tc>
          <w:tcPr>
            <w:tcW w:w="997" w:type="dxa"/>
            <w:shd w:val="clear" w:color="auto" w:fill="FFFFFF"/>
            <w:vAlign w:val="center"/>
          </w:tcPr>
          <w:p>
            <w:pPr>
              <w:jc w:val="center"/>
              <w:rPr>
                <w:color w:val="auto"/>
              </w:rPr>
            </w:pPr>
            <w:r>
              <w:rPr>
                <w:color w:val="auto"/>
              </w:rPr>
              <w:t>191</w:t>
            </w:r>
          </w:p>
        </w:tc>
        <w:tc>
          <w:tcPr>
            <w:tcW w:w="4465" w:type="dxa"/>
            <w:shd w:val="clear" w:color="auto" w:fill="FFFFFF"/>
            <w:vAlign w:val="center"/>
          </w:tcPr>
          <w:p>
            <w:pPr>
              <w:jc w:val="left"/>
              <w:rPr>
                <w:color w:val="auto"/>
              </w:rPr>
            </w:pPr>
            <w:r>
              <w:rPr>
                <w:color w:val="auto"/>
              </w:rPr>
              <w:drawing>
                <wp:inline distT="0" distB="0" distL="114300" distR="114300">
                  <wp:extent cx="1257300" cy="114300"/>
                  <wp:effectExtent l="0" t="0" r="0" b="0"/>
                  <wp:docPr id="2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6"/>
                          <pic:cNvPicPr>
                            <a:picLocks noChangeAspect="1"/>
                          </pic:cNvPicPr>
                        </pic:nvPicPr>
                        <pic:blipFill>
                          <a:blip r:embed="rId19"/>
                          <a:stretch>
                            <a:fillRect/>
                          </a:stretch>
                        </pic:blipFill>
                        <pic:spPr>
                          <a:xfrm>
                            <a:off x="0" y="0"/>
                            <a:ext cx="1257300" cy="114300"/>
                          </a:xfrm>
                          <a:prstGeom prst="rect">
                            <a:avLst/>
                          </a:prstGeom>
                          <a:noFill/>
                          <a:ln>
                            <a:noFill/>
                          </a:ln>
                        </pic:spPr>
                      </pic:pic>
                    </a:graphicData>
                  </a:graphic>
                </wp:inline>
              </w:drawing>
            </w:r>
            <w:r>
              <w:rPr>
                <w:color w:val="auto"/>
              </w:rPr>
              <w:drawing>
                <wp:inline distT="0" distB="0" distL="114300" distR="114300">
                  <wp:extent cx="95250" cy="114300"/>
                  <wp:effectExtent l="0" t="0" r="0" b="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20"/>
                          <a:stretch>
                            <a:fillRect/>
                          </a:stretch>
                        </pic:blipFill>
                        <pic:spPr>
                          <a:xfrm>
                            <a:off x="0" y="0"/>
                            <a:ext cx="95250" cy="114300"/>
                          </a:xfrm>
                          <a:prstGeom prst="rect">
                            <a:avLst/>
                          </a:prstGeom>
                          <a:noFill/>
                          <a:ln>
                            <a:noFill/>
                          </a:ln>
                        </pic:spPr>
                      </pic:pic>
                    </a:graphicData>
                  </a:graphic>
                </wp:inline>
              </w:drawing>
            </w:r>
            <w:r>
              <w:rPr>
                <w:color w:val="auto"/>
              </w:rPr>
              <w:t>93.63%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9F9F9"/>
            <w:vAlign w:val="center"/>
          </w:tcPr>
          <w:p>
            <w:pPr>
              <w:jc w:val="left"/>
              <w:rPr>
                <w:color w:val="auto"/>
              </w:rPr>
            </w:pPr>
            <w:r>
              <w:rPr>
                <w:color w:val="auto"/>
              </w:rPr>
              <w:t>满意</w:t>
            </w:r>
          </w:p>
        </w:tc>
        <w:tc>
          <w:tcPr>
            <w:tcW w:w="997" w:type="dxa"/>
            <w:shd w:val="clear" w:color="auto" w:fill="F9F9F9"/>
            <w:vAlign w:val="center"/>
          </w:tcPr>
          <w:p>
            <w:pPr>
              <w:jc w:val="center"/>
              <w:rPr>
                <w:color w:val="auto"/>
              </w:rPr>
            </w:pPr>
            <w:r>
              <w:rPr>
                <w:color w:val="auto"/>
              </w:rPr>
              <w:t>13</w:t>
            </w:r>
          </w:p>
        </w:tc>
        <w:tc>
          <w:tcPr>
            <w:tcW w:w="4465" w:type="dxa"/>
            <w:shd w:val="clear" w:color="auto" w:fill="F9F9F9"/>
            <w:vAlign w:val="center"/>
          </w:tcPr>
          <w:p>
            <w:pPr>
              <w:jc w:val="left"/>
              <w:rPr>
                <w:color w:val="auto"/>
              </w:rPr>
            </w:pPr>
            <w:r>
              <w:rPr>
                <w:color w:val="auto"/>
              </w:rPr>
              <w:drawing>
                <wp:inline distT="0" distB="0" distL="114300" distR="114300">
                  <wp:extent cx="85725" cy="114300"/>
                  <wp:effectExtent l="0" t="0" r="9525" b="0"/>
                  <wp:docPr id="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8"/>
                          <pic:cNvPicPr>
                            <a:picLocks noChangeAspect="1"/>
                          </pic:cNvPicPr>
                        </pic:nvPicPr>
                        <pic:blipFill>
                          <a:blip r:embed="rId21"/>
                          <a:stretch>
                            <a:fillRect/>
                          </a:stretch>
                        </pic:blipFill>
                        <pic:spPr>
                          <a:xfrm>
                            <a:off x="0" y="0"/>
                            <a:ext cx="85725" cy="114300"/>
                          </a:xfrm>
                          <a:prstGeom prst="rect">
                            <a:avLst/>
                          </a:prstGeom>
                          <a:noFill/>
                          <a:ln>
                            <a:noFill/>
                          </a:ln>
                        </pic:spPr>
                      </pic:pic>
                    </a:graphicData>
                  </a:graphic>
                </wp:inline>
              </w:drawing>
            </w:r>
            <w:r>
              <w:rPr>
                <w:color w:val="auto"/>
              </w:rPr>
              <w:drawing>
                <wp:inline distT="0" distB="0" distL="114300" distR="114300">
                  <wp:extent cx="1266825" cy="114300"/>
                  <wp:effectExtent l="0" t="0" r="9525" b="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22"/>
                          <a:stretch>
                            <a:fillRect/>
                          </a:stretch>
                        </pic:blipFill>
                        <pic:spPr>
                          <a:xfrm>
                            <a:off x="0" y="0"/>
                            <a:ext cx="1266825" cy="114300"/>
                          </a:xfrm>
                          <a:prstGeom prst="rect">
                            <a:avLst/>
                          </a:prstGeom>
                          <a:noFill/>
                          <a:ln>
                            <a:noFill/>
                          </a:ln>
                        </pic:spPr>
                      </pic:pic>
                    </a:graphicData>
                  </a:graphic>
                </wp:inline>
              </w:drawing>
            </w:r>
            <w:r>
              <w:rPr>
                <w:color w:val="auto"/>
              </w:rPr>
              <w:t>6.37%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不满意</w:t>
            </w:r>
          </w:p>
        </w:tc>
        <w:tc>
          <w:tcPr>
            <w:tcW w:w="997" w:type="dxa"/>
            <w:shd w:val="clear" w:color="auto" w:fill="FFFFFF"/>
            <w:vAlign w:val="center"/>
          </w:tcPr>
          <w:p>
            <w:pPr>
              <w:jc w:val="center"/>
              <w:rPr>
                <w:color w:val="auto"/>
              </w:rPr>
            </w:pPr>
            <w:r>
              <w:rPr>
                <w:color w:val="auto"/>
              </w:rPr>
              <w:t>0</w:t>
            </w:r>
          </w:p>
        </w:tc>
        <w:tc>
          <w:tcPr>
            <w:tcW w:w="4465" w:type="dxa"/>
            <w:shd w:val="clear" w:color="auto" w:fill="FFFFFF"/>
            <w:vAlign w:val="center"/>
          </w:tcPr>
          <w:p>
            <w:pPr>
              <w:jc w:val="left"/>
              <w:rPr>
                <w:color w:val="auto"/>
              </w:rPr>
            </w:pPr>
            <w:r>
              <w:rPr>
                <w:color w:val="auto"/>
              </w:rPr>
              <w:drawing>
                <wp:inline distT="0" distB="0" distL="114300" distR="114300">
                  <wp:extent cx="1352550" cy="114300"/>
                  <wp:effectExtent l="0" t="0" r="0" b="0"/>
                  <wp:docPr id="2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0"/>
                          <pic:cNvPicPr>
                            <a:picLocks noChangeAspect="1"/>
                          </pic:cNvPicPr>
                        </pic:nvPicPr>
                        <pic:blipFill>
                          <a:blip r:embed="rId1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left"/>
              <w:rPr>
                <w:color w:val="auto"/>
              </w:rPr>
            </w:pPr>
            <w:r>
              <w:rPr>
                <w:color w:val="auto"/>
              </w:rPr>
              <w:t>本题有效填写人次</w:t>
            </w:r>
          </w:p>
        </w:tc>
        <w:tc>
          <w:tcPr>
            <w:tcW w:w="997" w:type="dxa"/>
            <w:shd w:val="clear" w:color="auto" w:fill="E0E0E0"/>
            <w:vAlign w:val="center"/>
          </w:tcPr>
          <w:p>
            <w:pPr>
              <w:jc w:val="center"/>
              <w:rPr>
                <w:color w:val="auto"/>
              </w:rPr>
            </w:pPr>
            <w:r>
              <w:rPr>
                <w:color w:val="auto"/>
              </w:rPr>
              <w:t>204</w:t>
            </w:r>
          </w:p>
        </w:tc>
        <w:tc>
          <w:tcPr>
            <w:tcW w:w="4465" w:type="dxa"/>
            <w:shd w:val="clear" w:color="auto" w:fill="E0E0E0"/>
            <w:vAlign w:val="center"/>
          </w:tcPr>
          <w:p>
            <w:pPr>
              <w:jc w:val="left"/>
              <w:rPr>
                <w:color w:val="auto"/>
              </w:rPr>
            </w:pPr>
          </w:p>
        </w:tc>
      </w:tr>
    </w:tbl>
    <w:p>
      <w:pPr>
        <w:rPr>
          <w:color w:val="auto"/>
        </w:rPr>
      </w:pPr>
    </w:p>
    <w:p>
      <w:pPr>
        <w:rPr>
          <w:color w:val="auto"/>
        </w:rPr>
      </w:pPr>
    </w:p>
    <w:p>
      <w:pPr>
        <w:rPr>
          <w:color w:val="auto"/>
        </w:rPr>
      </w:pPr>
      <w:r>
        <w:rPr>
          <w:b w:val="0"/>
          <w:color w:val="auto"/>
          <w:sz w:val="24"/>
        </w:rPr>
        <w:t>第</w:t>
      </w:r>
      <w:r>
        <w:rPr>
          <w:rFonts w:hint="eastAsia" w:eastAsia="宋体"/>
          <w:b w:val="0"/>
          <w:color w:val="auto"/>
          <w:sz w:val="24"/>
          <w:lang w:val="en-US" w:eastAsia="zh-CN"/>
        </w:rPr>
        <w:t>6</w:t>
      </w:r>
      <w:r>
        <w:rPr>
          <w:b w:val="0"/>
          <w:color w:val="auto"/>
          <w:sz w:val="24"/>
        </w:rPr>
        <w:t xml:space="preserve">题   您对补助发放及时性的满意度      </w:t>
      </w:r>
      <w:r>
        <w:rPr>
          <w:b w:val="0"/>
          <w:color w:val="auto"/>
          <w:sz w:val="24"/>
        </w:rPr>
        <w:t>[单选题]</w:t>
      </w:r>
    </w:p>
    <w:p>
      <w:pPr>
        <w:rPr>
          <w:b w:val="0"/>
          <w:color w:val="auto"/>
          <w:sz w:val="24"/>
        </w:rPr>
      </w:pPr>
    </w:p>
    <w:tbl>
      <w:tblPr>
        <w:tblStyle w:val="8"/>
        <w:tblW w:w="8522"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060"/>
        <w:gridCol w:w="997"/>
        <w:gridCol w:w="446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center"/>
              <w:rPr>
                <w:color w:val="auto"/>
              </w:rPr>
            </w:pPr>
            <w:r>
              <w:rPr>
                <w:color w:val="auto"/>
              </w:rPr>
              <w:t>选项</w:t>
            </w:r>
          </w:p>
        </w:tc>
        <w:tc>
          <w:tcPr>
            <w:tcW w:w="997" w:type="dxa"/>
            <w:shd w:val="clear" w:color="auto" w:fill="E0E0E0"/>
            <w:vAlign w:val="center"/>
          </w:tcPr>
          <w:p>
            <w:pPr>
              <w:jc w:val="center"/>
              <w:rPr>
                <w:color w:val="auto"/>
              </w:rPr>
            </w:pPr>
            <w:r>
              <w:rPr>
                <w:color w:val="auto"/>
              </w:rPr>
              <w:t>小计</w:t>
            </w:r>
          </w:p>
        </w:tc>
        <w:tc>
          <w:tcPr>
            <w:tcW w:w="4465" w:type="dxa"/>
            <w:shd w:val="clear" w:color="auto" w:fill="E0E0E0"/>
            <w:vAlign w:val="center"/>
          </w:tcPr>
          <w:p>
            <w:pPr>
              <w:jc w:val="center"/>
              <w:rPr>
                <w:color w:val="auto"/>
              </w:rPr>
            </w:pPr>
            <w:r>
              <w:rPr>
                <w:color w:val="auto"/>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非常满意</w:t>
            </w:r>
          </w:p>
        </w:tc>
        <w:tc>
          <w:tcPr>
            <w:tcW w:w="997" w:type="dxa"/>
            <w:shd w:val="clear" w:color="auto" w:fill="FFFFFF"/>
            <w:vAlign w:val="center"/>
          </w:tcPr>
          <w:p>
            <w:pPr>
              <w:jc w:val="center"/>
              <w:rPr>
                <w:color w:val="auto"/>
              </w:rPr>
            </w:pPr>
            <w:r>
              <w:rPr>
                <w:color w:val="auto"/>
              </w:rPr>
              <w:t>188</w:t>
            </w:r>
          </w:p>
        </w:tc>
        <w:tc>
          <w:tcPr>
            <w:tcW w:w="4465" w:type="dxa"/>
            <w:shd w:val="clear" w:color="auto" w:fill="FFFFFF"/>
            <w:vAlign w:val="center"/>
          </w:tcPr>
          <w:p>
            <w:pPr>
              <w:jc w:val="left"/>
              <w:rPr>
                <w:color w:val="auto"/>
              </w:rPr>
            </w:pPr>
            <w:r>
              <w:rPr>
                <w:color w:val="auto"/>
              </w:rPr>
              <w:drawing>
                <wp:inline distT="0" distB="0" distL="114300" distR="114300">
                  <wp:extent cx="1238250" cy="114300"/>
                  <wp:effectExtent l="0" t="0" r="0" b="0"/>
                  <wp:docPr id="2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1"/>
                          <pic:cNvPicPr>
                            <a:picLocks noChangeAspect="1"/>
                          </pic:cNvPicPr>
                        </pic:nvPicPr>
                        <pic:blipFill>
                          <a:blip r:embed="rId23"/>
                          <a:stretch>
                            <a:fillRect/>
                          </a:stretch>
                        </pic:blipFill>
                        <pic:spPr>
                          <a:xfrm>
                            <a:off x="0" y="0"/>
                            <a:ext cx="1238250" cy="114300"/>
                          </a:xfrm>
                          <a:prstGeom prst="rect">
                            <a:avLst/>
                          </a:prstGeom>
                          <a:noFill/>
                          <a:ln>
                            <a:noFill/>
                          </a:ln>
                        </pic:spPr>
                      </pic:pic>
                    </a:graphicData>
                  </a:graphic>
                </wp:inline>
              </w:drawing>
            </w:r>
            <w:r>
              <w:rPr>
                <w:color w:val="auto"/>
              </w:rPr>
              <w:drawing>
                <wp:inline distT="0" distB="0" distL="114300" distR="114300">
                  <wp:extent cx="114300" cy="114300"/>
                  <wp:effectExtent l="0" t="0" r="0" b="0"/>
                  <wp:docPr id="2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
                          <pic:cNvPicPr>
                            <a:picLocks noChangeAspect="1"/>
                          </pic:cNvPicPr>
                        </pic:nvPicPr>
                        <pic:blipFill>
                          <a:blip r:embed="rId24"/>
                          <a:stretch>
                            <a:fillRect/>
                          </a:stretch>
                        </pic:blipFill>
                        <pic:spPr>
                          <a:xfrm>
                            <a:off x="0" y="0"/>
                            <a:ext cx="114300" cy="114300"/>
                          </a:xfrm>
                          <a:prstGeom prst="rect">
                            <a:avLst/>
                          </a:prstGeom>
                          <a:noFill/>
                          <a:ln>
                            <a:noFill/>
                          </a:ln>
                        </pic:spPr>
                      </pic:pic>
                    </a:graphicData>
                  </a:graphic>
                </wp:inline>
              </w:drawing>
            </w:r>
            <w:r>
              <w:rPr>
                <w:color w:val="auto"/>
              </w:rPr>
              <w:t>92.16%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9F9F9"/>
            <w:vAlign w:val="center"/>
          </w:tcPr>
          <w:p>
            <w:pPr>
              <w:jc w:val="left"/>
              <w:rPr>
                <w:color w:val="auto"/>
              </w:rPr>
            </w:pPr>
            <w:r>
              <w:rPr>
                <w:color w:val="auto"/>
              </w:rPr>
              <w:t>满意</w:t>
            </w:r>
          </w:p>
        </w:tc>
        <w:tc>
          <w:tcPr>
            <w:tcW w:w="997" w:type="dxa"/>
            <w:shd w:val="clear" w:color="auto" w:fill="F9F9F9"/>
            <w:vAlign w:val="center"/>
          </w:tcPr>
          <w:p>
            <w:pPr>
              <w:jc w:val="center"/>
              <w:rPr>
                <w:color w:val="auto"/>
              </w:rPr>
            </w:pPr>
            <w:r>
              <w:rPr>
                <w:color w:val="auto"/>
              </w:rPr>
              <w:t>16</w:t>
            </w:r>
          </w:p>
        </w:tc>
        <w:tc>
          <w:tcPr>
            <w:tcW w:w="4465" w:type="dxa"/>
            <w:shd w:val="clear" w:color="auto" w:fill="F9F9F9"/>
            <w:vAlign w:val="center"/>
          </w:tcPr>
          <w:p>
            <w:pPr>
              <w:jc w:val="left"/>
              <w:rPr>
                <w:color w:val="auto"/>
              </w:rPr>
            </w:pPr>
            <w:r>
              <w:rPr>
                <w:color w:val="auto"/>
              </w:rPr>
              <w:drawing>
                <wp:inline distT="0" distB="0" distL="114300" distR="114300">
                  <wp:extent cx="104775" cy="114300"/>
                  <wp:effectExtent l="0" t="0" r="9525" b="0"/>
                  <wp:docPr id="2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3"/>
                          <pic:cNvPicPr>
                            <a:picLocks noChangeAspect="1"/>
                          </pic:cNvPicPr>
                        </pic:nvPicPr>
                        <pic:blipFill>
                          <a:blip r:embed="rId25"/>
                          <a:stretch>
                            <a:fillRect/>
                          </a:stretch>
                        </pic:blipFill>
                        <pic:spPr>
                          <a:xfrm>
                            <a:off x="0" y="0"/>
                            <a:ext cx="104775" cy="114300"/>
                          </a:xfrm>
                          <a:prstGeom prst="rect">
                            <a:avLst/>
                          </a:prstGeom>
                          <a:noFill/>
                          <a:ln>
                            <a:noFill/>
                          </a:ln>
                        </pic:spPr>
                      </pic:pic>
                    </a:graphicData>
                  </a:graphic>
                </wp:inline>
              </w:drawing>
            </w:r>
            <w:r>
              <w:rPr>
                <w:color w:val="auto"/>
              </w:rPr>
              <w:drawing>
                <wp:inline distT="0" distB="0" distL="114300" distR="114300">
                  <wp:extent cx="1247775" cy="114300"/>
                  <wp:effectExtent l="0" t="0" r="9525" b="0"/>
                  <wp:docPr id="2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4"/>
                          <pic:cNvPicPr>
                            <a:picLocks noChangeAspect="1"/>
                          </pic:cNvPicPr>
                        </pic:nvPicPr>
                        <pic:blipFill>
                          <a:blip r:embed="rId26"/>
                          <a:stretch>
                            <a:fillRect/>
                          </a:stretch>
                        </pic:blipFill>
                        <pic:spPr>
                          <a:xfrm>
                            <a:off x="0" y="0"/>
                            <a:ext cx="1247775" cy="114300"/>
                          </a:xfrm>
                          <a:prstGeom prst="rect">
                            <a:avLst/>
                          </a:prstGeom>
                          <a:noFill/>
                          <a:ln>
                            <a:noFill/>
                          </a:ln>
                        </pic:spPr>
                      </pic:pic>
                    </a:graphicData>
                  </a:graphic>
                </wp:inline>
              </w:drawing>
            </w:r>
            <w:r>
              <w:rPr>
                <w:color w:val="auto"/>
              </w:rPr>
              <w:t>7.84%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不满意</w:t>
            </w:r>
          </w:p>
        </w:tc>
        <w:tc>
          <w:tcPr>
            <w:tcW w:w="997" w:type="dxa"/>
            <w:shd w:val="clear" w:color="auto" w:fill="FFFFFF"/>
            <w:vAlign w:val="center"/>
          </w:tcPr>
          <w:p>
            <w:pPr>
              <w:jc w:val="center"/>
              <w:rPr>
                <w:color w:val="auto"/>
              </w:rPr>
            </w:pPr>
            <w:r>
              <w:rPr>
                <w:color w:val="auto"/>
              </w:rPr>
              <w:t>0</w:t>
            </w:r>
          </w:p>
        </w:tc>
        <w:tc>
          <w:tcPr>
            <w:tcW w:w="4465" w:type="dxa"/>
            <w:shd w:val="clear" w:color="auto" w:fill="FFFFFF"/>
            <w:vAlign w:val="center"/>
          </w:tcPr>
          <w:p>
            <w:pPr>
              <w:jc w:val="left"/>
              <w:rPr>
                <w:color w:val="auto"/>
              </w:rPr>
            </w:pPr>
            <w:r>
              <w:rPr>
                <w:color w:val="auto"/>
              </w:rPr>
              <w:drawing>
                <wp:inline distT="0" distB="0" distL="114300" distR="114300">
                  <wp:extent cx="1352550" cy="114300"/>
                  <wp:effectExtent l="0" t="0" r="0" b="0"/>
                  <wp:docPr id="2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5"/>
                          <pic:cNvPicPr>
                            <a:picLocks noChangeAspect="1"/>
                          </pic:cNvPicPr>
                        </pic:nvPicPr>
                        <pic:blipFill>
                          <a:blip r:embed="rId1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left"/>
              <w:rPr>
                <w:color w:val="auto"/>
              </w:rPr>
            </w:pPr>
            <w:r>
              <w:rPr>
                <w:color w:val="auto"/>
              </w:rPr>
              <w:t>本题有效填写人次</w:t>
            </w:r>
          </w:p>
        </w:tc>
        <w:tc>
          <w:tcPr>
            <w:tcW w:w="997" w:type="dxa"/>
            <w:shd w:val="clear" w:color="auto" w:fill="E0E0E0"/>
            <w:vAlign w:val="center"/>
          </w:tcPr>
          <w:p>
            <w:pPr>
              <w:jc w:val="center"/>
              <w:rPr>
                <w:color w:val="auto"/>
              </w:rPr>
            </w:pPr>
            <w:r>
              <w:rPr>
                <w:color w:val="auto"/>
              </w:rPr>
              <w:t>204</w:t>
            </w:r>
          </w:p>
        </w:tc>
        <w:tc>
          <w:tcPr>
            <w:tcW w:w="4465" w:type="dxa"/>
            <w:shd w:val="clear" w:color="auto" w:fill="E0E0E0"/>
            <w:vAlign w:val="center"/>
          </w:tcPr>
          <w:p>
            <w:pPr>
              <w:jc w:val="left"/>
              <w:rPr>
                <w:color w:val="auto"/>
              </w:rPr>
            </w:pPr>
          </w:p>
        </w:tc>
      </w:tr>
    </w:tbl>
    <w:p>
      <w:pPr>
        <w:rPr>
          <w:color w:val="auto"/>
        </w:rPr>
      </w:pPr>
    </w:p>
    <w:p>
      <w:pPr>
        <w:rPr>
          <w:color w:val="auto"/>
        </w:rPr>
      </w:pPr>
    </w:p>
    <w:p>
      <w:pPr>
        <w:rPr>
          <w:color w:val="auto"/>
        </w:rPr>
      </w:pPr>
      <w:r>
        <w:rPr>
          <w:b w:val="0"/>
          <w:color w:val="auto"/>
          <w:sz w:val="24"/>
        </w:rPr>
        <w:t>第</w:t>
      </w:r>
      <w:r>
        <w:rPr>
          <w:rFonts w:hint="eastAsia" w:eastAsia="宋体"/>
          <w:b w:val="0"/>
          <w:color w:val="auto"/>
          <w:sz w:val="24"/>
          <w:lang w:val="en-US" w:eastAsia="zh-CN"/>
        </w:rPr>
        <w:t>7</w:t>
      </w:r>
      <w:r>
        <w:rPr>
          <w:b w:val="0"/>
          <w:color w:val="auto"/>
          <w:sz w:val="24"/>
        </w:rPr>
        <w:t xml:space="preserve">题   您对补助资金到位率满意度      </w:t>
      </w:r>
      <w:r>
        <w:rPr>
          <w:b w:val="0"/>
          <w:color w:val="auto"/>
          <w:sz w:val="24"/>
        </w:rPr>
        <w:t>[单选题]</w:t>
      </w:r>
    </w:p>
    <w:p>
      <w:pPr>
        <w:rPr>
          <w:b w:val="0"/>
          <w:color w:val="auto"/>
          <w:sz w:val="24"/>
        </w:rPr>
      </w:pPr>
    </w:p>
    <w:tbl>
      <w:tblPr>
        <w:tblStyle w:val="8"/>
        <w:tblW w:w="8522"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060"/>
        <w:gridCol w:w="997"/>
        <w:gridCol w:w="446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center"/>
              <w:rPr>
                <w:color w:val="auto"/>
              </w:rPr>
            </w:pPr>
            <w:r>
              <w:rPr>
                <w:color w:val="auto"/>
              </w:rPr>
              <w:t>选项</w:t>
            </w:r>
          </w:p>
        </w:tc>
        <w:tc>
          <w:tcPr>
            <w:tcW w:w="997" w:type="dxa"/>
            <w:shd w:val="clear" w:color="auto" w:fill="E0E0E0"/>
            <w:vAlign w:val="center"/>
          </w:tcPr>
          <w:p>
            <w:pPr>
              <w:jc w:val="center"/>
              <w:rPr>
                <w:color w:val="auto"/>
              </w:rPr>
            </w:pPr>
            <w:r>
              <w:rPr>
                <w:color w:val="auto"/>
              </w:rPr>
              <w:t>小计</w:t>
            </w:r>
          </w:p>
        </w:tc>
        <w:tc>
          <w:tcPr>
            <w:tcW w:w="4465" w:type="dxa"/>
            <w:shd w:val="clear" w:color="auto" w:fill="E0E0E0"/>
            <w:vAlign w:val="center"/>
          </w:tcPr>
          <w:p>
            <w:pPr>
              <w:jc w:val="center"/>
              <w:rPr>
                <w:color w:val="auto"/>
              </w:rPr>
            </w:pPr>
            <w:r>
              <w:rPr>
                <w:color w:val="auto"/>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非常满意</w:t>
            </w:r>
          </w:p>
        </w:tc>
        <w:tc>
          <w:tcPr>
            <w:tcW w:w="997" w:type="dxa"/>
            <w:shd w:val="clear" w:color="auto" w:fill="FFFFFF"/>
            <w:vAlign w:val="center"/>
          </w:tcPr>
          <w:p>
            <w:pPr>
              <w:jc w:val="center"/>
              <w:rPr>
                <w:color w:val="auto"/>
              </w:rPr>
            </w:pPr>
            <w:r>
              <w:rPr>
                <w:color w:val="auto"/>
              </w:rPr>
              <w:t>187</w:t>
            </w:r>
          </w:p>
        </w:tc>
        <w:tc>
          <w:tcPr>
            <w:tcW w:w="4465" w:type="dxa"/>
            <w:shd w:val="clear" w:color="auto" w:fill="FFFFFF"/>
            <w:vAlign w:val="center"/>
          </w:tcPr>
          <w:p>
            <w:pPr>
              <w:jc w:val="left"/>
              <w:rPr>
                <w:color w:val="auto"/>
              </w:rPr>
            </w:pPr>
            <w:r>
              <w:rPr>
                <w:color w:val="auto"/>
              </w:rPr>
              <w:drawing>
                <wp:inline distT="0" distB="0" distL="114300" distR="114300">
                  <wp:extent cx="1238250" cy="114300"/>
                  <wp:effectExtent l="0" t="0" r="0" b="0"/>
                  <wp:docPr id="3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6"/>
                          <pic:cNvPicPr>
                            <a:picLocks noChangeAspect="1"/>
                          </pic:cNvPicPr>
                        </pic:nvPicPr>
                        <pic:blipFill>
                          <a:blip r:embed="rId23"/>
                          <a:stretch>
                            <a:fillRect/>
                          </a:stretch>
                        </pic:blipFill>
                        <pic:spPr>
                          <a:xfrm>
                            <a:off x="0" y="0"/>
                            <a:ext cx="1238250" cy="114300"/>
                          </a:xfrm>
                          <a:prstGeom prst="rect">
                            <a:avLst/>
                          </a:prstGeom>
                          <a:noFill/>
                          <a:ln>
                            <a:noFill/>
                          </a:ln>
                        </pic:spPr>
                      </pic:pic>
                    </a:graphicData>
                  </a:graphic>
                </wp:inline>
              </w:drawing>
            </w:r>
            <w:r>
              <w:rPr>
                <w:color w:val="auto"/>
              </w:rPr>
              <w:drawing>
                <wp:inline distT="0" distB="0" distL="114300" distR="114300">
                  <wp:extent cx="114300" cy="114300"/>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7"/>
                          <pic:cNvPicPr>
                            <a:picLocks noChangeAspect="1"/>
                          </pic:cNvPicPr>
                        </pic:nvPicPr>
                        <pic:blipFill>
                          <a:blip r:embed="rId24"/>
                          <a:stretch>
                            <a:fillRect/>
                          </a:stretch>
                        </pic:blipFill>
                        <pic:spPr>
                          <a:xfrm>
                            <a:off x="0" y="0"/>
                            <a:ext cx="114300" cy="114300"/>
                          </a:xfrm>
                          <a:prstGeom prst="rect">
                            <a:avLst/>
                          </a:prstGeom>
                          <a:noFill/>
                          <a:ln>
                            <a:noFill/>
                          </a:ln>
                        </pic:spPr>
                      </pic:pic>
                    </a:graphicData>
                  </a:graphic>
                </wp:inline>
              </w:drawing>
            </w:r>
            <w:r>
              <w:rPr>
                <w:color w:val="auto"/>
              </w:rPr>
              <w:t>91.67%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9F9F9"/>
            <w:vAlign w:val="center"/>
          </w:tcPr>
          <w:p>
            <w:pPr>
              <w:jc w:val="left"/>
              <w:rPr>
                <w:color w:val="auto"/>
              </w:rPr>
            </w:pPr>
            <w:r>
              <w:rPr>
                <w:color w:val="auto"/>
              </w:rPr>
              <w:t>满意</w:t>
            </w:r>
          </w:p>
        </w:tc>
        <w:tc>
          <w:tcPr>
            <w:tcW w:w="997" w:type="dxa"/>
            <w:shd w:val="clear" w:color="auto" w:fill="F9F9F9"/>
            <w:vAlign w:val="center"/>
          </w:tcPr>
          <w:p>
            <w:pPr>
              <w:jc w:val="center"/>
              <w:rPr>
                <w:color w:val="auto"/>
              </w:rPr>
            </w:pPr>
            <w:r>
              <w:rPr>
                <w:color w:val="auto"/>
              </w:rPr>
              <w:t>17</w:t>
            </w:r>
          </w:p>
        </w:tc>
        <w:tc>
          <w:tcPr>
            <w:tcW w:w="4465" w:type="dxa"/>
            <w:shd w:val="clear" w:color="auto" w:fill="F9F9F9"/>
            <w:vAlign w:val="center"/>
          </w:tcPr>
          <w:p>
            <w:pPr>
              <w:jc w:val="left"/>
              <w:rPr>
                <w:color w:val="auto"/>
              </w:rPr>
            </w:pPr>
            <w:r>
              <w:rPr>
                <w:color w:val="auto"/>
              </w:rPr>
              <w:drawing>
                <wp:inline distT="0" distB="0" distL="114300" distR="114300">
                  <wp:extent cx="104775" cy="114300"/>
                  <wp:effectExtent l="0" t="0" r="9525" b="0"/>
                  <wp:docPr id="3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8"/>
                          <pic:cNvPicPr>
                            <a:picLocks noChangeAspect="1"/>
                          </pic:cNvPicPr>
                        </pic:nvPicPr>
                        <pic:blipFill>
                          <a:blip r:embed="rId25"/>
                          <a:stretch>
                            <a:fillRect/>
                          </a:stretch>
                        </pic:blipFill>
                        <pic:spPr>
                          <a:xfrm>
                            <a:off x="0" y="0"/>
                            <a:ext cx="104775" cy="114300"/>
                          </a:xfrm>
                          <a:prstGeom prst="rect">
                            <a:avLst/>
                          </a:prstGeom>
                          <a:noFill/>
                          <a:ln>
                            <a:noFill/>
                          </a:ln>
                        </pic:spPr>
                      </pic:pic>
                    </a:graphicData>
                  </a:graphic>
                </wp:inline>
              </w:drawing>
            </w:r>
            <w:r>
              <w:rPr>
                <w:color w:val="auto"/>
              </w:rPr>
              <w:drawing>
                <wp:inline distT="0" distB="0" distL="114300" distR="114300">
                  <wp:extent cx="1247775" cy="114300"/>
                  <wp:effectExtent l="0" t="0" r="9525" b="0"/>
                  <wp:docPr id="3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9"/>
                          <pic:cNvPicPr>
                            <a:picLocks noChangeAspect="1"/>
                          </pic:cNvPicPr>
                        </pic:nvPicPr>
                        <pic:blipFill>
                          <a:blip r:embed="rId26"/>
                          <a:stretch>
                            <a:fillRect/>
                          </a:stretch>
                        </pic:blipFill>
                        <pic:spPr>
                          <a:xfrm>
                            <a:off x="0" y="0"/>
                            <a:ext cx="1247775" cy="114300"/>
                          </a:xfrm>
                          <a:prstGeom prst="rect">
                            <a:avLst/>
                          </a:prstGeom>
                          <a:noFill/>
                          <a:ln>
                            <a:noFill/>
                          </a:ln>
                        </pic:spPr>
                      </pic:pic>
                    </a:graphicData>
                  </a:graphic>
                </wp:inline>
              </w:drawing>
            </w:r>
            <w:r>
              <w:rPr>
                <w:color w:val="auto"/>
              </w:rPr>
              <w:t>8.33%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FFFFFF"/>
            <w:vAlign w:val="center"/>
          </w:tcPr>
          <w:p>
            <w:pPr>
              <w:jc w:val="left"/>
              <w:rPr>
                <w:color w:val="auto"/>
              </w:rPr>
            </w:pPr>
            <w:r>
              <w:rPr>
                <w:color w:val="auto"/>
              </w:rPr>
              <w:t>不满意</w:t>
            </w:r>
          </w:p>
        </w:tc>
        <w:tc>
          <w:tcPr>
            <w:tcW w:w="997" w:type="dxa"/>
            <w:shd w:val="clear" w:color="auto" w:fill="FFFFFF"/>
            <w:vAlign w:val="center"/>
          </w:tcPr>
          <w:p>
            <w:pPr>
              <w:jc w:val="center"/>
              <w:rPr>
                <w:color w:val="auto"/>
              </w:rPr>
            </w:pPr>
            <w:r>
              <w:rPr>
                <w:color w:val="auto"/>
              </w:rPr>
              <w:t>0</w:t>
            </w:r>
          </w:p>
        </w:tc>
        <w:tc>
          <w:tcPr>
            <w:tcW w:w="4465" w:type="dxa"/>
            <w:shd w:val="clear" w:color="auto" w:fill="FFFFFF"/>
            <w:vAlign w:val="center"/>
          </w:tcPr>
          <w:p>
            <w:pPr>
              <w:jc w:val="left"/>
              <w:rPr>
                <w:color w:val="auto"/>
              </w:rPr>
            </w:pPr>
            <w:r>
              <w:rPr>
                <w:color w:val="auto"/>
              </w:rPr>
              <w:drawing>
                <wp:inline distT="0" distB="0" distL="114300" distR="114300">
                  <wp:extent cx="1352550" cy="114300"/>
                  <wp:effectExtent l="0" t="0" r="0" b="0"/>
                  <wp:docPr id="3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0"/>
                          <pic:cNvPicPr>
                            <a:picLocks noChangeAspect="1"/>
                          </pic:cNvPicPr>
                        </pic:nvPicPr>
                        <pic:blipFill>
                          <a:blip r:embed="rId18"/>
                          <a:stretch>
                            <a:fillRect/>
                          </a:stretch>
                        </pic:blipFill>
                        <pic:spPr>
                          <a:xfrm>
                            <a:off x="0" y="0"/>
                            <a:ext cx="1352550" cy="114300"/>
                          </a:xfrm>
                          <a:prstGeom prst="rect">
                            <a:avLst/>
                          </a:prstGeom>
                          <a:noFill/>
                          <a:ln>
                            <a:noFill/>
                          </a:ln>
                        </pic:spPr>
                      </pic:pic>
                    </a:graphicData>
                  </a:graphic>
                </wp:inline>
              </w:drawing>
            </w:r>
            <w:r>
              <w:rPr>
                <w:color w:val="auto"/>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060" w:type="dxa"/>
            <w:shd w:val="clear" w:color="auto" w:fill="E0E0E0"/>
            <w:vAlign w:val="center"/>
          </w:tcPr>
          <w:p>
            <w:pPr>
              <w:jc w:val="left"/>
              <w:rPr>
                <w:color w:val="auto"/>
              </w:rPr>
            </w:pPr>
            <w:r>
              <w:rPr>
                <w:color w:val="auto"/>
              </w:rPr>
              <w:t>本题有效填写人次</w:t>
            </w:r>
          </w:p>
        </w:tc>
        <w:tc>
          <w:tcPr>
            <w:tcW w:w="997" w:type="dxa"/>
            <w:shd w:val="clear" w:color="auto" w:fill="E0E0E0"/>
            <w:vAlign w:val="center"/>
          </w:tcPr>
          <w:p>
            <w:pPr>
              <w:jc w:val="center"/>
              <w:rPr>
                <w:color w:val="auto"/>
              </w:rPr>
            </w:pPr>
            <w:r>
              <w:rPr>
                <w:color w:val="auto"/>
              </w:rPr>
              <w:t>204</w:t>
            </w:r>
          </w:p>
        </w:tc>
        <w:tc>
          <w:tcPr>
            <w:tcW w:w="4465" w:type="dxa"/>
            <w:shd w:val="clear" w:color="auto" w:fill="E0E0E0"/>
            <w:vAlign w:val="center"/>
          </w:tcPr>
          <w:p>
            <w:pPr>
              <w:jc w:val="left"/>
              <w:rPr>
                <w:color w:val="auto"/>
              </w:rPr>
            </w:pPr>
          </w:p>
        </w:tc>
      </w:tr>
    </w:tbl>
    <w:p>
      <w:pPr>
        <w:rPr>
          <w:color w:val="auto"/>
        </w:rPr>
      </w:pPr>
    </w:p>
    <w:p>
      <w:pPr>
        <w:rPr>
          <w:color w:val="auto"/>
        </w:rPr>
      </w:pPr>
    </w:p>
    <w:p>
      <w:pPr>
        <w:rPr>
          <w:color w:val="auto"/>
        </w:rPr>
      </w:pPr>
      <w:r>
        <w:rPr>
          <w:b w:val="0"/>
          <w:color w:val="auto"/>
          <w:sz w:val="24"/>
        </w:rPr>
        <w:t>第</w:t>
      </w:r>
      <w:r>
        <w:rPr>
          <w:rFonts w:hint="eastAsia" w:eastAsia="宋体"/>
          <w:b w:val="0"/>
          <w:color w:val="auto"/>
          <w:sz w:val="24"/>
          <w:lang w:val="en-US" w:eastAsia="zh-CN"/>
        </w:rPr>
        <w:t>8</w:t>
      </w:r>
      <w:r>
        <w:rPr>
          <w:b w:val="0"/>
          <w:color w:val="auto"/>
          <w:sz w:val="24"/>
        </w:rPr>
        <w:t xml:space="preserve">题   您对本项目还有什么意见建议      </w:t>
      </w:r>
      <w:r>
        <w:rPr>
          <w:b w:val="0"/>
          <w:color w:val="auto"/>
          <w:sz w:val="24"/>
        </w:rPr>
        <w:t>[填空题]</w:t>
      </w:r>
    </w:p>
    <w:p>
      <w:pPr>
        <w:keepLines w:val="0"/>
        <w:jc w:val="left"/>
        <w:rPr>
          <w:b w:val="0"/>
          <w:color w:val="auto"/>
          <w:sz w:val="24"/>
        </w:rPr>
      </w:pPr>
      <w:r>
        <w:rPr>
          <w:b w:val="0"/>
          <w:color w:val="auto"/>
          <w:sz w:val="24"/>
        </w:rPr>
        <w:t>填空题数据请通过下载详细数据获取</w:t>
      </w:r>
    </w:p>
    <w:p>
      <w:pPr>
        <w:pStyle w:val="2"/>
        <w:rPr>
          <w:color w:val="auto"/>
        </w:rPr>
      </w:pPr>
    </w:p>
    <w:bookmarkEnd w:id="16"/>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fldChar w:fldCharType="begin"/>
    </w:r>
    <w:r>
      <w:instrText xml:space="preserve"> PAGE   \* MERGEFORMAT </w:instrText>
    </w:r>
    <w:r>
      <w:fldChar w:fldCharType="separate"/>
    </w:r>
    <w:r>
      <w:rPr>
        <w:lang w:val="zh-CN"/>
      </w:rPr>
      <w:t>14</w:t>
    </w:r>
    <w:r>
      <w:fldChar w:fldCharType="end"/>
    </w:r>
  </w:p>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lvl>
  </w:abstractNum>
  <w:abstractNum w:abstractNumId="1">
    <w:nsid w:val="0563E537"/>
    <w:multiLevelType w:val="singleLevel"/>
    <w:tmpl w:val="0563E537"/>
    <w:lvl w:ilvl="0" w:tentative="0">
      <w:start w:val="1"/>
      <w:numFmt w:val="decimal"/>
      <w:suff w:val="nothing"/>
      <w:lvlText w:val="（%1）"/>
      <w:lvlJc w:val="left"/>
      <w:rPr>
        <w:rFonts w:hint="default" w:ascii="方正仿宋_GBK" w:hAnsi="方正仿宋_GBK" w:eastAsia="方正仿宋_GBK" w:cs="方正仿宋_GBK"/>
        <w:b/>
        <w:bCs/>
        <w:sz w:val="32"/>
        <w:szCs w:val="32"/>
      </w:rPr>
    </w:lvl>
  </w:abstractNum>
  <w:abstractNum w:abstractNumId="2">
    <w:nsid w:val="3257C858"/>
    <w:multiLevelType w:val="singleLevel"/>
    <w:tmpl w:val="3257C858"/>
    <w:lvl w:ilvl="0" w:tentative="0">
      <w:start w:val="2"/>
      <w:numFmt w:val="decimal"/>
      <w:lvlText w:val="%1."/>
      <w:lvlJc w:val="left"/>
      <w:pPr>
        <w:tabs>
          <w:tab w:val="left" w:pos="312"/>
        </w:tabs>
      </w:pPr>
    </w:lvl>
  </w:abstractNum>
  <w:abstractNum w:abstractNumId="3">
    <w:nsid w:val="3A7260C0"/>
    <w:multiLevelType w:val="multilevel"/>
    <w:tmpl w:val="3A7260C0"/>
    <w:lvl w:ilvl="0" w:tentative="0">
      <w:start w:val="1"/>
      <w:numFmt w:val="chineseCountingThousand"/>
      <w:pStyle w:val="1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5B58968"/>
    <w:multiLevelType w:val="singleLevel"/>
    <w:tmpl w:val="55B58968"/>
    <w:lvl w:ilvl="0" w:tentative="0">
      <w:start w:val="2"/>
      <w:numFmt w:val="decimal"/>
      <w:suff w:val="space"/>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zZWI0ZTFmYjNmMTcwNjk1YWEzMjI1Mjk3NWZjNWIifQ=="/>
  </w:docVars>
  <w:rsids>
    <w:rsidRoot w:val="7BB525BA"/>
    <w:rsid w:val="03317BB9"/>
    <w:rsid w:val="0752537B"/>
    <w:rsid w:val="0AB74E1A"/>
    <w:rsid w:val="0D0618E8"/>
    <w:rsid w:val="0D25209A"/>
    <w:rsid w:val="0E9B2EC6"/>
    <w:rsid w:val="0EC031C7"/>
    <w:rsid w:val="158A370A"/>
    <w:rsid w:val="1D2603D1"/>
    <w:rsid w:val="200729D1"/>
    <w:rsid w:val="27172D28"/>
    <w:rsid w:val="27250AB9"/>
    <w:rsid w:val="2C885A7F"/>
    <w:rsid w:val="2CDC497D"/>
    <w:rsid w:val="33311A48"/>
    <w:rsid w:val="343F5B1D"/>
    <w:rsid w:val="383354DD"/>
    <w:rsid w:val="3F5A49E6"/>
    <w:rsid w:val="4185755B"/>
    <w:rsid w:val="48226C1F"/>
    <w:rsid w:val="4C96024D"/>
    <w:rsid w:val="4EAF0405"/>
    <w:rsid w:val="56913931"/>
    <w:rsid w:val="5FBE1B3D"/>
    <w:rsid w:val="671A29F5"/>
    <w:rsid w:val="67F13842"/>
    <w:rsid w:val="6EB402B6"/>
    <w:rsid w:val="6F40431D"/>
    <w:rsid w:val="729560AE"/>
    <w:rsid w:val="73246863"/>
    <w:rsid w:val="782F425E"/>
    <w:rsid w:val="7B571EA2"/>
    <w:rsid w:val="7BB525BA"/>
    <w:rsid w:val="7C036FDB"/>
    <w:rsid w:val="7D33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1"/>
    <w:qFormat/>
    <w:uiPriority w:val="9"/>
    <w:pPr>
      <w:keepNext/>
      <w:keepLines/>
      <w:spacing w:before="340" w:after="330" w:line="578" w:lineRule="auto"/>
      <w:jc w:val="left"/>
      <w:outlineLvl w:val="0"/>
    </w:pPr>
    <w:rPr>
      <w:rFonts w:cs="Times New Roman"/>
      <w:b/>
      <w:bCs/>
      <w:kern w:val="44"/>
      <w:sz w:val="32"/>
      <w:szCs w:val="44"/>
    </w:rPr>
  </w:style>
  <w:style w:type="paragraph" w:styleId="4">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qFormat/>
    <w:uiPriority w:val="9"/>
    <w:pPr>
      <w:keepNext/>
      <w:keepLines/>
      <w:spacing w:before="260" w:after="260" w:line="416" w:lineRule="auto"/>
      <w:jc w:val="left"/>
      <w:outlineLvl w:val="2"/>
    </w:pPr>
    <w:rPr>
      <w:rFonts w:ascii="Calibri" w:hAnsi="Calibri" w:cs="Times New Roman"/>
      <w:bCs/>
      <w:kern w:val="0"/>
      <w:szCs w:val="32"/>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5">
    <w:name w:val="Body Text"/>
    <w:basedOn w:val="1"/>
    <w:qFormat/>
    <w:uiPriority w:val="0"/>
    <w:pPr>
      <w:spacing w:before="240" w:after="240" w:line="360" w:lineRule="auto"/>
      <w:jc w:val="center"/>
    </w:pPr>
    <w:rPr>
      <w:b/>
      <w:sz w:val="44"/>
    </w:rPr>
  </w:style>
  <w:style w:type="paragraph" w:styleId="6">
    <w:name w:val="footer"/>
    <w:basedOn w:val="1"/>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character" w:styleId="10">
    <w:name w:val="Strong"/>
    <w:basedOn w:val="9"/>
    <w:qFormat/>
    <w:uiPriority w:val="0"/>
    <w:rPr>
      <w:b/>
      <w:bCs/>
    </w:rPr>
  </w:style>
  <w:style w:type="paragraph" w:customStyle="1" w:styleId="11">
    <w:name w:val="闻政-正文二级标题"/>
    <w:basedOn w:val="4"/>
    <w:next w:val="12"/>
    <w:qFormat/>
    <w:uiPriority w:val="3"/>
    <w:pPr>
      <w:spacing w:before="120" w:after="60" w:line="500" w:lineRule="exact"/>
      <w:ind w:left="200" w:leftChars="200" w:firstLine="0" w:firstLineChars="0"/>
    </w:pPr>
    <w:rPr>
      <w:rFonts w:ascii="Times New Roman" w:hAnsi="Times New Roman"/>
      <w:sz w:val="28"/>
    </w:rPr>
  </w:style>
  <w:style w:type="paragraph" w:customStyle="1" w:styleId="12">
    <w:name w:val="闻政-正文段落文字"/>
    <w:basedOn w:val="1"/>
    <w:qFormat/>
    <w:uiPriority w:val="3"/>
    <w:pPr>
      <w:spacing w:line="500" w:lineRule="exact"/>
      <w:ind w:firstLine="200"/>
    </w:pPr>
    <w:rPr>
      <w:rFonts w:cs="Times New Roman"/>
      <w:kern w:val="0"/>
      <w:szCs w:val="28"/>
    </w:rPr>
  </w:style>
  <w:style w:type="paragraph" w:customStyle="1" w:styleId="13">
    <w:name w:val="闻政-正文一级标题"/>
    <w:basedOn w:val="2"/>
    <w:next w:val="12"/>
    <w:qFormat/>
    <w:uiPriority w:val="3"/>
    <w:pPr>
      <w:spacing w:before="120" w:after="60" w:line="500" w:lineRule="exact"/>
      <w:ind w:firstLine="0" w:firstLineChars="0"/>
      <w:outlineLvl w:val="0"/>
    </w:pPr>
    <w:rPr>
      <w:rFonts w:ascii="黑体" w:hAnsi="黑体" w:eastAsia="黑体"/>
      <w:sz w:val="32"/>
    </w:rPr>
  </w:style>
  <w:style w:type="paragraph" w:customStyle="1" w:styleId="14">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15">
    <w:name w:val="_Style 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unhideWhenUsed/>
    <w:qFormat/>
    <w:uiPriority w:val="99"/>
    <w:pPr>
      <w:ind w:firstLine="420" w:firstLineChars="200"/>
    </w:pPr>
  </w:style>
  <w:style w:type="character" w:customStyle="1" w:styleId="17">
    <w:name w:val="font21"/>
    <w:basedOn w:val="9"/>
    <w:qFormat/>
    <w:uiPriority w:val="0"/>
    <w:rPr>
      <w:rFonts w:hint="default" w:ascii="Times New Roman" w:hAnsi="Times New Roman" w:cs="Times New Roman"/>
      <w:color w:val="000000"/>
      <w:sz w:val="24"/>
      <w:szCs w:val="24"/>
      <w:u w:val="none"/>
    </w:rPr>
  </w:style>
  <w:style w:type="character" w:customStyle="1" w:styleId="18">
    <w:name w:val="font11"/>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8724</Words>
  <Characters>9072</Characters>
  <Lines>0</Lines>
  <Paragraphs>0</Paragraphs>
  <TotalTime>2</TotalTime>
  <ScaleCrop>false</ScaleCrop>
  <LinksUpToDate>false</LinksUpToDate>
  <CharactersWithSpaces>9735</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2023-02-06T04:46:00Z</dcterms:created>
  <dc:creator>缘~</dc:creator>
  <cp:lastModifiedBy>雨。</cp:lastModifiedBy>
  <dcterms:modified xsi:type="dcterms:W3CDTF">2023-10-13T03:12:03Z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1F4353908D464A91B273269FFE49E8CA</vt:lpwstr>
  </property>
</Properties>
</file>