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伽师县西克尔库勒镇灾后行政区规划调整易地重建客运站建设项目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伽师县交通运输局（本级）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伽师县交通运输局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刘新良</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伽师县西克尔库勒镇自 1985 年 8 月成立以来，地震频发。最近的两次发生于 2011 年和 2020 年 。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2011 年 8 月 11 日 18 时 06 分，新疆维吾尔自治区阿图什市、伽师县交界（北纬 39.9°，东经 77.2°）发生 5.8 级地震。地震发生后，自治区地震局立即启动应急响应，派出地震现场工作队奔赴震区，会同有关部门开展地震现场工作，完成了此次地震灾害损失评估工作。根据本次地震的科学考察，宏观震中位于伽师县西克尔库勒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极震区烈度为Ⅶ度强。Ⅶ度区包括西克尔库勒镇、卧里托格拉克镇的托格热克里克村、托库勒村及喀塔墩村。此外，还包括了古勒鲁克乡的东部及玉代克力克乡的西部，面积 662 平方千米。Ⅵ度区西自古勒鲁克乡的古勒鲁克村，东至玉代克力克乡政府，南至卧里托格拉克镇的龙口村，东到哈拉峻的南部，面积 2070 平方千米。造成的直接经济损失为18322.19 万元。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发生地震后，灾区人民群众生命财产遭受严重损失。武警新疆总队立即启动抢险救灾预案，赶赴受灾最严重的伽师县西克尔库勒镇。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在党中央、国务院和中央军委的坚强领导下，新疆维吾尔自治区和中央有关部门紧急启动应急预案，人民解放军指战员、武警部队官兵、民兵预备役人员、公安民警以及专业抢险救援队伍奋战在救灾一线，全力展开勘查危房险情、疏散受灾群众、抢修公共基础设施、防范次生灾害等工作。灾区干部群众奋勇自救，社会各界倾力支援，把抢救群众生命作为首要任务，千方百计救援受灾群众，最大限度减少伤亡，切实防范次生灾害，妥善安置受灾群众，抗震救灾工作有力有序有效，取得了阶段性重大胜利。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伽师县地震</w:t>
      </w:r>
      <w:r>
        <w:rPr>
          <w:rStyle w:val="18"/>
          <w:rFonts w:hint="eastAsia" w:ascii="仿宋" w:hAnsi="仿宋" w:eastAsia="仿宋" w:cs="仿宋"/>
          <w:b w:val="0"/>
          <w:bCs w:val="0"/>
          <w:spacing w:val="-4"/>
          <w:sz w:val="32"/>
          <w:szCs w:val="32"/>
          <w:lang w:val="en-US" w:eastAsia="zh-CN"/>
        </w:rPr>
        <w:t>发生</w:t>
      </w:r>
      <w:r>
        <w:rPr>
          <w:rStyle w:val="18"/>
          <w:rFonts w:hint="eastAsia" w:ascii="仿宋" w:hAnsi="仿宋" w:eastAsia="仿宋" w:cs="仿宋"/>
          <w:b w:val="0"/>
          <w:bCs w:val="0"/>
          <w:spacing w:val="-4"/>
          <w:sz w:val="32"/>
          <w:szCs w:val="32"/>
        </w:rPr>
        <w:t>后，应急管理部立即启动应急响应，连夜派出工作组赶赴震区指导地方救援救灾工作，并做好应对更强地震的预案和相关准备。调拨的棉衣、棉被、帐篷等救灾物资运往灾区。工作组进一步安排部署全</w:t>
      </w:r>
      <w:r>
        <w:rPr>
          <w:rStyle w:val="18"/>
          <w:rFonts w:hint="eastAsia" w:ascii="仿宋" w:hAnsi="仿宋" w:eastAsia="仿宋" w:cs="仿宋"/>
          <w:b w:val="0"/>
          <w:bCs w:val="0"/>
          <w:spacing w:val="-4"/>
          <w:sz w:val="32"/>
          <w:szCs w:val="32"/>
          <w:lang w:val="en-US" w:eastAsia="zh-CN"/>
        </w:rPr>
        <w:t>县</w:t>
      </w:r>
      <w:r>
        <w:rPr>
          <w:rStyle w:val="18"/>
          <w:rFonts w:hint="eastAsia" w:ascii="仿宋" w:hAnsi="仿宋" w:eastAsia="仿宋" w:cs="仿宋"/>
          <w:b w:val="0"/>
          <w:bCs w:val="0"/>
          <w:spacing w:val="-4"/>
          <w:sz w:val="32"/>
          <w:szCs w:val="32"/>
        </w:rPr>
        <w:t>地震后</w:t>
      </w:r>
      <w:r>
        <w:rPr>
          <w:rStyle w:val="18"/>
          <w:rFonts w:hint="eastAsia" w:ascii="仿宋" w:hAnsi="仿宋" w:eastAsia="仿宋" w:cs="仿宋"/>
          <w:b w:val="0"/>
          <w:bCs w:val="0"/>
          <w:spacing w:val="-4"/>
          <w:sz w:val="32"/>
          <w:szCs w:val="32"/>
          <w:lang w:val="en-US" w:eastAsia="zh-CN"/>
        </w:rPr>
        <w:t>安置</w:t>
      </w:r>
      <w:r>
        <w:rPr>
          <w:rStyle w:val="18"/>
          <w:rFonts w:hint="eastAsia" w:ascii="仿宋" w:hAnsi="仿宋" w:eastAsia="仿宋" w:cs="仿宋"/>
          <w:b w:val="0"/>
          <w:bCs w:val="0"/>
          <w:spacing w:val="-4"/>
          <w:sz w:val="32"/>
          <w:szCs w:val="32"/>
        </w:rPr>
        <w:t>工作，切实推进灾后重建，为确保灾后安置首</w:t>
      </w:r>
      <w:r>
        <w:rPr>
          <w:rStyle w:val="18"/>
          <w:rFonts w:hint="eastAsia" w:ascii="仿宋" w:hAnsi="仿宋" w:eastAsia="仿宋" w:cs="仿宋"/>
          <w:b w:val="0"/>
          <w:bCs w:val="0"/>
          <w:spacing w:val="-4"/>
          <w:sz w:val="32"/>
          <w:szCs w:val="32"/>
          <w:lang w:val="en-US" w:eastAsia="zh-CN"/>
        </w:rPr>
        <w:t>战</w:t>
      </w:r>
      <w:r>
        <w:rPr>
          <w:rStyle w:val="18"/>
          <w:rFonts w:hint="eastAsia" w:ascii="仿宋" w:hAnsi="仿宋" w:eastAsia="仿宋" w:cs="仿宋"/>
          <w:b w:val="0"/>
          <w:bCs w:val="0"/>
          <w:spacing w:val="-4"/>
          <w:sz w:val="32"/>
          <w:szCs w:val="32"/>
        </w:rPr>
        <w:t>胜利、建设美好家园、保证灾区群众与全国人民一道奔小康奠定坚实的基础。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本项目新建西克尔镇客运站，建设总面积245平方米，硬化面积：1240平方米，及附属设施建设。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伽师县交通运输局为行政单位，纳入 2023 年部门决算编制范围的有1</w:t>
      </w:r>
      <w:r>
        <w:rPr>
          <w:rStyle w:val="18"/>
          <w:rFonts w:hint="eastAsia" w:ascii="仿宋" w:hAnsi="仿宋" w:eastAsia="仿宋" w:cs="仿宋"/>
          <w:b w:val="0"/>
          <w:bCs w:val="0"/>
          <w:spacing w:val="-4"/>
          <w:sz w:val="32"/>
          <w:szCs w:val="32"/>
          <w:lang w:val="en-US" w:eastAsia="zh-CN"/>
        </w:rPr>
        <w:t>个</w:t>
      </w:r>
      <w:r>
        <w:rPr>
          <w:rStyle w:val="18"/>
          <w:rFonts w:hint="eastAsia" w:ascii="仿宋" w:hAnsi="仿宋" w:eastAsia="仿宋" w:cs="仿宋"/>
          <w:b w:val="0"/>
          <w:bCs w:val="0"/>
          <w:spacing w:val="-4"/>
          <w:sz w:val="32"/>
          <w:szCs w:val="32"/>
        </w:rPr>
        <w:t>办公室: 综合办公室。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 18人，其中:行政人员编制 5人、工勤2人参公5人、事业编制 6人。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实有在职人数 16人，其中: 行政在职4人、工勤 2人、参公5人、事业在职5人。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离退休人员 7人，其中:行政退休人员5人，工勤退休2人。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项目总投资30万元，资金来源为车购税补助资金和县财政局资金。截至2024年5月，实际支出30万元，预算执行率100%。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完成新建西克尔镇客运站，建设总面积 245 平方米，硬化面积:1240 平方米，及</w:t>
      </w:r>
      <w:r>
        <w:rPr>
          <w:rStyle w:val="18"/>
          <w:rFonts w:hint="eastAsia" w:ascii="仿宋" w:hAnsi="仿宋" w:eastAsia="仿宋" w:cs="仿宋"/>
          <w:b w:val="0"/>
          <w:bCs w:val="0"/>
          <w:spacing w:val="-4"/>
          <w:sz w:val="32"/>
          <w:szCs w:val="32"/>
          <w:lang w:val="en-US" w:eastAsia="zh-CN"/>
        </w:rPr>
        <w:t>附属</w:t>
      </w:r>
      <w:r>
        <w:rPr>
          <w:rStyle w:val="18"/>
          <w:rFonts w:hint="eastAsia" w:ascii="仿宋" w:hAnsi="仿宋" w:eastAsia="仿宋" w:cs="仿宋"/>
          <w:b w:val="0"/>
          <w:bCs w:val="0"/>
          <w:spacing w:val="-4"/>
          <w:sz w:val="32"/>
          <w:szCs w:val="32"/>
        </w:rPr>
        <w:t>设施建设。本项目通过建设灾后重建，使灾区群众能够达到生活出行方便。是尽快</w:t>
      </w:r>
      <w:r>
        <w:rPr>
          <w:rStyle w:val="18"/>
          <w:rFonts w:hint="eastAsia" w:ascii="仿宋" w:hAnsi="仿宋" w:eastAsia="仿宋" w:cs="仿宋"/>
          <w:b w:val="0"/>
          <w:bCs w:val="0"/>
          <w:spacing w:val="-4"/>
          <w:sz w:val="32"/>
          <w:szCs w:val="32"/>
          <w:lang w:val="en-US" w:eastAsia="zh-CN"/>
        </w:rPr>
        <w:t>恢复</w:t>
      </w:r>
      <w:r>
        <w:rPr>
          <w:rStyle w:val="18"/>
          <w:rFonts w:hint="eastAsia" w:ascii="仿宋" w:hAnsi="仿宋" w:eastAsia="仿宋" w:cs="仿宋"/>
          <w:b w:val="0"/>
          <w:bCs w:val="0"/>
          <w:spacing w:val="-4"/>
          <w:sz w:val="32"/>
          <w:szCs w:val="32"/>
        </w:rPr>
        <w:t>灾区人民生活，维护社会稳定的需要。</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实行项目法人制、工程招投标制、工程监理制、合同管理制。依据施工、监理合同，对工程建设投资、进度、质量进行严格控制和监理。建设单位，勘察单位，设计单位，施工单位，工程监理单位依法对建设工程质量负责。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建设项目的工程管理人员，应取得地方工程管理部门核发的基本建设工程管理人员岗位资格证书，方可承担建设项目工程管理工作。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建设项目建成后，按照批准的设计文件，工程建设强制性标准和其它有关文件，及时组织勘察、设计、施工、监理、工程质量监督机构及其它有关部门进行验收，提交项目实施总结报告。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制定严格的财务管理制度，加强对项目执行和资金使用的管理，设置独立</w:t>
      </w:r>
      <w:r>
        <w:rPr>
          <w:rStyle w:val="18"/>
          <w:rFonts w:hint="eastAsia" w:ascii="仿宋" w:hAnsi="仿宋" w:eastAsia="仿宋" w:cs="仿宋"/>
          <w:b w:val="0"/>
          <w:bCs w:val="0"/>
          <w:spacing w:val="-4"/>
          <w:sz w:val="32"/>
          <w:szCs w:val="32"/>
          <w:lang w:val="en-US" w:eastAsia="zh-CN"/>
        </w:rPr>
        <w:t>账户</w:t>
      </w:r>
      <w:r>
        <w:rPr>
          <w:rStyle w:val="18"/>
          <w:rFonts w:hint="eastAsia" w:ascii="仿宋" w:hAnsi="仿宋" w:eastAsia="仿宋" w:cs="仿宋"/>
          <w:b w:val="0"/>
          <w:bCs w:val="0"/>
          <w:spacing w:val="-4"/>
          <w:sz w:val="32"/>
          <w:szCs w:val="32"/>
        </w:rPr>
        <w:t xml:space="preserve">，专款专用。按照合同约定、工程进度和竣工决算支付工程款，并接受审计监督。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1.项目建设资金要独立账户、独立核算，保证资金的合理使用，便于上级主管部门检查、监督。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2.实行专款专用，不得以任何理由按部门切块或挪作</w:t>
      </w:r>
      <w:r>
        <w:rPr>
          <w:rStyle w:val="18"/>
          <w:rFonts w:hint="eastAsia" w:ascii="仿宋" w:hAnsi="仿宋" w:eastAsia="仿宋" w:cs="仿宋"/>
          <w:b w:val="0"/>
          <w:bCs w:val="0"/>
          <w:spacing w:val="-4"/>
          <w:sz w:val="32"/>
          <w:szCs w:val="32"/>
          <w:lang w:val="en-US" w:eastAsia="zh-CN"/>
        </w:rPr>
        <w:t>他</w:t>
      </w:r>
      <w:r>
        <w:rPr>
          <w:rStyle w:val="18"/>
          <w:rFonts w:hint="eastAsia" w:ascii="仿宋" w:hAnsi="仿宋" w:eastAsia="仿宋" w:cs="仿宋"/>
          <w:b w:val="0"/>
          <w:bCs w:val="0"/>
          <w:spacing w:val="-4"/>
          <w:sz w:val="32"/>
          <w:szCs w:val="32"/>
        </w:rPr>
        <w:t xml:space="preserve">用。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3.严格执行财务制度，各级领导及部门</w:t>
      </w:r>
      <w:r>
        <w:rPr>
          <w:rStyle w:val="18"/>
          <w:rFonts w:hint="eastAsia" w:ascii="仿宋" w:hAnsi="仿宋" w:eastAsia="仿宋" w:cs="仿宋"/>
          <w:b w:val="0"/>
          <w:bCs w:val="0"/>
          <w:spacing w:val="-4"/>
          <w:sz w:val="32"/>
          <w:szCs w:val="32"/>
          <w:lang w:val="en-US" w:eastAsia="zh-CN"/>
        </w:rPr>
        <w:t>财政</w:t>
      </w:r>
      <w:r>
        <w:rPr>
          <w:rStyle w:val="18"/>
          <w:rFonts w:hint="eastAsia" w:ascii="仿宋" w:hAnsi="仿宋" w:eastAsia="仿宋" w:cs="仿宋"/>
          <w:b w:val="0"/>
          <w:bCs w:val="0"/>
          <w:spacing w:val="-4"/>
          <w:sz w:val="32"/>
          <w:szCs w:val="32"/>
        </w:rPr>
        <w:t xml:space="preserve">支出严格按制度办事。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4.项目建设单位应当在施工合同中列明，项目工程必须经审计机关审计后方可办理工程结算或竣工决算。未经竣工决算审计，建设单位不得办理竣工验收及资产移交手续和工程造价结算。</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（二）绩效评价原则、评价指标体系、评价方法评价标准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w:t>
      </w:r>
      <w:r>
        <w:rPr>
          <w:rStyle w:val="18"/>
          <w:rFonts w:hint="eastAsia" w:ascii="仿宋" w:hAnsi="仿宋" w:eastAsia="仿宋" w:cs="仿宋"/>
          <w:b w:val="0"/>
          <w:bCs w:val="0"/>
          <w:spacing w:val="-4"/>
          <w:sz w:val="32"/>
          <w:szCs w:val="32"/>
          <w:lang w:val="en-US" w:eastAsia="zh-CN"/>
        </w:rPr>
        <w:t>指标</w:t>
      </w:r>
      <w:r>
        <w:rPr>
          <w:rStyle w:val="18"/>
          <w:rFonts w:hint="eastAsia" w:ascii="仿宋" w:hAnsi="仿宋" w:eastAsia="仿宋" w:cs="仿宋"/>
          <w:b w:val="0"/>
          <w:bCs w:val="0"/>
          <w:spacing w:val="-4"/>
          <w:sz w:val="32"/>
          <w:szCs w:val="32"/>
        </w:rPr>
        <w:t>下设产出数量、产出质量、产出时效、产出成本4个2级指标</w:t>
      </w:r>
      <w:r>
        <w:rPr>
          <w:rStyle w:val="18"/>
          <w:rFonts w:hint="eastAsia" w:ascii="仿宋" w:hAnsi="仿宋" w:eastAsia="仿宋" w:cs="仿宋"/>
          <w:b w:val="0"/>
          <w:bCs w:val="0"/>
          <w:spacing w:val="-4"/>
          <w:sz w:val="32"/>
          <w:szCs w:val="32"/>
          <w:lang w:eastAsia="zh-CN"/>
        </w:rPr>
        <w:t>，</w:t>
      </w:r>
      <w:r>
        <w:rPr>
          <w:rStyle w:val="18"/>
          <w:rFonts w:hint="eastAsia" w:ascii="仿宋" w:hAnsi="仿宋" w:eastAsia="仿宋" w:cs="仿宋"/>
          <w:b w:val="0"/>
          <w:bCs w:val="0"/>
          <w:spacing w:val="-4"/>
          <w:sz w:val="32"/>
          <w:szCs w:val="32"/>
        </w:rPr>
        <w:t>效益</w:t>
      </w:r>
      <w:r>
        <w:rPr>
          <w:rStyle w:val="18"/>
          <w:rFonts w:hint="eastAsia" w:ascii="仿宋" w:hAnsi="仿宋" w:eastAsia="仿宋" w:cs="仿宋"/>
          <w:b w:val="0"/>
          <w:bCs w:val="0"/>
          <w:spacing w:val="-4"/>
          <w:sz w:val="32"/>
          <w:szCs w:val="32"/>
          <w:lang w:val="en-US" w:eastAsia="zh-CN"/>
        </w:rPr>
        <w:t>指标</w:t>
      </w:r>
      <w:r>
        <w:rPr>
          <w:rStyle w:val="18"/>
          <w:rFonts w:hint="eastAsia" w:ascii="仿宋" w:hAnsi="仿宋" w:eastAsia="仿宋" w:cs="仿宋"/>
          <w:b w:val="0"/>
          <w:bCs w:val="0"/>
          <w:spacing w:val="-4"/>
          <w:sz w:val="32"/>
          <w:szCs w:val="32"/>
        </w:rPr>
        <w:t>下设项目效益2个二级指标。项目绩效评价体系详见附件1。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本次绩效评价方法的选用坚持简便有效的原则采用综合分析法。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（三）绩效评价工作过程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刘新良任评价组组长，绩效评价工作职责为负责全盘工作。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王林任评价组副组长，绩效评价工作职责为对项目实施情况进行实地调查。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后爱强、左孝君、樊德银任评价组成员，绩效评价工作职责为负责资料审核等工作。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w:t>
      </w:r>
      <w:r>
        <w:rPr>
          <w:rStyle w:val="18"/>
          <w:rFonts w:hint="eastAsia" w:ascii="仿宋" w:hAnsi="仿宋" w:eastAsia="仿宋" w:cs="仿宋"/>
          <w:b w:val="0"/>
          <w:bCs w:val="0"/>
          <w:spacing w:val="-4"/>
          <w:sz w:val="32"/>
          <w:szCs w:val="32"/>
          <w:lang w:val="en-US" w:eastAsia="zh-CN"/>
        </w:rPr>
        <w:t>指标</w:t>
      </w:r>
      <w:r>
        <w:rPr>
          <w:rStyle w:val="18"/>
          <w:rFonts w:hint="eastAsia" w:ascii="仿宋" w:hAnsi="仿宋" w:eastAsia="仿宋" w:cs="仿宋"/>
          <w:b w:val="0"/>
          <w:bCs w:val="0"/>
          <w:spacing w:val="-4"/>
          <w:sz w:val="32"/>
          <w:szCs w:val="32"/>
        </w:rPr>
        <w:t>下设产出数量、产出质量、产出时效、产出成本4个2级指标，效益</w:t>
      </w:r>
      <w:r>
        <w:rPr>
          <w:rStyle w:val="18"/>
          <w:rFonts w:hint="eastAsia" w:ascii="仿宋" w:hAnsi="仿宋" w:eastAsia="仿宋" w:cs="仿宋"/>
          <w:b w:val="0"/>
          <w:bCs w:val="0"/>
          <w:spacing w:val="-4"/>
          <w:sz w:val="32"/>
          <w:szCs w:val="32"/>
          <w:lang w:val="en-US" w:eastAsia="zh-CN"/>
        </w:rPr>
        <w:t>指标</w:t>
      </w:r>
      <w:r>
        <w:rPr>
          <w:rStyle w:val="18"/>
          <w:rFonts w:hint="eastAsia" w:ascii="仿宋" w:hAnsi="仿宋" w:eastAsia="仿宋" w:cs="仿宋"/>
          <w:b w:val="0"/>
          <w:bCs w:val="0"/>
          <w:spacing w:val="-4"/>
          <w:sz w:val="32"/>
          <w:szCs w:val="32"/>
        </w:rPr>
        <w:t>下设项目效益2个二级指标。项目绩效评价体系详见附件1。</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落实管理制度、质量管理，在</w:t>
      </w:r>
      <w:r>
        <w:rPr>
          <w:rStyle w:val="18"/>
          <w:rFonts w:hint="eastAsia" w:ascii="仿宋" w:hAnsi="仿宋" w:eastAsia="仿宋" w:cs="仿宋"/>
          <w:b w:val="0"/>
          <w:bCs w:val="0"/>
          <w:spacing w:val="-4"/>
          <w:sz w:val="32"/>
          <w:szCs w:val="32"/>
          <w:lang w:val="en-US" w:eastAsia="zh-CN"/>
        </w:rPr>
        <w:t>项目</w:t>
      </w:r>
      <w:r>
        <w:rPr>
          <w:rStyle w:val="18"/>
          <w:rFonts w:hint="eastAsia" w:ascii="仿宋" w:hAnsi="仿宋" w:eastAsia="仿宋" w:cs="仿宋"/>
          <w:b w:val="0"/>
          <w:bCs w:val="0"/>
          <w:spacing w:val="-4"/>
          <w:sz w:val="32"/>
          <w:szCs w:val="32"/>
        </w:rPr>
        <w:t>开展的过程中做好相关记录，使项目过程</w:t>
      </w:r>
      <w:r>
        <w:rPr>
          <w:rStyle w:val="18"/>
          <w:rFonts w:hint="eastAsia" w:ascii="仿宋" w:hAnsi="仿宋" w:eastAsia="仿宋" w:cs="仿宋"/>
          <w:b w:val="0"/>
          <w:bCs w:val="0"/>
          <w:spacing w:val="-4"/>
          <w:sz w:val="32"/>
          <w:szCs w:val="32"/>
          <w:lang w:val="en-US" w:eastAsia="zh-CN"/>
        </w:rPr>
        <w:t>透明</w:t>
      </w:r>
      <w:r>
        <w:rPr>
          <w:rStyle w:val="18"/>
          <w:rFonts w:hint="eastAsia" w:ascii="仿宋" w:hAnsi="仿宋" w:eastAsia="仿宋" w:cs="仿宋"/>
          <w:b w:val="0"/>
          <w:bCs w:val="0"/>
          <w:spacing w:val="-4"/>
          <w:sz w:val="32"/>
          <w:szCs w:val="32"/>
        </w:rPr>
        <w:t>化、清晰化，并且主动</w:t>
      </w:r>
      <w:r>
        <w:rPr>
          <w:rStyle w:val="18"/>
          <w:rFonts w:hint="eastAsia" w:ascii="仿宋" w:hAnsi="仿宋" w:eastAsia="仿宋" w:cs="仿宋"/>
          <w:b w:val="0"/>
          <w:bCs w:val="0"/>
          <w:spacing w:val="-4"/>
          <w:sz w:val="32"/>
          <w:szCs w:val="32"/>
          <w:lang w:val="en-US" w:eastAsia="zh-CN"/>
        </w:rPr>
        <w:t>接受</w:t>
      </w:r>
      <w:r>
        <w:rPr>
          <w:rStyle w:val="18"/>
          <w:rFonts w:hint="eastAsia" w:ascii="仿宋" w:hAnsi="仿宋" w:eastAsia="仿宋" w:cs="仿宋"/>
          <w:b w:val="0"/>
          <w:bCs w:val="0"/>
          <w:spacing w:val="-4"/>
          <w:sz w:val="32"/>
          <w:szCs w:val="32"/>
        </w:rPr>
        <w:t>监督，确保项目工作开展的</w:t>
      </w:r>
      <w:r>
        <w:rPr>
          <w:rStyle w:val="18"/>
          <w:rFonts w:hint="eastAsia" w:ascii="仿宋" w:hAnsi="仿宋" w:eastAsia="仿宋" w:cs="仿宋"/>
          <w:b w:val="0"/>
          <w:bCs w:val="0"/>
          <w:spacing w:val="-4"/>
          <w:sz w:val="32"/>
          <w:szCs w:val="32"/>
          <w:lang w:val="en-US" w:eastAsia="zh-CN"/>
        </w:rPr>
        <w:t>透明</w:t>
      </w:r>
      <w:r>
        <w:rPr>
          <w:rStyle w:val="18"/>
          <w:rFonts w:hint="eastAsia" w:ascii="仿宋" w:hAnsi="仿宋" w:eastAsia="仿宋" w:cs="仿宋"/>
          <w:b w:val="0"/>
          <w:bCs w:val="0"/>
          <w:spacing w:val="-4"/>
          <w:sz w:val="32"/>
          <w:szCs w:val="32"/>
        </w:rPr>
        <w:t>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按照高质量发展要求，拟定工作任务，扎实推进项目计划，围绕重点任务，充分项目实施的可行性，实施后所产生的效益，确保项目决策的准确性、效益性，同步做好档案的归纳与整理，及时收集、汇总，健全档案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应加强工程的建设管理，采用规范化市场运作，以公开招投标形式组织各项工程的施工建设和施工监理等工作，并严格验收，确保工程保质、保量如期完成。</w:t>
      </w:r>
      <w:bookmarkStart w:id="0" w:name="_GoBack"/>
      <w:bookmarkEnd w:id="0"/>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7B72E68"/>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24</TotalTime>
  <ScaleCrop>false</ScaleCrop>
  <LinksUpToDate>false</LinksUpToDate>
  <CharactersWithSpaces>742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ZFB</cp:lastModifiedBy>
  <cp:lastPrinted>2018-12-31T10:56:00Z</cp:lastPrinted>
  <dcterms:modified xsi:type="dcterms:W3CDTF">2025-07-30T03:55:30Z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