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伽师县卧里托格拉克镇人民政府2024</w:t>
      </w:r>
      <w:r>
        <w:rPr>
          <w:rFonts w:hint="eastAsia" w:ascii="方正小标宋_GBK" w:hAnsi="宋体" w:eastAsia="方正小标宋_GBK"/>
          <w:sz w:val="44"/>
          <w:szCs w:val="44"/>
          <w:highlight w:val="none"/>
          <w:lang w:eastAsia="zh-CN"/>
        </w:rPr>
        <w:t>年度</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（1）贯彻执行党的路线、方针、政策和国家的法律法规落实上级党委、政府决策部署和县委、县政府相关工作安排，执行本级人民代表大会决议，在履行职责过程中坚持和加强党的集中统一领导。</w:t>
      </w:r>
    </w:p>
    <w:p>
      <w:pPr>
        <w:spacing w:line="580" w:lineRule="exact"/>
        <w:ind w:firstLine="640"/>
        <w:jc w:val="both"/>
      </w:pPr>
      <w:r>
        <w:rPr>
          <w:rFonts w:ascii="仿宋_GB2312" w:hAnsi="仿宋_GB2312" w:eastAsia="仿宋_GB2312"/>
          <w:sz w:val="32"/>
        </w:rPr>
        <w:t>（2）根据自治区党委、地委相关决策部署和县委相关工作安排，讨论和决定本行政区域内</w:t>
      </w:r>
      <w:r>
        <w:rPr>
          <w:rFonts w:hint="eastAsia" w:ascii="仿宋_GB2312" w:hAnsi="仿宋_GB2312" w:eastAsia="仿宋_GB2312"/>
          <w:sz w:val="32"/>
          <w:lang w:eastAsia="zh-CN"/>
        </w:rPr>
        <w:t>经济建设、政治建设、文化建设、社会建设和生态文明建设</w:t>
      </w:r>
      <w:r>
        <w:rPr>
          <w:rFonts w:ascii="仿宋_GB2312" w:hAnsi="仿宋_GB2312" w:eastAsia="仿宋_GB2312"/>
          <w:sz w:val="32"/>
        </w:rPr>
        <w:t>和党的建设以及乡村振兴中的重大问题。</w:t>
      </w:r>
    </w:p>
    <w:p>
      <w:pPr>
        <w:spacing w:line="580" w:lineRule="exact"/>
        <w:ind w:firstLine="640"/>
        <w:jc w:val="both"/>
      </w:pPr>
      <w:r>
        <w:rPr>
          <w:rFonts w:ascii="仿宋_GB2312" w:hAnsi="仿宋_GB2312" w:eastAsia="仿宋_GB2312"/>
          <w:sz w:val="32"/>
        </w:rPr>
        <w:t>（3）落实基层党建工作责任制，负责党风廉政建设、宣传意识形态、精神文明等工作</w:t>
      </w:r>
      <w:r>
        <w:rPr>
          <w:rFonts w:hint="eastAsia" w:ascii="仿宋_GB2312" w:hAnsi="仿宋_GB2312" w:eastAsia="仿宋_GB2312"/>
          <w:sz w:val="32"/>
          <w:lang w:eastAsia="zh-CN"/>
        </w:rPr>
        <w:t>；</w:t>
      </w:r>
      <w:r>
        <w:rPr>
          <w:rFonts w:ascii="仿宋_GB2312" w:hAnsi="仿宋_GB2312" w:eastAsia="仿宋_GB2312"/>
          <w:sz w:val="32"/>
        </w:rPr>
        <w:t>负责做好辖区各类社会组织的党建工作和发展党员工作，协调、指导辖区社会单位党组织和党员积极参加政治文化生活；负责做好党的社会工作</w:t>
      </w:r>
      <w:r>
        <w:rPr>
          <w:rFonts w:hint="eastAsia" w:ascii="仿宋_GB2312" w:hAnsi="仿宋_GB2312" w:eastAsia="仿宋_GB2312"/>
          <w:sz w:val="32"/>
          <w:lang w:eastAsia="zh-CN"/>
        </w:rPr>
        <w:t>；</w:t>
      </w:r>
      <w:r>
        <w:rPr>
          <w:rFonts w:ascii="仿宋_GB2312" w:hAnsi="仿宋_GB2312" w:eastAsia="仿宋_GB2312"/>
          <w:sz w:val="32"/>
        </w:rPr>
        <w:t>负责做好</w:t>
      </w:r>
      <w:r>
        <w:rPr>
          <w:rFonts w:hint="eastAsia" w:ascii="仿宋_GB2312" w:hAnsi="仿宋_GB2312" w:eastAsia="仿宋_GB2312"/>
          <w:sz w:val="32"/>
          <w:lang w:eastAsia="zh-CN"/>
        </w:rPr>
        <w:t>人大、政协</w:t>
      </w:r>
      <w:r>
        <w:rPr>
          <w:rFonts w:ascii="仿宋_GB2312" w:hAnsi="仿宋_GB2312" w:eastAsia="仿宋_GB2312"/>
          <w:sz w:val="32"/>
        </w:rPr>
        <w:t>等事务工作</w:t>
      </w:r>
      <w:r>
        <w:rPr>
          <w:rFonts w:hint="eastAsia" w:ascii="仿宋_GB2312" w:hAnsi="仿宋_GB2312" w:eastAsia="仿宋_GB2312"/>
          <w:sz w:val="32"/>
          <w:lang w:eastAsia="zh-CN"/>
        </w:rPr>
        <w:t>；</w:t>
      </w:r>
      <w:r>
        <w:rPr>
          <w:rFonts w:ascii="仿宋_GB2312" w:hAnsi="仿宋_GB2312" w:eastAsia="仿宋_GB2312"/>
          <w:sz w:val="32"/>
        </w:rPr>
        <w:t>依法指导和规范管辖范围内的群团组织等其他各类组织。</w:t>
      </w:r>
    </w:p>
    <w:p>
      <w:pPr>
        <w:spacing w:line="580" w:lineRule="exact"/>
        <w:ind w:firstLine="640"/>
        <w:jc w:val="both"/>
      </w:pPr>
      <w:r>
        <w:rPr>
          <w:rFonts w:ascii="仿宋_GB2312" w:hAnsi="仿宋_GB2312" w:eastAsia="仿宋_GB2312"/>
          <w:sz w:val="32"/>
        </w:rPr>
        <w:t>（4）负责社会治安、综合治理、扫黑除恶等工作。落实社会矛盾纠纷排查调处机制，实施社会治安综合治理，依法严厉打击黑恶势力、宗族恶势力、极端势力、“村霸”，严防其侵蚀</w:t>
      </w:r>
      <w:r>
        <w:rPr>
          <w:rFonts w:hint="eastAsia" w:ascii="仿宋_GB2312" w:hAnsi="仿宋_GB2312" w:eastAsia="仿宋_GB2312"/>
          <w:sz w:val="32"/>
          <w:lang w:eastAsia="zh-CN"/>
        </w:rPr>
        <w:t>基层干部</w:t>
      </w:r>
      <w:r>
        <w:rPr>
          <w:rFonts w:ascii="仿宋_GB2312" w:hAnsi="仿宋_GB2312" w:eastAsia="仿宋_GB2312"/>
          <w:sz w:val="32"/>
        </w:rPr>
        <w:t>和基层政权。</w:t>
      </w:r>
    </w:p>
    <w:p>
      <w:pPr>
        <w:spacing w:line="580" w:lineRule="exact"/>
        <w:ind w:firstLine="640"/>
        <w:jc w:val="both"/>
      </w:pPr>
      <w:r>
        <w:rPr>
          <w:rFonts w:ascii="仿宋_GB2312" w:hAnsi="仿宋_GB2312" w:eastAsia="仿宋_GB2312"/>
          <w:sz w:val="32"/>
        </w:rPr>
        <w:t>（5）根据相关规定，负责组织实施与群众生活密切相关的各项公共服务，负责做好民政、社会保障、教育体育、科技文化卫生健康、劳动就业、拥军优属、助残、统计等方面工作。以“最多跑一次”改革为引导，强化基层便民服务。</w:t>
      </w:r>
    </w:p>
    <w:p>
      <w:pPr>
        <w:spacing w:line="580" w:lineRule="exact"/>
        <w:ind w:firstLine="640"/>
        <w:jc w:val="both"/>
      </w:pPr>
      <w:r>
        <w:rPr>
          <w:rFonts w:ascii="仿宋_GB2312" w:hAnsi="仿宋_GB2312" w:eastAsia="仿宋_GB2312"/>
          <w:sz w:val="32"/>
        </w:rPr>
        <w:t>（6）负责做好统一战线、民族</w:t>
      </w:r>
      <w:r>
        <w:rPr>
          <w:rFonts w:hint="eastAsia" w:ascii="仿宋_GB2312" w:hAnsi="仿宋_GB2312" w:eastAsia="仿宋_GB2312"/>
          <w:sz w:val="32"/>
          <w:lang w:val="en-US" w:eastAsia="zh-CN"/>
        </w:rPr>
        <w:t>ZJ</w:t>
      </w:r>
      <w:r>
        <w:rPr>
          <w:rFonts w:ascii="仿宋_GB2312" w:hAnsi="仿宋_GB2312" w:eastAsia="仿宋_GB2312"/>
          <w:sz w:val="32"/>
        </w:rPr>
        <w:t>等工作</w:t>
      </w:r>
      <w:r>
        <w:rPr>
          <w:rFonts w:hint="eastAsia" w:ascii="仿宋_GB2312" w:hAnsi="仿宋_GB2312" w:eastAsia="仿宋_GB2312"/>
          <w:sz w:val="32"/>
          <w:lang w:eastAsia="zh-CN"/>
        </w:rPr>
        <w:t>；</w:t>
      </w:r>
      <w:r>
        <w:rPr>
          <w:rFonts w:ascii="仿宋_GB2312" w:hAnsi="仿宋_GB2312" w:eastAsia="仿宋_GB2312"/>
          <w:sz w:val="32"/>
        </w:rPr>
        <w:t>管理好</w:t>
      </w:r>
      <w:r>
        <w:rPr>
          <w:rFonts w:hint="eastAsia" w:ascii="仿宋_GB2312" w:hAnsi="仿宋_GB2312" w:eastAsia="仿宋_GB2312"/>
          <w:sz w:val="32"/>
          <w:lang w:val="en-US" w:eastAsia="zh-CN"/>
        </w:rPr>
        <w:t>ZJ</w:t>
      </w:r>
      <w:r>
        <w:rPr>
          <w:rFonts w:ascii="仿宋_GB2312" w:hAnsi="仿宋_GB2312" w:eastAsia="仿宋_GB2312"/>
          <w:sz w:val="32"/>
        </w:rPr>
        <w:t>活动场所，依法制止利用</w:t>
      </w:r>
      <w:r>
        <w:rPr>
          <w:rFonts w:hint="eastAsia" w:ascii="仿宋_GB2312" w:hAnsi="仿宋_GB2312" w:eastAsia="仿宋_GB2312"/>
          <w:sz w:val="32"/>
          <w:lang w:val="en-US" w:eastAsia="zh-CN"/>
        </w:rPr>
        <w:t>ZJ</w:t>
      </w:r>
      <w:r>
        <w:rPr>
          <w:rFonts w:ascii="仿宋_GB2312" w:hAnsi="仿宋_GB2312" w:eastAsia="仿宋_GB2312"/>
          <w:sz w:val="32"/>
        </w:rPr>
        <w:t>干涉基层公共事务的行为，坚决抵御非法</w:t>
      </w:r>
      <w:r>
        <w:rPr>
          <w:rFonts w:hint="eastAsia" w:ascii="仿宋_GB2312" w:hAnsi="仿宋_GB2312" w:eastAsia="仿宋_GB2312"/>
          <w:sz w:val="32"/>
          <w:lang w:val="en-US" w:eastAsia="zh-CN"/>
        </w:rPr>
        <w:t>ZJ</w:t>
      </w:r>
      <w:r>
        <w:rPr>
          <w:rFonts w:ascii="仿宋_GB2312" w:hAnsi="仿宋_GB2312" w:eastAsia="仿宋_GB2312"/>
          <w:sz w:val="32"/>
        </w:rPr>
        <w:t>活动和境外渗透活动。</w:t>
      </w:r>
    </w:p>
    <w:p>
      <w:pPr>
        <w:spacing w:line="580" w:lineRule="exact"/>
        <w:ind w:firstLine="640"/>
        <w:jc w:val="both"/>
      </w:pPr>
      <w:r>
        <w:rPr>
          <w:rFonts w:ascii="仿宋_GB2312" w:hAnsi="仿宋_GB2312" w:eastAsia="仿宋_GB2312"/>
          <w:sz w:val="32"/>
        </w:rPr>
        <w:t>（7）负责乡村振兴战略有关政策措施的贯彻落实</w:t>
      </w:r>
      <w:r>
        <w:rPr>
          <w:rFonts w:hint="eastAsia" w:ascii="仿宋_GB2312" w:hAnsi="仿宋_GB2312" w:eastAsia="仿宋_GB2312"/>
          <w:sz w:val="32"/>
          <w:lang w:eastAsia="zh-CN"/>
        </w:rPr>
        <w:t>；</w:t>
      </w:r>
      <w:r>
        <w:rPr>
          <w:rFonts w:ascii="仿宋_GB2312" w:hAnsi="仿宋_GB2312" w:eastAsia="仿宋_GB2312"/>
          <w:sz w:val="32"/>
        </w:rPr>
        <w:t>负责产业规划发展、美丽乡村建设、生态环境、人居环境整治等工作。</w:t>
      </w:r>
    </w:p>
    <w:p>
      <w:pPr>
        <w:spacing w:line="580" w:lineRule="exact"/>
        <w:ind w:firstLine="640"/>
        <w:jc w:val="both"/>
      </w:pPr>
      <w:r>
        <w:rPr>
          <w:rFonts w:ascii="仿宋_GB2312" w:hAnsi="仿宋_GB2312" w:eastAsia="仿宋_GB2312"/>
          <w:sz w:val="32"/>
        </w:rPr>
        <w:t>（8）根据行业主管部门相关规定，协助做好农畜产品质量安全、农牧业机械维护和管理等工作</w:t>
      </w:r>
      <w:r>
        <w:rPr>
          <w:rFonts w:hint="eastAsia" w:ascii="仿宋_GB2312" w:hAnsi="仿宋_GB2312" w:eastAsia="仿宋_GB2312"/>
          <w:sz w:val="32"/>
          <w:lang w:eastAsia="zh-CN"/>
        </w:rPr>
        <w:t>；</w:t>
      </w:r>
      <w:r>
        <w:rPr>
          <w:rFonts w:ascii="仿宋_GB2312" w:hAnsi="仿宋_GB2312" w:eastAsia="仿宋_GB2312"/>
          <w:sz w:val="32"/>
        </w:rPr>
        <w:t>负责加强动物防疫监控工作，落实动物防疫责任制和疫病的分级管理</w:t>
      </w:r>
      <w:r>
        <w:rPr>
          <w:rFonts w:hint="eastAsia" w:ascii="仿宋_GB2312" w:hAnsi="仿宋_GB2312" w:eastAsia="仿宋_GB2312"/>
          <w:sz w:val="32"/>
          <w:lang w:eastAsia="zh-CN"/>
        </w:rPr>
        <w:t>制度；</w:t>
      </w:r>
      <w:r>
        <w:rPr>
          <w:rFonts w:ascii="仿宋_GB2312" w:hAnsi="仿宋_GB2312" w:eastAsia="仿宋_GB2312"/>
          <w:sz w:val="32"/>
        </w:rPr>
        <w:t>加强草原保护建设和利用情况的监督及草原防火、草畜平衡、退牧还草、基本草牧场、基本农田、农地保护管理工作</w:t>
      </w:r>
      <w:r>
        <w:rPr>
          <w:rFonts w:hint="eastAsia" w:ascii="仿宋_GB2312" w:hAnsi="仿宋_GB2312" w:eastAsia="仿宋_GB2312"/>
          <w:sz w:val="32"/>
          <w:lang w:eastAsia="zh-CN"/>
        </w:rPr>
        <w:t>；</w:t>
      </w:r>
      <w:r>
        <w:rPr>
          <w:rFonts w:ascii="仿宋_GB2312" w:hAnsi="仿宋_GB2312" w:eastAsia="仿宋_GB2312"/>
          <w:sz w:val="32"/>
        </w:rPr>
        <w:t>加强辖区内林业管理</w:t>
      </w:r>
      <w:r>
        <w:rPr>
          <w:rFonts w:hint="eastAsia" w:ascii="仿宋_GB2312" w:hAnsi="仿宋_GB2312" w:eastAsia="仿宋_GB2312"/>
          <w:sz w:val="32"/>
          <w:lang w:eastAsia="zh-CN"/>
        </w:rPr>
        <w:t>；</w:t>
      </w:r>
      <w:r>
        <w:rPr>
          <w:rFonts w:ascii="仿宋_GB2312" w:hAnsi="仿宋_GB2312" w:eastAsia="仿宋_GB2312"/>
          <w:sz w:val="32"/>
        </w:rPr>
        <w:t>加强农田水利设施建设，改善人畜饮用水条件，开展水土保持宣传教育，普及水土保持科学知识，防止水土流失。</w:t>
      </w:r>
    </w:p>
    <w:p>
      <w:pPr>
        <w:spacing w:line="580" w:lineRule="exact"/>
        <w:ind w:firstLine="640"/>
        <w:jc w:val="both"/>
      </w:pPr>
      <w:r>
        <w:rPr>
          <w:rFonts w:ascii="仿宋_GB2312" w:hAnsi="仿宋_GB2312" w:eastAsia="仿宋_GB2312"/>
          <w:sz w:val="32"/>
        </w:rPr>
        <w:t>（9）负责辖区公共安全及安全生产监管，构建公共安全防控体系，建立应对突发紧急事件的处理预案，做好安全生产、防汛、防火、防疫等灾害防御及食品药品安全等应急管理工作。</w:t>
      </w:r>
    </w:p>
    <w:p>
      <w:pPr>
        <w:spacing w:line="580" w:lineRule="exact"/>
        <w:ind w:firstLine="640"/>
        <w:jc w:val="both"/>
      </w:pPr>
      <w:r>
        <w:rPr>
          <w:rFonts w:ascii="仿宋_GB2312" w:hAnsi="仿宋_GB2312" w:eastAsia="仿宋_GB2312"/>
          <w:sz w:val="32"/>
        </w:rPr>
        <w:t>（10）负责综合协调辖区内镇容镇貌、环境卫生、小区物业公共设施管理等工作。</w:t>
      </w:r>
    </w:p>
    <w:p>
      <w:pPr>
        <w:spacing w:line="580" w:lineRule="exact"/>
        <w:ind w:firstLine="640"/>
        <w:jc w:val="both"/>
      </w:pPr>
      <w:r>
        <w:rPr>
          <w:rFonts w:ascii="仿宋_GB2312" w:hAnsi="仿宋_GB2312" w:eastAsia="仿宋_GB2312"/>
          <w:sz w:val="32"/>
        </w:rPr>
        <w:t>（11）负责推进法治政府建设和网格化服务管理工作；负责做好维护老年人、妇女、未成年人和残疾人的合法权益，保障适龄儿童、少年接受义务教育等工作。</w:t>
      </w:r>
    </w:p>
    <w:p>
      <w:pPr>
        <w:spacing w:line="580" w:lineRule="exact"/>
        <w:ind w:firstLine="640"/>
        <w:jc w:val="both"/>
      </w:pPr>
      <w:r>
        <w:rPr>
          <w:rFonts w:ascii="仿宋_GB2312" w:hAnsi="仿宋_GB2312" w:eastAsia="仿宋_GB2312"/>
          <w:sz w:val="32"/>
        </w:rPr>
        <w:t>（12）根据自治区党委、政府赋予乡镇行政权力事项清单与县相关执法队伍和部门协调配合行使行政许可、行政确认、行政处罚等相关权力。</w:t>
      </w:r>
    </w:p>
    <w:p>
      <w:pPr>
        <w:spacing w:line="580" w:lineRule="exact"/>
        <w:ind w:firstLine="640"/>
        <w:jc w:val="both"/>
      </w:pPr>
      <w:r>
        <w:rPr>
          <w:rFonts w:ascii="仿宋_GB2312" w:hAnsi="仿宋_GB2312" w:eastAsia="仿宋_GB2312"/>
          <w:sz w:val="32"/>
        </w:rPr>
        <w:t>（13）负责本辖区社会领域、生态环境领域、党的建设领域等重大风险的防范、排查，保密机要、意识形态、信访等工作。</w:t>
      </w:r>
    </w:p>
    <w:p>
      <w:pPr>
        <w:spacing w:line="580" w:lineRule="exact"/>
        <w:ind w:firstLine="640"/>
        <w:jc w:val="both"/>
      </w:pPr>
      <w:r>
        <w:rPr>
          <w:rFonts w:ascii="仿宋_GB2312" w:hAnsi="仿宋_GB2312" w:eastAsia="仿宋_GB2312"/>
          <w:sz w:val="32"/>
        </w:rPr>
        <w:t>（14）完成县委、县政府交办的其他工作。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伽师县卧里托格拉克镇人民政府2024年度，实有人数157人，其中：在职人员139人，减少22人；离休人员0人，增加0人；退休人员18人,增加1人。</w:t>
      </w:r>
    </w:p>
    <w:p>
      <w:pPr>
        <w:spacing w:line="580" w:lineRule="exact"/>
        <w:ind w:firstLine="640"/>
        <w:jc w:val="both"/>
      </w:pPr>
      <w:r>
        <w:rPr>
          <w:rFonts w:ascii="仿宋_GB2312" w:hAnsi="仿宋_GB2312" w:eastAsia="仿宋_GB2312"/>
          <w:sz w:val="32"/>
        </w:rPr>
        <w:t>伽师县卧里托格拉克镇人民政府无下属预算单位，下设10个科室，分别是：党政综合办公室、经济发展与财政办公室、社会事务办公室、综合执法办公室、农业发展中心、文化广电旅游中心、社会保障（民政）服务中心（退役军人服务站）、农村合作经济（统计）发展中心、村镇规划建设发展中心、村镇规划建设综治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2024年度收入总计9,454.19万元，</w:t>
      </w:r>
      <w:r>
        <w:rPr>
          <w:rFonts w:ascii="仿宋_GB2312" w:hAnsi="仿宋_GB2312" w:eastAsia="仿宋_GB2312"/>
          <w:b w:val="0"/>
          <w:sz w:val="32"/>
        </w:rPr>
        <w:t>其中：本年收入合计9,454.19万元，使用非财政拨款结余（含专用结余）0.00万元，年初结转和结余0.00万元。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2024年度支出总计9,454.19万元，</w:t>
      </w:r>
      <w:r>
        <w:rPr>
          <w:rFonts w:ascii="仿宋_GB2312" w:hAnsi="仿宋_GB2312" w:eastAsia="仿宋_GB2312"/>
          <w:b w:val="0"/>
          <w:sz w:val="32"/>
        </w:rPr>
        <w:t>其中：本年支出合计9,454.19万元，结余分配0.00万元，年末结转和结余0.00万元。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4,733.70万元，增长100.28%，主要原因是：本年增加棉花目标价格补贴资金项目、伽师县卧里托格拉克镇乌吐拉阔什库勒（3）村渠道建设项目、伽师甜菜种植补助项目、伽师县卧里托格拉克镇销尔介乃克（18）村2023年村级组织活动场所建设项目、伽师县林果提质增效项目、伽师瓜种植补助、伽师县公益性岗位补助项目、伽师县林果修剪项目、伽师县特色产业配套基础设施建设项目（以工代赈）、伽师县卧里托格拉克镇产业发展基础设施配套项目、伽师县2023年示范村建设项目、伽师县林果提质增效项目、伽师县卧里托格拉克镇龙口（16）村乡村产业路建设项目、伽师县卧里托格拉克镇乌堂（20）村产业配套项目、伽师县林果种植以奖代补项目、伽师县乡村规划项目、伽师县314国道建设拆迁补偿款项目、卧里托格拉克镇2023年乡村振兴就业创业基地拆迁补偿项目等。</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本年收入9,454.19万元，</w:t>
      </w:r>
      <w:r>
        <w:rPr>
          <w:rFonts w:ascii="仿宋_GB2312" w:hAnsi="仿宋_GB2312" w:eastAsia="仿宋_GB2312"/>
          <w:b w:val="0"/>
          <w:sz w:val="32"/>
        </w:rPr>
        <w:t>其中：财政拨款收入8,871.34万元，占93.84%；上级补助收入0.00万元，占0.00%；事业收入0.00万元，占0.00%；经营收入0.00万元，占0.00%；附属单位上缴收入0.00万元，占0.00%；其他收入582.85万元，占6.16%。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本年支出9,454.19万元，</w:t>
      </w:r>
      <w:r>
        <w:rPr>
          <w:rFonts w:ascii="仿宋_GB2312" w:hAnsi="仿宋_GB2312" w:eastAsia="仿宋_GB2312"/>
          <w:b w:val="0"/>
          <w:sz w:val="32"/>
        </w:rPr>
        <w:t>其中：基本支出2,337.42万元，占24.72%；项目支出7,116.77万元，占75.28%；上缴上级支出0.00万元，占0.00%；经营支出0.00万元，占0.00%；对附属单位补助支出0.00万元，占0.00%。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2024年度财政拨款收入总计8,871.34万元，</w:t>
      </w:r>
      <w:r>
        <w:rPr>
          <w:rFonts w:ascii="仿宋_GB2312" w:hAnsi="仿宋_GB2312" w:eastAsia="仿宋_GB2312"/>
          <w:b w:val="0"/>
          <w:sz w:val="32"/>
        </w:rPr>
        <w:t>其中：年初财政拨款结转和结余0.00万元，本年财政拨款收入8,871.34万元。</w:t>
      </w:r>
      <w:r>
        <w:rPr>
          <w:rFonts w:ascii="仿宋_GB2312" w:hAnsi="仿宋_GB2312" w:eastAsia="仿宋_GB2312"/>
          <w:b/>
          <w:sz w:val="32"/>
        </w:rPr>
        <w:t>财政拨款支出总计8,871.34万元，</w:t>
      </w:r>
      <w:r>
        <w:rPr>
          <w:rFonts w:ascii="仿宋_GB2312" w:hAnsi="仿宋_GB2312" w:eastAsia="仿宋_GB2312"/>
          <w:b w:val="0"/>
          <w:sz w:val="32"/>
        </w:rPr>
        <w:t>其中：年末财政拨款结转和结余0.00万元，本年财政拨款支出8,871.34万元。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4,532.39万元，增长104.46%，主要原因是：本年增加棉花目标价格补贴资金项目、伽师县卧里托格拉克镇乌吐拉阔什库勒（3）村渠道建设项目、伽师甜菜种植补助项目、伽师县卧里托格拉克镇销尔介乃克（18）村2023年村级组织活动场所建设项目、伽师县林果提质增效项目、伽师瓜种植补助、伽师县公益性岗位补助项目、伽师县林果修剪项目、伽师县特色产业配套基础设施建设项目（以工代赈）、伽师县卧里托格拉克镇产业发展基础设施配套项目、伽师县2023年示范村建设项目、伽师县林果提质增效项目、伽师县卧里托格拉克镇龙口（16）村乡村产业路建设项目、伽师县卧里托格拉克镇乌堂（20）村产业配套项目、伽师县林果种植以奖代补项目、伽师县乡村规划项目、伽师县314国道建设拆迁补偿款项目、卧里托格拉克镇2023年乡村振兴就业创业基地拆迁补偿项目等。</w:t>
      </w:r>
      <w:r>
        <w:rPr>
          <w:rFonts w:ascii="仿宋_GB2312" w:hAnsi="仿宋_GB2312" w:eastAsia="仿宋_GB2312"/>
          <w:b/>
          <w:sz w:val="32"/>
        </w:rPr>
        <w:t>与年初预算相比，</w:t>
      </w:r>
      <w:r>
        <w:rPr>
          <w:rFonts w:ascii="仿宋_GB2312" w:hAnsi="仿宋_GB2312" w:eastAsia="仿宋_GB2312"/>
          <w:b w:val="0"/>
          <w:sz w:val="32"/>
        </w:rPr>
        <w:t>年初预算数2,740.11万元，决算数8,871.34万元，预决算差异率223.76%，主要原因是：年中追加棉花目标价格补贴资金项目、伽师县卧里托格拉克镇乌吐拉阔什库勒（3）村渠道建设项目、伽师甜菜种植补助项目、伽师县卧里托格拉克镇销尔介乃克（18）村2023年村级组织活动场所建设项目、伽师县林果提质增效项目、伽师瓜种植补助、伽师县公益性岗位补助项目、伽师县林果修剪项目、伽师县特色产业配套基础设施建设项目（以工代赈）、伽师县卧里托格拉克镇产业发展基础设施配套项目、伽师县2023年示范村建设项目、伽师县林果提质增效项目、伽师县卧里托格拉克镇龙口（16）村乡村产业路建设项目、伽师县卧里托格拉克镇乌堂（20）村产业配套项目、伽师县林果种植以奖代补项目、伽师县乡村规划项目、伽师县314国道建设拆迁补偿款项目、卧里托格拉克镇2023年乡村振兴就业创业基地拆迁补偿项目等，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2024年度一般公共预算财政拨款支出8,871.16万元，</w:t>
      </w:r>
      <w:r>
        <w:rPr>
          <w:rFonts w:ascii="仿宋_GB2312" w:hAnsi="仿宋_GB2312" w:eastAsia="仿宋_GB2312"/>
          <w:b w:val="0"/>
          <w:sz w:val="32"/>
        </w:rPr>
        <w:t>占本年支出合计的93.83%。</w:t>
      </w:r>
      <w:r>
        <w:rPr>
          <w:rFonts w:ascii="仿宋_GB2312" w:hAnsi="仿宋_GB2312" w:eastAsia="仿宋_GB2312"/>
          <w:b/>
          <w:sz w:val="32"/>
        </w:rPr>
        <w:t>与上年相比，</w:t>
      </w:r>
      <w:r>
        <w:rPr>
          <w:rFonts w:ascii="仿宋_GB2312" w:hAnsi="仿宋_GB2312" w:eastAsia="仿宋_GB2312"/>
          <w:b w:val="0"/>
          <w:sz w:val="32"/>
        </w:rPr>
        <w:t>增加4,569.82万元，增长106.24%，主要原因是：本年增加棉花目标价格补贴资金项目、伽师县卧里托格拉克镇乌吐拉阔什库勒（3）村渠道建设项目、伽师甜菜种植补助项目、伽师县卧里托格拉克镇销尔介乃克（18）村2023年村级组织活动场所建设项目、伽师县林果提质增效项目、伽师瓜种植补助、伽师县公益性岗位补助项目、伽师县林果修剪项目、伽师县特色产业配套基础设施建设项目（以工代赈）、伽师县卧里托格拉克镇产业发展基础设施配套项目、伽师县2023年示范村建设项目、伽师县林果提质增效项目、伽师县卧里托格拉克镇龙口（16）村乡村产业路建设项目、伽师县卧里托格拉克镇乌堂（20）村产业配套项目、伽师县林果种植以奖代补项目、伽师县乡村规划项目、伽师县314国道建设拆迁补偿款项目、卧里托格拉克镇2023年乡村振兴就业创业基地拆迁补偿项目等。</w:t>
      </w:r>
      <w:r>
        <w:rPr>
          <w:rFonts w:ascii="仿宋_GB2312" w:hAnsi="仿宋_GB2312" w:eastAsia="仿宋_GB2312"/>
          <w:b/>
          <w:sz w:val="32"/>
        </w:rPr>
        <w:t>与年初预算相比,</w:t>
      </w:r>
      <w:r>
        <w:rPr>
          <w:rFonts w:ascii="仿宋_GB2312" w:hAnsi="仿宋_GB2312" w:eastAsia="仿宋_GB2312"/>
          <w:b w:val="0"/>
          <w:sz w:val="32"/>
        </w:rPr>
        <w:t>年初预算数2,739.93万元，决算数8,871.16万元，预决算差异率223.77%，主要原因是：年中追加棉花目标价格补贴资金项目、伽师县卧里托格拉克镇乌吐拉阔什库勒（3）村渠道建设项目、伽师甜菜种植补助项目、伽师县卧里托格拉克镇销尔介乃克（18）村2023年村级组织活动场所建设项目、伽师县林果提质增效项目、伽师瓜种植补助、伽师县公益性岗位补助项目、伽师县林果修剪项目、伽师县特色产业配套基础设施建设项目（以工代赈）、伽师县卧里托格拉克镇产业发展基础设施配套项目、伽师县2023年示范村建设项目、伽师县林果提质增效项目、伽师县卧里托格拉克镇龙口（16）村乡村产业路建设项目、伽师县卧里托格拉克镇乌堂（20）村产业配套项目、伽师县林果种植以奖代补项目、伽师县乡村规划项目、伽师县314国道建设拆迁补偿款项目、卧里托格拉克镇2023年乡村振兴就业创业基地拆迁补偿项目等，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1.一般公共服务支出(类)1,963.32万元,占22.13%。</w:t>
      </w:r>
    </w:p>
    <w:p>
      <w:pPr>
        <w:spacing w:line="580" w:lineRule="exact"/>
        <w:ind w:firstLine="640"/>
        <w:jc w:val="both"/>
      </w:pPr>
      <w:r>
        <w:rPr>
          <w:rFonts w:ascii="仿宋_GB2312" w:hAnsi="仿宋_GB2312" w:eastAsia="仿宋_GB2312"/>
          <w:b w:val="0"/>
          <w:sz w:val="32"/>
        </w:rPr>
        <w:t>2.社会保障和就业支出(类)268.05万元,占3.02%。</w:t>
      </w:r>
    </w:p>
    <w:p>
      <w:pPr>
        <w:spacing w:line="580" w:lineRule="exact"/>
        <w:ind w:firstLine="640"/>
        <w:jc w:val="both"/>
      </w:pPr>
      <w:r>
        <w:rPr>
          <w:rFonts w:ascii="仿宋_GB2312" w:hAnsi="仿宋_GB2312" w:eastAsia="仿宋_GB2312"/>
          <w:b w:val="0"/>
          <w:sz w:val="32"/>
        </w:rPr>
        <w:t>3.卫生健康支出(类)112.13万元,占1.26%。</w:t>
      </w:r>
    </w:p>
    <w:p>
      <w:pPr>
        <w:spacing w:line="580" w:lineRule="exact"/>
        <w:ind w:firstLine="640"/>
        <w:jc w:val="both"/>
      </w:pPr>
      <w:r>
        <w:rPr>
          <w:rFonts w:ascii="仿宋_GB2312" w:hAnsi="仿宋_GB2312" w:eastAsia="仿宋_GB2312"/>
          <w:b w:val="0"/>
          <w:sz w:val="32"/>
        </w:rPr>
        <w:t>4.节能环保支出(类)9.87万元,占0.11%。</w:t>
      </w:r>
    </w:p>
    <w:p>
      <w:pPr>
        <w:spacing w:line="580" w:lineRule="exact"/>
        <w:ind w:firstLine="640"/>
        <w:jc w:val="both"/>
      </w:pPr>
      <w:r>
        <w:rPr>
          <w:rFonts w:ascii="仿宋_GB2312" w:hAnsi="仿宋_GB2312" w:eastAsia="仿宋_GB2312"/>
          <w:b w:val="0"/>
          <w:sz w:val="32"/>
        </w:rPr>
        <w:t>5.城乡社区支出(类)237.00万元,占2.67%。</w:t>
      </w:r>
    </w:p>
    <w:p>
      <w:pPr>
        <w:spacing w:line="580" w:lineRule="exact"/>
        <w:ind w:firstLine="640"/>
        <w:jc w:val="both"/>
      </w:pPr>
      <w:r>
        <w:rPr>
          <w:rFonts w:ascii="仿宋_GB2312" w:hAnsi="仿宋_GB2312" w:eastAsia="仿宋_GB2312"/>
          <w:b w:val="0"/>
          <w:sz w:val="32"/>
        </w:rPr>
        <w:t>6.农林水支出(类)6,101.26万元,占68.78%。</w:t>
      </w:r>
    </w:p>
    <w:p>
      <w:pPr>
        <w:spacing w:line="580" w:lineRule="exact"/>
        <w:ind w:firstLine="640"/>
        <w:jc w:val="both"/>
      </w:pPr>
      <w:r>
        <w:rPr>
          <w:rFonts w:ascii="仿宋_GB2312" w:hAnsi="仿宋_GB2312" w:eastAsia="仿宋_GB2312"/>
          <w:b w:val="0"/>
          <w:sz w:val="32"/>
        </w:rPr>
        <w:t>7.住房保障支出(类)179.52万元,占2.02%。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1.一般公共服务支出(类)政府办公厅（室）及相关机构事务(款)行政运行(项):支出决算数为1,793.12万元，比上年决算减少273.74万元，下降13.24%,主要原因是：本年在职人员减少，相应人员经费较上年减少。</w:t>
      </w:r>
    </w:p>
    <w:p>
      <w:pPr>
        <w:spacing w:line="580" w:lineRule="exact"/>
        <w:ind w:firstLine="640"/>
        <w:jc w:val="both"/>
      </w:pPr>
      <w:r>
        <w:rPr>
          <w:rFonts w:ascii="仿宋_GB2312" w:hAnsi="仿宋_GB2312" w:eastAsia="仿宋_GB2312"/>
          <w:b w:val="0"/>
          <w:sz w:val="32"/>
        </w:rPr>
        <w:t>2.一般公共服务支出(类)政府办公厅（室）及相关机构事务(款)一般行政管理事务(项):支出决算数为170.20万元，比上年决算增加142.14万元，增长506.56%,主要原因是：本年增加2024年乡村运转经费项目、卧里托格拉克镇美丽乡村建设项目、卧里托格拉克镇9村村级阵地基础设施维修改造项目、卧里托格拉克镇托库勒（9）村院落标准化维护建设项目。</w:t>
      </w:r>
    </w:p>
    <w:p>
      <w:pPr>
        <w:spacing w:line="580" w:lineRule="exact"/>
        <w:ind w:firstLine="640"/>
        <w:jc w:val="both"/>
      </w:pPr>
      <w:r>
        <w:rPr>
          <w:rFonts w:ascii="仿宋_GB2312" w:hAnsi="仿宋_GB2312" w:eastAsia="仿宋_GB2312"/>
          <w:b w:val="0"/>
          <w:sz w:val="32"/>
        </w:rPr>
        <w:t>3.一般公共服务支出(类)政府办公厅（室）及相关机构事务(款)其他政府办公厅（室）及相关机构事务支出(项):支出决算数为0.00万元，比上年决算减少105.00万元，下降100.00%,主要原因是：本年减少伽师县委组织部2023年村级运转经费项目、交易市场地上附着物赔偿项目等项目。</w:t>
      </w:r>
    </w:p>
    <w:p>
      <w:pPr>
        <w:spacing w:line="580" w:lineRule="exact"/>
        <w:ind w:firstLine="640"/>
        <w:jc w:val="both"/>
      </w:pPr>
      <w:r>
        <w:rPr>
          <w:rFonts w:ascii="仿宋_GB2312" w:hAnsi="仿宋_GB2312" w:eastAsia="仿宋_GB2312"/>
          <w:b w:val="0"/>
          <w:sz w:val="32"/>
        </w:rPr>
        <w:t>4.一般公共服务支出(类)其他一般公共服务支出(款)其他一般公共服务支出(项):支出决算数为0.00万元，比上年决算减少5.00万元，下降100.00%,主要原因是：本年减少伽师县2023年民族团结交流活动项目、伽师县2023年特色产业培育项目。</w:t>
      </w:r>
    </w:p>
    <w:p>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5.社会保障和就业支出(类)行政事业单位养老支出(款)行政单位离退休(项):支出决算数为23.00万元，比上年决算增加4.67万元，增长25.48%,主要原因是：本年退休人员增加，退休费支出增加。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213.67万元，比上年决算减少1.30万元，下降0.60%,主要原因是：本年在职人员减少，单位基本养老保险缴费较上年减少。</w:t>
      </w:r>
    </w:p>
    <w:p>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7.社会保障和就业支出(类)行政事业单位养老支出(款)机关事业单位职业年金缴费支出(项):支出决算数为15.98万元，比上年决算增加4.67万元，增长41.29%,主要原因是：本年新增退休人员，职业年金缴费支出增加。</w:t>
      </w:r>
    </w:p>
    <w:p>
      <w:pPr>
        <w:spacing w:line="580" w:lineRule="exact"/>
        <w:ind w:firstLine="640"/>
        <w:jc w:val="both"/>
      </w:pPr>
      <w:r>
        <w:rPr>
          <w:rFonts w:ascii="仿宋_GB2312" w:hAnsi="仿宋_GB2312" w:eastAsia="仿宋_GB2312"/>
          <w:b w:val="0"/>
          <w:sz w:val="32"/>
        </w:rPr>
        <w:t>8.社会保障和就业支出(类)其他生活救助(款)其他农村生活救助(项):支出决算数为15.40万元，比上年决算增加15.40万元，增长100.00%,主要原因是：本年新增2024年救助慰问金项目。</w:t>
      </w:r>
    </w:p>
    <w:p>
      <w:pPr>
        <w:spacing w:line="580" w:lineRule="exact"/>
        <w:ind w:firstLine="640"/>
        <w:jc w:val="both"/>
      </w:pPr>
      <w:r>
        <w:rPr>
          <w:rFonts w:ascii="仿宋_GB2312" w:hAnsi="仿宋_GB2312" w:eastAsia="仿宋_GB2312"/>
          <w:b w:val="0"/>
          <w:sz w:val="32"/>
        </w:rPr>
        <w:t>9.卫生健康支出(类)行政事业单位医疗(款)行政单位医疗(项):支出决算数为90.81万元，比上年决算减少0.55万元，下降0.60%,主要原因是：本年在职人员减少，行政单位医疗支出较上年减少。</w:t>
      </w:r>
    </w:p>
    <w:p>
      <w:pPr>
        <w:spacing w:line="580" w:lineRule="exact"/>
        <w:ind w:firstLine="640"/>
        <w:jc w:val="both"/>
      </w:pPr>
      <w:r>
        <w:rPr>
          <w:rFonts w:ascii="仿宋_GB2312" w:hAnsi="仿宋_GB2312" w:eastAsia="仿宋_GB2312"/>
          <w:b w:val="0"/>
          <w:sz w:val="32"/>
        </w:rPr>
        <w:t>10.卫生健康支出(类)行政事业单位医疗(款)公务员医疗补助(项):支出决算数为21.32万元，比上年决算减少0.47万元，下降2.16%,主要原因是：本年在职人员减少，公务员医疗补助较上年减少。</w:t>
      </w:r>
    </w:p>
    <w:p>
      <w:pPr>
        <w:spacing w:line="580" w:lineRule="exact"/>
        <w:ind w:firstLine="640"/>
        <w:jc w:val="both"/>
      </w:pPr>
      <w:r>
        <w:rPr>
          <w:rFonts w:ascii="仿宋_GB2312" w:hAnsi="仿宋_GB2312" w:eastAsia="仿宋_GB2312"/>
          <w:b w:val="0"/>
          <w:sz w:val="32"/>
        </w:rPr>
        <w:t>11.节能环保支出(类)森林保护修复(款)其他森林保护修复支出(项):支出决算数为9.87万元，比上年决算增加9.87万元，增长100.00%,主要原因是：本年新增伽师县卧里托格拉克镇2024年植被恢复费项目、伽师县卧里托格拉克镇森林植被恢复费项目、2024年农村公益事业水土保持补偿费项目。</w:t>
      </w:r>
    </w:p>
    <w:p>
      <w:pPr>
        <w:spacing w:line="580" w:lineRule="exact"/>
        <w:ind w:firstLine="640"/>
        <w:jc w:val="both"/>
      </w:pPr>
      <w:r>
        <w:rPr>
          <w:rFonts w:ascii="仿宋_GB2312" w:hAnsi="仿宋_GB2312" w:eastAsia="仿宋_GB2312"/>
          <w:b w:val="0"/>
          <w:sz w:val="32"/>
        </w:rPr>
        <w:t>12.城乡社区支出(类)城乡社区管理事务(款)其他城乡社区管理事务支出(项):支出决算数为237.00万元，比上年决算增加237.00万元，增长100.00%,主要原因是：本年新增伽师县314国道建设拆迁补偿款项目、卧里托格拉克镇2023年乡村振兴就业创业基地拆迁补偿项目。</w:t>
      </w:r>
    </w:p>
    <w:p>
      <w:pPr>
        <w:spacing w:line="580" w:lineRule="exact"/>
        <w:ind w:firstLine="640"/>
        <w:jc w:val="both"/>
      </w:pPr>
      <w:r>
        <w:rPr>
          <w:rFonts w:ascii="仿宋_GB2312" w:hAnsi="仿宋_GB2312" w:eastAsia="仿宋_GB2312"/>
          <w:b w:val="0"/>
          <w:sz w:val="32"/>
        </w:rPr>
        <w:t>13.农林水支出(类)巩固脱贫攻坚成果衔接乡村振兴(款)生产发展(项):支出决算数为2,102.35万元，比上年决算增加925.36万元，增长78.62%,主要原因是：本年新增伽师县卧里托格拉克镇乌吐拉阔什库勒（3）村渠道建设项目、伽师甜菜种植补助项目、伽师县卧里托格拉克镇销尔介乃克（18）村2023年村级组织活动场所建设项目、伽师县林果提质增效项目、伽师瓜种植补助、伽师县公益性岗位补助项目、伽师县林果修剪项目、伽师县特色产业配套基础设施建设项目（以工代赈）、伽师县卧里托格拉克镇产业发展基础设施配套项目、伽师县2023年示范村建设项目、伽师县林果提质增效项目、伽师县卧里托格拉克镇龙口（16）村乡村产业路建设项目、伽师县卧里托格拉克镇乌堂（20）村产业配套项目、伽师县林果种植以奖代补项目、伽师县乡村规划项目。</w:t>
      </w:r>
    </w:p>
    <w:p>
      <w:pPr>
        <w:spacing w:line="580" w:lineRule="exact"/>
        <w:ind w:firstLine="640"/>
        <w:jc w:val="both"/>
      </w:pPr>
      <w:r>
        <w:rPr>
          <w:rFonts w:ascii="仿宋_GB2312" w:hAnsi="仿宋_GB2312" w:eastAsia="仿宋_GB2312"/>
          <w:b w:val="0"/>
          <w:sz w:val="32"/>
        </w:rPr>
        <w:t>14.农林水支出(类)农村综合改革(款)对村级公益事业建设的补助(项):支出决算数为167.34万元，比上年决算增加167.34万元，增长100.00%,主要原因是：本年新增伽师县2024年农村公益事业建设项目。</w:t>
      </w:r>
    </w:p>
    <w:p>
      <w:pPr>
        <w:spacing w:line="580" w:lineRule="exact"/>
        <w:ind w:firstLine="640"/>
        <w:jc w:val="both"/>
      </w:pPr>
      <w:r>
        <w:rPr>
          <w:rFonts w:ascii="仿宋_GB2312" w:hAnsi="仿宋_GB2312" w:eastAsia="仿宋_GB2312"/>
          <w:b w:val="0"/>
          <w:sz w:val="32"/>
        </w:rPr>
        <w:t>15.农林水支出(类)目标价格补贴(款)棉花目标价格补贴(项):支出决算数为3,831.57万元，比上年决算增加3,831.57万元，增长100.00%,主要原因是：本年新增棉花目标价格补贴资金项目。</w:t>
      </w:r>
    </w:p>
    <w:p>
      <w:pPr>
        <w:spacing w:line="580" w:lineRule="exact"/>
        <w:ind w:firstLine="640"/>
        <w:jc w:val="both"/>
      </w:pPr>
      <w:r>
        <w:rPr>
          <w:rFonts w:ascii="仿宋_GB2312" w:hAnsi="仿宋_GB2312" w:eastAsia="仿宋_GB2312"/>
          <w:b w:val="0"/>
          <w:sz w:val="32"/>
        </w:rPr>
        <w:t>16.农林水支出(类)其他农林水支出(款)其他农林水支出(项):支出决算数为0.00万元，比上年决算减少195.05万元，下降100.00%,主要原因是：本年减少伽师县卧里托格拉克镇2022年伽师瓜特色产业发展配套基础设施以工代赈试点示范工程。</w:t>
      </w:r>
    </w:p>
    <w:p>
      <w:pPr>
        <w:spacing w:line="580" w:lineRule="exact"/>
        <w:ind w:firstLine="640"/>
        <w:jc w:val="both"/>
      </w:pPr>
      <w:r>
        <w:rPr>
          <w:rFonts w:ascii="仿宋_GB2312" w:hAnsi="仿宋_GB2312" w:eastAsia="仿宋_GB2312"/>
          <w:b w:val="0"/>
          <w:sz w:val="32"/>
        </w:rPr>
        <w:t>17.住房保障支出(类)住房改革支出(款)住房公积金(项):支出决算数为179.52万元，比上年决算减少1.60万元，下降0.88%,主要原因是：本年在职人员减少，住房公积金缴费较上年减少。</w:t>
      </w:r>
    </w:p>
    <w:p>
      <w:pPr>
        <w:spacing w:line="580" w:lineRule="exact"/>
        <w:ind w:firstLine="640"/>
        <w:jc w:val="both"/>
      </w:pPr>
      <w:r>
        <w:rPr>
          <w:rFonts w:ascii="仿宋_GB2312" w:hAnsi="仿宋_GB2312" w:eastAsia="仿宋_GB2312"/>
          <w:b w:val="0"/>
          <w:sz w:val="32"/>
        </w:rPr>
        <w:t>18.其他支出(类)其他支出(款)其他支出(项):支出决算数为0.00万元，比上年决算减少185.48万元，下降100.00%,主要原因是：本年减少喀什地区伽师县卧里托格拉克镇龙口村和帕尔其托格勒克村拆旧区土地复垦项目、防控补助资金项目等项目。</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2024年度一般公共预算财政拨款基本支出2,337.42万元，其中：</w:t>
      </w:r>
      <w:r>
        <w:rPr>
          <w:rFonts w:ascii="仿宋_GB2312" w:hAnsi="仿宋_GB2312" w:eastAsia="仿宋_GB2312"/>
          <w:b/>
          <w:sz w:val="32"/>
        </w:rPr>
        <w:t>人员经费2,264.94万元，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包括：基本工资、津贴补贴、奖金、机关事业单位基本养老保险缴费、职业年金缴费、职工基本医疗保险缴费、公务员医疗补助缴费、其他社会保障缴费、住房公积金、退休费、生活补助。</w:t>
      </w:r>
    </w:p>
    <w:p>
      <w:pPr>
        <w:spacing w:line="580" w:lineRule="exact"/>
        <w:ind w:firstLine="640"/>
        <w:jc w:val="both"/>
      </w:pPr>
      <w:r>
        <w:rPr>
          <w:rFonts w:ascii="仿宋_GB2312" w:hAnsi="仿宋_GB2312" w:eastAsia="仿宋_GB2312"/>
          <w:b/>
          <w:sz w:val="32"/>
        </w:rPr>
        <w:t>公用经费72.48万元，</w:t>
      </w:r>
      <w:r>
        <w:rPr>
          <w:rFonts w:ascii="仿宋_GB2312" w:hAnsi="仿宋_GB2312" w:eastAsia="仿宋_GB2312"/>
          <w:b w:val="0"/>
          <w:sz w:val="32"/>
        </w:rPr>
        <w:t>包括：办公费、水费、电费、邮电费、维修（护）费、公务接待费、劳务费、公务用车运行维护费、其他商品和服务支出。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37.43万元，下降100.00%，主要原因是：本年减少伽师县卧里托格拉克镇托格拉勒克（33）村农田水利防渗渠建设项目、伽师县卧里托格拉克镇2023年水土保持补偿费项目、卧里托格拉克镇2021年示范村建设水土保持补偿费项目。</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年初预算数0.00万元，决算数0.00万元，预决算差异率0.00%，主要原因是：本年未安排政府性基金预算。</w:t>
      </w:r>
    </w:p>
    <w:p>
      <w:pPr>
        <w:spacing w:line="580" w:lineRule="exact"/>
        <w:ind w:firstLine="640"/>
        <w:jc w:val="both"/>
      </w:pPr>
      <w:r>
        <w:rPr>
          <w:rFonts w:ascii="仿宋_GB2312" w:hAnsi="仿宋_GB2312" w:eastAsia="仿宋_GB2312"/>
          <w:b w:val="0"/>
          <w:sz w:val="32"/>
        </w:rPr>
        <w:t>政府性基金预算财政拨款支出0.00万元。</w:t>
      </w:r>
    </w:p>
    <w:p>
      <w:pPr>
        <w:spacing w:line="580" w:lineRule="exact"/>
        <w:ind w:firstLine="640"/>
        <w:jc w:val="both"/>
      </w:pPr>
      <w:r>
        <w:rPr>
          <w:rFonts w:ascii="仿宋_GB2312" w:hAnsi="仿宋_GB2312" w:eastAsia="仿宋_GB2312"/>
          <w:b w:val="0"/>
          <w:sz w:val="32"/>
        </w:rPr>
        <w:t>1.社会保障和就业支出(类)大中型水库移民后期扶持基金支出(款)基础设施建设和经济发展(项):支出决算数为0.00万元，比上年决算减少27.06万元，下降100.00%,主要原因是：本年减少伽师县卧里托格拉克镇托格拉勒克（33）村农田水利防渗渠建设项目。</w:t>
      </w:r>
    </w:p>
    <w:p>
      <w:pPr>
        <w:spacing w:line="580" w:lineRule="exact"/>
        <w:ind w:firstLine="640"/>
        <w:jc w:val="both"/>
      </w:pPr>
      <w:r>
        <w:rPr>
          <w:rFonts w:ascii="仿宋_GB2312" w:hAnsi="仿宋_GB2312" w:eastAsia="仿宋_GB2312"/>
          <w:b w:val="0"/>
          <w:sz w:val="32"/>
        </w:rPr>
        <w:t>2.城乡社区支出(类)国有土地使用权出让收入安排的支出(款)征地和拆迁补偿支出(项):支出决算数为0.00万元，比上年决算减少10.37万元，下降100.00%,主要原因是：本年减少伽师县卧里托格拉克镇2023年水土保持补偿费项目、卧里托格拉克镇2021年示范村建设水土保持补偿费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sz w:val="32"/>
        </w:rPr>
        <w:t>2024年度国有资本经营预算财政拨款收入总计0.18万元，</w:t>
      </w:r>
      <w:r>
        <w:rPr>
          <w:rFonts w:ascii="仿宋_GB2312" w:hAnsi="仿宋_GB2312" w:eastAsia="仿宋_GB2312"/>
          <w:b w:val="0"/>
          <w:sz w:val="32"/>
        </w:rPr>
        <w:t>其中：年初结转和结余0.00万元，本年收入0.18万元。</w:t>
      </w:r>
      <w:r>
        <w:rPr>
          <w:rFonts w:ascii="仿宋_GB2312" w:hAnsi="仿宋_GB2312" w:eastAsia="仿宋_GB2312"/>
          <w:b/>
          <w:sz w:val="32"/>
        </w:rPr>
        <w:t>国有资本经营预算财政拨款支出总计0.18万元，</w:t>
      </w:r>
      <w:r>
        <w:rPr>
          <w:rFonts w:ascii="仿宋_GB2312" w:hAnsi="仿宋_GB2312" w:eastAsia="仿宋_GB2312"/>
          <w:b w:val="0"/>
          <w:sz w:val="32"/>
        </w:rPr>
        <w:t>其中：年末结转和结余0.00万元，本年支出0.18万元。</w:t>
      </w:r>
    </w:p>
    <w:p>
      <w:pPr>
        <w:spacing w:line="580" w:lineRule="exact"/>
        <w:ind w:firstLine="640"/>
        <w:jc w:val="both"/>
      </w:pPr>
      <w:r>
        <w:rPr>
          <w:rFonts w:ascii="仿宋_GB2312" w:hAnsi="仿宋_GB2312" w:eastAsia="仿宋_GB2312"/>
          <w:b/>
          <w:sz w:val="32"/>
        </w:rPr>
        <w:t>国有资本经营预算财政拨款收入支出与上年相比，</w:t>
      </w:r>
      <w:r>
        <w:rPr>
          <w:rFonts w:ascii="仿宋_GB2312" w:hAnsi="仿宋_GB2312" w:eastAsia="仿宋_GB2312"/>
          <w:b w:val="0"/>
          <w:sz w:val="32"/>
        </w:rPr>
        <w:t>增加0.00万元，增长0.00%，主要原因是：本单位国有企业退休人员社会化服务项目经费与上年一致无变化。</w:t>
      </w:r>
      <w:r>
        <w:rPr>
          <w:rFonts w:ascii="仿宋_GB2312" w:hAnsi="仿宋_GB2312" w:eastAsia="仿宋_GB2312"/>
          <w:b/>
          <w:sz w:val="32"/>
        </w:rPr>
        <w:t>与年初预算相比，</w:t>
      </w:r>
      <w:r>
        <w:rPr>
          <w:rFonts w:ascii="仿宋_GB2312" w:hAnsi="仿宋_GB2312" w:eastAsia="仿宋_GB2312"/>
          <w:b w:val="0"/>
          <w:sz w:val="32"/>
        </w:rPr>
        <w:t>年初预算数0.18万元，决算数0.18万元，预决算差异率0.00%，主要原因是：严格按照预算执行，预决算无差异。</w:t>
      </w:r>
    </w:p>
    <w:p>
      <w:pPr>
        <w:spacing w:line="580" w:lineRule="exact"/>
        <w:ind w:firstLine="640"/>
        <w:jc w:val="both"/>
      </w:pPr>
      <w:r>
        <w:rPr>
          <w:rFonts w:ascii="仿宋_GB2312" w:hAnsi="仿宋_GB2312" w:eastAsia="仿宋_GB2312"/>
          <w:sz w:val="32"/>
        </w:rPr>
        <w:t>国有资本经营预算财政拨款支出0.18万元。</w:t>
      </w:r>
    </w:p>
    <w:p>
      <w:pPr>
        <w:spacing w:line="580" w:lineRule="exact"/>
        <w:ind w:firstLine="640"/>
        <w:jc w:val="both"/>
      </w:pPr>
      <w:r>
        <w:rPr>
          <w:rFonts w:ascii="仿宋_GB2312" w:hAnsi="仿宋_GB2312" w:eastAsia="仿宋_GB2312"/>
          <w:b w:val="0"/>
          <w:sz w:val="32"/>
        </w:rPr>
        <w:t>1.国有资本经营预算支出(类)解决历史遗留问题及改革成本支出(款)国有企业退休人员社会化管理补助支出(项):支出决算数为0.18万元，比上年决算增加0.00万元，增长0.00%,主要原因是：本单位国有企业退休人员社会化服务项目经费与上年一致无变化。</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2024年度财政拨款“三公”经费支出7.77万元，</w:t>
      </w:r>
      <w:r>
        <w:rPr>
          <w:rFonts w:ascii="仿宋_GB2312" w:hAnsi="仿宋_GB2312" w:eastAsia="仿宋_GB2312"/>
          <w:b w:val="0"/>
          <w:sz w:val="32"/>
        </w:rPr>
        <w:t>比上年增加0.13万元，增长1.70%，主要原因是：本年度</w:t>
      </w:r>
      <w:r>
        <w:rPr>
          <w:rFonts w:hint="eastAsia" w:ascii="仿宋_GB2312" w:hAnsi="仿宋_GB2312" w:eastAsia="仿宋_GB2312"/>
          <w:b w:val="0"/>
          <w:sz w:val="32"/>
          <w:lang w:val="en-US" w:eastAsia="zh-CN"/>
        </w:rPr>
        <w:t>公务</w:t>
      </w:r>
      <w:r>
        <w:rPr>
          <w:rFonts w:ascii="仿宋_GB2312" w:hAnsi="仿宋_GB2312" w:eastAsia="仿宋_GB2312"/>
          <w:b w:val="0"/>
          <w:sz w:val="32"/>
        </w:rPr>
        <w:t>接待人次较上年增加，导致公务接待费较上年增加。其中：因公出国（境）费支出0.00万元，占0.00%，比上年增加0.00万元，增长0.00%，主要原因是：2023年与2024年均未安排因公出国（境）费支出。公务用车购置及运行维护费支出6.30万元，占81.08%，比上年增加0.00万元，增长0.00%，主要原因是：本单位公务用车运行维护费与上年一致无变化。公务接待费支出1.47万元，占18.92%，比上年增加0.13万元，增长9.70%，主要原因是：本年度</w:t>
      </w:r>
      <w:r>
        <w:rPr>
          <w:rFonts w:hint="eastAsia" w:ascii="仿宋_GB2312" w:hAnsi="仿宋_GB2312" w:eastAsia="仿宋_GB2312"/>
          <w:b w:val="0"/>
          <w:sz w:val="32"/>
          <w:lang w:val="en-US" w:eastAsia="zh-CN"/>
        </w:rPr>
        <w:t>公务</w:t>
      </w:r>
      <w:r>
        <w:rPr>
          <w:rFonts w:ascii="仿宋_GB2312" w:hAnsi="仿宋_GB2312" w:eastAsia="仿宋_GB2312"/>
          <w:b w:val="0"/>
          <w:sz w:val="32"/>
        </w:rPr>
        <w:t>接待人次较上年增加，导致公务接待费较上年增加。</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6.30万元，其中：公务用车购置费0.00万元，公务用车运行维护费6.30万元。公务用车运行维护费开支内容包括车辆加油费、维修费、保险费。公务用车购置数0辆，公务用车保有量22辆。国有资产占用情况中固定资产车辆22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公务接待费1.47万元，开支内容包括接待自治区、地区各类调研组前来检查指导工作产生的就餐费。单位全年安排的国内公务接待28批次，260人次。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7.77万元，决算数7.77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6.30万元，决算数6.30万元，预决算差异率0.00%，主要原因是：严格按照预算执行，预决算无差异。公务接待费全年预算数1.47万元，决算数1.47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卧里托格拉克镇人民政府（行政单位和参照公务员法管理事业单位）机关运行经费支出72.48万元，比上年增加28.36万元，增长64.28%，主要原因是：本年更新、维护补充办公用品，增加办公经费，导致机关运行经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2024年度政府采购支出总额805.53万元，其中：政府采购货物支出70.92万元、政府采购工程支出722.68万元、政府采购服务支出11.93万元。</w:t>
      </w:r>
    </w:p>
    <w:p>
      <w:pPr>
        <w:spacing w:line="580" w:lineRule="exact"/>
        <w:ind w:firstLine="640"/>
        <w:jc w:val="both"/>
      </w:pPr>
      <w:r>
        <w:rPr>
          <w:rFonts w:ascii="仿宋_GB2312" w:hAnsi="仿宋_GB2312" w:eastAsia="仿宋_GB2312"/>
          <w:b w:val="0"/>
          <w:sz w:val="32"/>
        </w:rPr>
        <w:t>授予中小企业合同金额800.83万元，占政府采购支出总额的99.42%，其中：授予小微企业合同金额789.76万元，占政府采购支出总额的98.04%。</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39,812.70平方米，价值3,245.34万元。车辆22辆，价值142.96万元，其中：副部（省）级及以上领导用车0辆、主要负责人用车0辆、机要通信用车0辆、应急保障用车0辆、执法执勤用车0辆、特种专业技术用车0辆、离退休干部服务用车0辆、其他用车22辆，其他用车主要是：一般公务用车和垃圾车、洒水车、林果打药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9,454.18万元，实际执行总额9,454.18万元；预算绩效评价项目5个，全年预算数365.36万元，全年执行数365.36万元。预算绩效管理取得的成效：一是成本控制情况：严格按照相关的专项资金管理办法，实行多重审批控制专项经费的支出；二是成本节约情况：项目根据实际情况做出合理预算，支出严格控制在预算范围内，本着节约成本，防止资源浪费的原则将项目成效最大化。</w:t>
      </w:r>
      <w:r>
        <w:rPr>
          <w:rFonts w:hint="eastAsia" w:ascii="仿宋_GB2312" w:hAnsi="仿宋_GB2312" w:eastAsia="仿宋_GB2312"/>
          <w:b w:val="0"/>
          <w:sz w:val="32"/>
          <w:lang w:eastAsia="zh-CN"/>
        </w:rPr>
        <w:t>本单位</w:t>
      </w:r>
      <w:r>
        <w:rPr>
          <w:rFonts w:ascii="仿宋_GB2312" w:hAnsi="仿宋_GB2312" w:eastAsia="仿宋_GB2312"/>
          <w:b w:val="0"/>
          <w:sz w:val="32"/>
        </w:rPr>
        <w:t>在项目实施过程中，无相关成本节约情况；三是项目实施紧扣各个环节，逐步推进，及时与职能部门跟踪项目进展，加强项目督办，充分调动职能部门的积极性，加大项目投入工作的力度，加快项目实施进度；四是项目完成质量：项目严格按照年度预期目标执行，项目完成质量达标；五是预期目标完成程度：按预定目标完成了年初所设定的各项指标。发现的问题及原因：一是项目绩效目标设置、绩效管理理念有待加强。绩效工作中，负责单位绩效人员不能很好把握绩效指标设定，对绩效指标设定值不够精确。同时指出绩效管理工作还存在绩效目标申报不够全面，绩效指标量化不够，绩效评价手段和方法有待优化，绩效自评组织实施还不够规范等问题。部分业务人员绩效管理意识有待增强，未能全面深入认识理解绩效管理工作的意义。绩效管理经验不足，预算绩效管理工作有待进一步落实；二是项目制度管理机制方面有待加强。项目的管理规范性，使制度真正地起到规范流程、实现效益的工具。绩效指标的明确性、可衡量性、相关性还需进一步提升。预算精细化管理还需完善，预算编制管理水平仍有进一步提升的空间；三是项目绩效目标设置、绩效分析有待加强。绩效工作中，负责单位绩效人员不能很好把握，较为专业的绩效指标。绩效管理工作还存在绩效目标分析不够全面，绩效指标量化不够，绩效评价手段和方法有待优化，绩效自评组织实施还不够明确等问题。下一步改进措施：一是提高对绩效工作的重视，加大绩效工作宣传力度，强化绩效理念；二是完善绩效指标，提高整体绩效目标质量；三是提升预算精细化管理水平。具体附整体支出绩效自评表，项目支出绩效自评表和评价报告。</w:t>
      </w:r>
    </w:p>
    <w:p>
      <w:r>
        <w:br w:type="page"/>
      </w:r>
    </w:p>
    <w:tbl>
      <w:tblPr>
        <w:tblStyle w:val="9"/>
        <w:tblW w:w="8847" w:type="dxa"/>
        <w:tblInd w:w="0" w:type="dxa"/>
        <w:tblLayout w:type="fixed"/>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Layout w:type="fixed"/>
        </w:tblPrEx>
        <w:tc>
          <w:tcPr>
            <w:tcW w:w="8847" w:type="dxa"/>
            <w:gridSpan w:val="9"/>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伽师县卧里托格拉克镇人民政府</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2,740.11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9,454.18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9,454.18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141.36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6,111.44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6,111.44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2,598.75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2,807.34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2,807.34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535.40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535.40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卧里托格拉克镇将坚持以习近平新时代中国特色社会主义思想为指导，认真贯彻新时代党的治疆方略，按照自治区党委决策部署和地委、县委工作要求，以“实”字当头、“敢”字为先，咬定目标、埋头苦干，确保全镇各项工作稳步推进，扎实做好全年工作一是聚焦聚力乡村振兴，多管齐下保证粮食安全，高标准完成冬小麦管理及玉米种植计划；二是突出抓好富余劳动力、高等学校毕业生、退役军人、困难群体就业，有序组织转移输出就业，确保人人能就业、月月有收入；三是持续开展“煤改电”建设，完成煤改电 629 户，将困难户救助方式由“扶贫煤”变为“扶贫电”，加大宣传教育力度，鼓励引导居民使用电采暖，着力改善各族群众生活条件，降低生活成本。四是坚持伽师瓜等特色产业谋篇布局，依托新疆果业农产品交易中心（伽师）果品批发市场，提升果品加工转化和带动林果产业发展能力；五是持续加快项目建设完成村组道路、防渗渠等基础设施建设。</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一是高标准完成4.1万亩小麦、5万亩玉米种植面积计划，实现小麦、玉米、棉花等良种种植全覆盖，粮食生产连年丰收</w:t>
            </w:r>
            <w:bookmarkStart w:id="0" w:name="_GoBack"/>
            <w:bookmarkEnd w:id="0"/>
            <w:r>
              <w:rPr>
                <w:rFonts w:ascii="宋体" w:hAnsi="宋体" w:eastAsia="宋体"/>
                <w:sz w:val="16"/>
              </w:rPr>
              <w:t>，群众的“粮袋子”越来越鼓；二是特色产业布局成效初显，种植6万亩伽师瓜，围绕“一村一品”的发展思路，加快特色林果业基地建设，完成3.4万亩伽师梅填平补齐、嫁接修剪、水肥管理、病虫害防治等工作。三是持续开展人居环境整治，做好院内院外“六件事”，整体提升村容村貌；支持发展庭院蔬菜种植，提升本地蔬菜市场供应能力，进一步增加农民收入。四是加大对15个卫星工厂扶持力度，确保全部达产达效，利用伽师瓜交易市场大力开发临时性（短期季节性）就业岗位，促进多渠道灵活就业。五是依托镇党校、农牧民实训基地，常态化分批、分期开展村“五个一”培训15场次，培养致富能手29名、农民技术员87名，为经济高质量发展提供人才支撑。六是扎实推进2024年1个地区级示范村（10村）建设，认真谋划2025年地区级示范村，集中力量打造出彰显产业特色、淳朴乡风、美丽宜居的村庄。坚持“早谋划、早实施、早见效”，坚持把精准实施衔接项目作为巩固拓展脱贫攻坚成果，推动与乡村振兴有效衔接的有效抓手。2024年共实施9个衔接资金项目共计2038.132万元。七是申请援疆资金300万元，重点实施了卧里托格拉克镇龙口（16）村乡村产业道路建设项目，修建道路4.3公里，广东企业积极参与援疆为我镇中小学生捐赠校服1000套，为广大群众捐赠有机肥10吨，群众生产生活条件明显改善。</w:t>
            </w:r>
          </w:p>
        </w:tc>
      </w:tr>
      <w:tr>
        <w:tblPrEx>
          <w:tblLayout w:type="fixed"/>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种植冬小麦及玉米面积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&gt;=5.20万亩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卧里托格拉克镇2024年工作计划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建设村组道路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&gt;=26.85公里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卧里托格拉克镇2024年工作计划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26.85公里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修建防渗渠</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&gt;=65.14公里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卧里托格拉克镇2024年工作计划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65.14公里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“煤改电”建设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&gt;=629户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卧里托格拉克镇2024年工作计划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629户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种植伽师瓜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卧里托格拉克镇2024年工作计划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bl>
    <w:p>
      <w:r>
        <w:br w:type="page"/>
      </w:r>
    </w:p>
    <w:tbl>
      <w:tblPr>
        <w:tblStyle w:val="9"/>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2024年农村公益事业水土保持补偿费项目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伽师县卧里托格拉克镇人民政府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伽师县卧里托格拉克镇人民政府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伽师县卧里托格拉克镇森林植被恢复费项目，下达资金4.8951万元，用于缴纳卧里托格拉克镇2024年农村公益事业水土保持补偿费，通过实施本项目可完善项目执行程序，有效保障项目区域生态环境。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此项目预算资金4.8951万元，主要用于支付卧里托格拉克镇2024年农村公益事业水土保持补偿费，项目的实施，完善项目执行程序，保障项目区域生态环境。</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涉及项目个数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项目支付合规率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支付水土保持补偿费成本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&lt;=4.89万元/笔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=4.89万元/笔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改善自然环境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项目区受益群众满意度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12" w:type="dxa"/>
        <w:tblInd w:w="0" w:type="dxa"/>
        <w:tblLayout w:type="fixed"/>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伽师县314国道建设拆迁补偿款项目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伽师县卧里托格拉克镇人民政府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伽师县卧里托格拉克镇人民政府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伽师县314国道建设拆迁补偿款项目，该项目下达资金17万元，主要用于支付项目区1户居民的拆迁赔偿款，从而提高群众获得感及幸福感，提升政府执政能力。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该项目下达资金17万元，支付项目区1户居民的拆迁赔偿款，提高群众获得感及幸福感，提升政府执政能力，改善基础设施，有效促进乡村振兴。</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涉及拆迁户数（户）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2024年6月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=2024年6月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支付拆迁补偿金额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&lt;=17万元/户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改善基础设施，促进乡村振兴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伽师县卧里托格拉克镇森林植被恢复费项目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伽师县卧里托格拉克镇人民政府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伽师县卧里托格拉克镇人民政府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伽师县卧里托格拉克镇森林植被恢复费项目，下达资金4.977万元，用于缴纳卧里托格拉克镇乌吐拉阔什库勒村渠道建设项目森林植被恢复费，通过实施本项目可完善项目执行程序，有效保障项目区域生态环境。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此项目预算金额4.98万元，缴纳卧里托格拉克镇乌吐拉阔什库勒村渠道建设项目森林植被恢复费4.977万元，本项目的实施，完善项目执行程序，有效保障项目区域生态环境。</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涉及项目个数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支付森林植被恢复费成本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成本控制率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改善自然环境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项目区受益群众满意度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伽师县卧里托格拉克镇防渗渠及食品基地建设项目（NZX）</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伽师县卧里托格拉克镇人民政府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伽师县卧里托格拉克镇人民政府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118.49</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118.49</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此项目总金额118.49万元，本项目主要用于</w:t>
            </w:r>
            <w:r>
              <w:rPr>
                <w:rFonts w:hint="eastAsia" w:ascii="宋体" w:hAnsi="宋体"/>
                <w:sz w:val="16"/>
                <w:lang w:val="en-US" w:eastAsia="zh-CN"/>
              </w:rPr>
              <w:t>解决</w:t>
            </w:r>
            <w:r>
              <w:rPr>
                <w:rFonts w:hint="eastAsia" w:ascii="宋体" w:hAnsi="宋体"/>
                <w:sz w:val="16"/>
                <w:lang w:eastAsia="zh-CN"/>
              </w:rPr>
              <w:t>本单位</w:t>
            </w:r>
            <w:r>
              <w:rPr>
                <w:rFonts w:ascii="宋体" w:hAnsi="宋体" w:eastAsia="宋体"/>
                <w:sz w:val="16"/>
              </w:rPr>
              <w:t>以前年度债务，拟债务项目数量3个，偿还以前年度工程尾款以及9村村级阵地基础设施改造，通过实施本项目贯彻落实国家债务管理政策，有效规范政府债务管理，严格控制政府债务风险，不断提升政府公信力。</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此项目总金额118.49万元，主要支付美丽乡村建设项目工程尾款20万元，支付9村院落标准化维护建设项目工程尾款10万元，支付村级阵地升级改造工程尾款88.49万元，项目实施贯彻落实国家债务管理政策，规范政府债务管理，严格控制政府债务风险，提升了政府公信力。</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拟债务项目数量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债务纠纷发案率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支付美丽乡村项目工程尾款金额</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支付阵地提升改造项目工程尾款金额</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&lt;=88.49万元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支付9村院落标准化种植项目工程尾款金额</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提升政府公信力</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偏差原因：部分受益人员认为项目实施未完全有效提高政府公信力。</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项目影响区受益群众满意度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偏差原因：项目完成情况较好，受益群众反馈情况较好。</w:t>
            </w: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30"/>
        <w:gridCol w:w="625"/>
        <w:gridCol w:w="625"/>
        <w:gridCol w:w="696"/>
        <w:gridCol w:w="776"/>
        <w:gridCol w:w="625"/>
        <w:gridCol w:w="625"/>
        <w:gridCol w:w="627"/>
        <w:gridCol w:w="625"/>
        <w:gridCol w:w="627"/>
        <w:gridCol w:w="696"/>
        <w:gridCol w:w="632"/>
        <w:gridCol w:w="618"/>
        <w:gridCol w:w="633"/>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卧里托格拉克镇2023年乡村振兴就业创业基地拆迁补偿项目</w:t>
            </w:r>
          </w:p>
        </w:tc>
      </w:tr>
      <w:tr>
        <w:tblPrEx>
          <w:tblLayout w:type="fixed"/>
          <w:tblCellMar>
            <w:top w:w="0" w:type="dxa"/>
            <w:left w:w="108" w:type="dxa"/>
            <w:bottom w:w="0" w:type="dxa"/>
            <w:right w:w="108" w:type="dxa"/>
          </w:tblCellMar>
        </w:tblPrEx>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9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伽师县卧里托格拉克镇人民政府</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0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伽师县卧里托格拉克镇人民政府</w:t>
            </w:r>
          </w:p>
        </w:tc>
      </w:tr>
      <w:tr>
        <w:tblPrEx>
          <w:tblLayout w:type="fixed"/>
          <w:tblCellMar>
            <w:top w:w="0" w:type="dxa"/>
            <w:left w:w="108" w:type="dxa"/>
            <w:bottom w:w="0" w:type="dxa"/>
            <w:right w:w="108" w:type="dxa"/>
          </w:tblCellMar>
        </w:tblPrEx>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220.00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220.00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220.00</w:t>
            </w:r>
          </w:p>
        </w:tc>
        <w:tc>
          <w:tcPr>
            <w:tcW w:w="13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220.00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220.00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220.00</w:t>
            </w:r>
          </w:p>
        </w:tc>
        <w:tc>
          <w:tcPr>
            <w:tcW w:w="13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9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3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9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此项目预算金额220万元，主要用于支付拆迁补偿款215.08万元，支付评估费4.92万元，通过实施本项目,有效提高项目执行力，不断提升政府决策执行力，改善基础设施，促进乡村振兴。</w:t>
            </w:r>
          </w:p>
        </w:tc>
        <w:tc>
          <w:tcPr>
            <w:tcW w:w="383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此项目下达预算金额220万元，支付14户拆迁补偿款215.08万元，支付1家评估公司评估费4.92万元，通过实施本项目,有效提高项目执行力，不断提升政府决策执行力，改善基础设施，促进乡村振兴。</w:t>
            </w:r>
          </w:p>
        </w:tc>
      </w:tr>
      <w:tr>
        <w:tblPrEx>
          <w:tblLayout w:type="fixed"/>
          <w:tblCellMar>
            <w:top w:w="0" w:type="dxa"/>
            <w:left w:w="108" w:type="dxa"/>
            <w:bottom w:w="0" w:type="dxa"/>
            <w:right w:w="108" w:type="dxa"/>
          </w:tblCellMar>
        </w:tblPrEx>
        <w:tc>
          <w:tcPr>
            <w:tcW w:w="630" w:type="dxa"/>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涉及拆迁户数（户）</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&gt;=14户</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涉及评估公司数（个）</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平均支付每户拆迁补偿资金（万元）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&lt;=15.36万元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支付评估费（万元）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&lt;=4.92万元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改善基础设施，促进乡村振兴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受益村民满意度（%）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受益村民满意度较高</w:t>
            </w:r>
          </w:p>
        </w:tc>
      </w:tr>
      <w:tr>
        <w:tblPrEx>
          <w:tblLayout w:type="fixed"/>
          <w:tblCellMar>
            <w:top w:w="0" w:type="dxa"/>
            <w:left w:w="108" w:type="dxa"/>
            <w:bottom w:w="0" w:type="dxa"/>
            <w:right w:w="108" w:type="dxa"/>
          </w:tblCellMar>
        </w:tblPrEx>
        <w:tc>
          <w:tcPr>
            <w:tcW w:w="460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48"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A990C83"/>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D400CA4"/>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68047A"/>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C4665D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9590</Words>
  <Characters>10818</Characters>
  <Lines>0</Lines>
  <Paragraphs>0</Paragraphs>
  <TotalTime>16</TotalTime>
  <ScaleCrop>false</ScaleCrop>
  <LinksUpToDate>false</LinksUpToDate>
  <CharactersWithSpaces>10826</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ZFB</cp:lastModifiedBy>
  <cp:lastPrinted>2024-07-22T11:58:00Z</cp:lastPrinted>
  <dcterms:modified xsi:type="dcterms:W3CDTF">2025-10-21T11:09:18Z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