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伽师县夏普吐勒镇人民政府</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(一)贯彻执行党的路线、方针、政策和国家的法律法规落实上级党委、政府决策部署和县委、县政府相关工作安排，执行本级人民代表大会决议，在履行职责过程中坚持和加强党的集中统一领导。</w:t>
      </w:r>
    </w:p>
    <w:p>
      <w:pPr>
        <w:spacing w:line="580" w:lineRule="exact"/>
        <w:ind w:firstLine="640"/>
        <w:jc w:val="both"/>
      </w:pPr>
      <w:r>
        <w:rPr>
          <w:rFonts w:ascii="仿宋_GB2312" w:hAnsi="仿宋_GB2312" w:eastAsia="仿宋_GB2312"/>
          <w:sz w:val="32"/>
        </w:rPr>
        <w:t>(二)根据自治区党委、地委相关决策部署和县委相关工作安排，讨论和决定本行政区域内</w:t>
      </w:r>
      <w:r>
        <w:rPr>
          <w:rFonts w:hint="eastAsia" w:ascii="仿宋_GB2312" w:hAnsi="仿宋_GB2312" w:eastAsia="仿宋_GB2312"/>
          <w:sz w:val="32"/>
          <w:lang w:eastAsia="zh-CN"/>
        </w:rPr>
        <w:t>经济建设、政治建设、文化建设、社会建设和生态文明建设</w:t>
      </w:r>
      <w:r>
        <w:rPr>
          <w:rFonts w:ascii="仿宋_GB2312" w:hAnsi="仿宋_GB2312" w:eastAsia="仿宋_GB2312"/>
          <w:sz w:val="32"/>
        </w:rPr>
        <w:t>和党的建设以及乡村振兴中的重大问题。</w:t>
      </w:r>
    </w:p>
    <w:p>
      <w:pPr>
        <w:spacing w:line="580" w:lineRule="exact"/>
        <w:ind w:firstLine="640"/>
        <w:jc w:val="both"/>
      </w:pPr>
      <w:r>
        <w:rPr>
          <w:rFonts w:ascii="仿宋_GB2312" w:hAnsi="仿宋_GB2312" w:eastAsia="仿宋_GB2312"/>
          <w:sz w:val="32"/>
        </w:rPr>
        <w:t>(三)落实基层党建工作责任制，负责党风廉政建设、宣传意识形态、精神文明等工作</w:t>
      </w:r>
      <w:r>
        <w:rPr>
          <w:rFonts w:hint="eastAsia" w:ascii="仿宋_GB2312" w:hAnsi="仿宋_GB2312" w:eastAsia="仿宋_GB2312"/>
          <w:sz w:val="32"/>
          <w:lang w:eastAsia="zh-CN"/>
        </w:rPr>
        <w:t>；</w:t>
      </w:r>
      <w:r>
        <w:rPr>
          <w:rFonts w:ascii="仿宋_GB2312" w:hAnsi="仿宋_GB2312" w:eastAsia="仿宋_GB2312"/>
          <w:sz w:val="32"/>
        </w:rPr>
        <w:t>负责做好辖区各类社会组织的党建工作和发展党员工作，协调、指导辖区社会单位党组织和党员积极参加政治文化生活</w:t>
      </w:r>
      <w:r>
        <w:rPr>
          <w:rFonts w:hint="eastAsia" w:ascii="仿宋_GB2312" w:hAnsi="仿宋_GB2312" w:eastAsia="仿宋_GB2312"/>
          <w:sz w:val="32"/>
          <w:lang w:eastAsia="zh-CN"/>
        </w:rPr>
        <w:t>；</w:t>
      </w:r>
      <w:r>
        <w:rPr>
          <w:rFonts w:ascii="仿宋_GB2312" w:hAnsi="仿宋_GB2312" w:eastAsia="仿宋_GB2312"/>
          <w:sz w:val="32"/>
        </w:rPr>
        <w:t>负责做好党的社会工作</w:t>
      </w:r>
      <w:r>
        <w:rPr>
          <w:rFonts w:hint="eastAsia" w:ascii="仿宋_GB2312" w:hAnsi="仿宋_GB2312" w:eastAsia="仿宋_GB2312"/>
          <w:sz w:val="32"/>
          <w:lang w:eastAsia="zh-CN"/>
        </w:rPr>
        <w:t>；</w:t>
      </w:r>
      <w:r>
        <w:rPr>
          <w:rFonts w:ascii="仿宋_GB2312" w:hAnsi="仿宋_GB2312" w:eastAsia="仿宋_GB2312"/>
          <w:sz w:val="32"/>
        </w:rPr>
        <w:t>负责做好</w:t>
      </w:r>
      <w:r>
        <w:rPr>
          <w:rFonts w:hint="eastAsia" w:ascii="仿宋_GB2312" w:hAnsi="仿宋_GB2312" w:eastAsia="仿宋_GB2312"/>
          <w:sz w:val="32"/>
          <w:lang w:eastAsia="zh-CN"/>
        </w:rPr>
        <w:t>人大、政协</w:t>
      </w:r>
      <w:r>
        <w:rPr>
          <w:rFonts w:ascii="仿宋_GB2312" w:hAnsi="仿宋_GB2312" w:eastAsia="仿宋_GB2312"/>
          <w:sz w:val="32"/>
        </w:rPr>
        <w:t>等事务工作</w:t>
      </w:r>
      <w:r>
        <w:rPr>
          <w:rFonts w:hint="eastAsia" w:ascii="仿宋_GB2312" w:hAnsi="仿宋_GB2312" w:eastAsia="仿宋_GB2312"/>
          <w:sz w:val="32"/>
          <w:lang w:eastAsia="zh-CN"/>
        </w:rPr>
        <w:t>；</w:t>
      </w:r>
      <w:r>
        <w:rPr>
          <w:rFonts w:ascii="仿宋_GB2312" w:hAnsi="仿宋_GB2312" w:eastAsia="仿宋_GB2312"/>
          <w:sz w:val="32"/>
        </w:rPr>
        <w:t>依法指导和规范管辖范围内的群团组织等其他各类组织。</w:t>
      </w:r>
    </w:p>
    <w:p>
      <w:pPr>
        <w:spacing w:line="580" w:lineRule="exact"/>
        <w:ind w:firstLine="640"/>
        <w:jc w:val="both"/>
      </w:pPr>
      <w:r>
        <w:rPr>
          <w:rFonts w:ascii="仿宋_GB2312" w:hAnsi="仿宋_GB2312" w:eastAsia="仿宋_GB2312"/>
          <w:sz w:val="32"/>
        </w:rPr>
        <w:t>(四)负责社会治安、综合治理、扫黑除恶等工作。落实社会矛盾纠纷排查调处机制，实施社会治安综合治理，依法严厉打击黑恶势力、宗族恶势力、极端势力、“村霸”，严防其侵蚀</w:t>
      </w:r>
      <w:r>
        <w:rPr>
          <w:rFonts w:hint="eastAsia" w:ascii="仿宋_GB2312" w:hAnsi="仿宋_GB2312" w:eastAsia="仿宋_GB2312"/>
          <w:sz w:val="32"/>
          <w:lang w:eastAsia="zh-CN"/>
        </w:rPr>
        <w:t>基层干部</w:t>
      </w:r>
      <w:r>
        <w:rPr>
          <w:rFonts w:ascii="仿宋_GB2312" w:hAnsi="仿宋_GB2312" w:eastAsia="仿宋_GB2312"/>
          <w:sz w:val="32"/>
        </w:rPr>
        <w:t>和基层政权。</w:t>
      </w:r>
    </w:p>
    <w:p>
      <w:pPr>
        <w:spacing w:line="580" w:lineRule="exact"/>
        <w:ind w:firstLine="640"/>
        <w:jc w:val="both"/>
      </w:pPr>
      <w:r>
        <w:rPr>
          <w:rFonts w:ascii="仿宋_GB2312" w:hAnsi="仿宋_GB2312" w:eastAsia="仿宋_GB2312"/>
          <w:sz w:val="32"/>
        </w:rPr>
        <w:t>(五)根据相关规定，负责组织实施与群众生活密切相关的各项公共服务，负责做好民政、社会保障、教育体育、科技文化卫生健康、劳动就业、拥军优属、助残、统计等方面工作。以“最多跑一次”改革为引导，强化基层便民服务。</w:t>
      </w:r>
    </w:p>
    <w:p>
      <w:pPr>
        <w:spacing w:line="580" w:lineRule="exact"/>
        <w:ind w:firstLine="640"/>
        <w:jc w:val="both"/>
      </w:pPr>
      <w:r>
        <w:rPr>
          <w:rFonts w:ascii="仿宋_GB2312" w:hAnsi="仿宋_GB2312" w:eastAsia="仿宋_GB2312"/>
          <w:sz w:val="32"/>
        </w:rPr>
        <w:t>(六)负责做好统一战线、民族</w:t>
      </w:r>
      <w:r>
        <w:rPr>
          <w:rFonts w:hint="eastAsia" w:ascii="仿宋_GB2312" w:hAnsi="仿宋_GB2312" w:eastAsia="仿宋_GB2312"/>
          <w:sz w:val="32"/>
          <w:lang w:val="en-US" w:eastAsia="zh-CN"/>
        </w:rPr>
        <w:t>ZJ</w:t>
      </w:r>
      <w:r>
        <w:rPr>
          <w:rFonts w:ascii="仿宋_GB2312" w:hAnsi="仿宋_GB2312" w:eastAsia="仿宋_GB2312"/>
          <w:sz w:val="32"/>
        </w:rPr>
        <w:t>等工作</w:t>
      </w:r>
      <w:r>
        <w:rPr>
          <w:rFonts w:hint="eastAsia" w:ascii="仿宋_GB2312" w:hAnsi="仿宋_GB2312" w:eastAsia="仿宋_GB2312"/>
          <w:sz w:val="32"/>
          <w:lang w:eastAsia="zh-CN"/>
        </w:rPr>
        <w:t>；</w:t>
      </w:r>
      <w:r>
        <w:rPr>
          <w:rFonts w:ascii="仿宋_GB2312" w:hAnsi="仿宋_GB2312" w:eastAsia="仿宋_GB2312"/>
          <w:sz w:val="32"/>
        </w:rPr>
        <w:t>管理好活动场所，依法制止利用</w:t>
      </w:r>
      <w:r>
        <w:rPr>
          <w:rFonts w:hint="eastAsia" w:ascii="仿宋_GB2312" w:hAnsi="仿宋_GB2312" w:eastAsia="仿宋_GB2312"/>
          <w:sz w:val="32"/>
          <w:lang w:val="en-US" w:eastAsia="zh-CN"/>
        </w:rPr>
        <w:t>ZJ</w:t>
      </w:r>
      <w:r>
        <w:rPr>
          <w:rFonts w:ascii="仿宋_GB2312" w:hAnsi="仿宋_GB2312" w:eastAsia="仿宋_GB2312"/>
          <w:sz w:val="32"/>
        </w:rPr>
        <w:t>干涉基层公共事务的行为，坚决抵御非法</w:t>
      </w:r>
      <w:r>
        <w:rPr>
          <w:rFonts w:hint="eastAsia" w:ascii="仿宋_GB2312" w:hAnsi="仿宋_GB2312" w:eastAsia="仿宋_GB2312"/>
          <w:sz w:val="32"/>
          <w:lang w:val="en-US" w:eastAsia="zh-CN"/>
        </w:rPr>
        <w:t>ZJ</w:t>
      </w:r>
      <w:r>
        <w:rPr>
          <w:rFonts w:ascii="仿宋_GB2312" w:hAnsi="仿宋_GB2312" w:eastAsia="仿宋_GB2312"/>
          <w:sz w:val="32"/>
        </w:rPr>
        <w:t>活动和境外渗透活动。</w:t>
      </w:r>
    </w:p>
    <w:p>
      <w:pPr>
        <w:spacing w:line="580" w:lineRule="exact"/>
        <w:ind w:firstLine="640"/>
        <w:jc w:val="both"/>
      </w:pPr>
      <w:r>
        <w:rPr>
          <w:rFonts w:ascii="仿宋_GB2312" w:hAnsi="仿宋_GB2312" w:eastAsia="仿宋_GB2312"/>
          <w:sz w:val="32"/>
        </w:rPr>
        <w:t>(七)负责乡村振兴战略有关政策措施的贯彻落实</w:t>
      </w:r>
      <w:r>
        <w:rPr>
          <w:rFonts w:hint="eastAsia" w:ascii="仿宋_GB2312" w:hAnsi="仿宋_GB2312" w:eastAsia="仿宋_GB2312"/>
          <w:sz w:val="32"/>
          <w:lang w:eastAsia="zh-CN"/>
        </w:rPr>
        <w:t>；</w:t>
      </w:r>
      <w:r>
        <w:rPr>
          <w:rFonts w:ascii="仿宋_GB2312" w:hAnsi="仿宋_GB2312" w:eastAsia="仿宋_GB2312"/>
          <w:sz w:val="32"/>
        </w:rPr>
        <w:t>负责产业规划发展、美丽乡村建设、生态环境、人居环境整治等工作。</w:t>
      </w:r>
    </w:p>
    <w:p>
      <w:pPr>
        <w:spacing w:line="580" w:lineRule="exact"/>
        <w:ind w:firstLine="640"/>
        <w:jc w:val="both"/>
      </w:pPr>
      <w:r>
        <w:rPr>
          <w:rFonts w:ascii="仿宋_GB2312" w:hAnsi="仿宋_GB2312" w:eastAsia="仿宋_GB2312"/>
          <w:sz w:val="32"/>
        </w:rPr>
        <w:t>(八)根据行业主管部门相关规定，协助做好农畜产品质量安全、农牧业机械维护和管理等工作</w:t>
      </w:r>
      <w:r>
        <w:rPr>
          <w:rFonts w:hint="eastAsia" w:ascii="仿宋_GB2312" w:hAnsi="仿宋_GB2312" w:eastAsia="仿宋_GB2312"/>
          <w:sz w:val="32"/>
          <w:lang w:eastAsia="zh-CN"/>
        </w:rPr>
        <w:t>；</w:t>
      </w:r>
      <w:r>
        <w:rPr>
          <w:rFonts w:ascii="仿宋_GB2312" w:hAnsi="仿宋_GB2312" w:eastAsia="仿宋_GB2312"/>
          <w:sz w:val="32"/>
        </w:rPr>
        <w:t>负责加强动物防疫和重大</w:t>
      </w:r>
      <w:r>
        <w:rPr>
          <w:rFonts w:hint="eastAsia" w:ascii="仿宋_GB2312" w:hAnsi="仿宋_GB2312" w:eastAsia="仿宋_GB2312"/>
          <w:sz w:val="32"/>
          <w:lang w:val="en-US" w:eastAsia="zh-CN"/>
        </w:rPr>
        <w:t>动物YQ</w:t>
      </w:r>
      <w:r>
        <w:rPr>
          <w:rFonts w:ascii="仿宋_GB2312" w:hAnsi="仿宋_GB2312" w:eastAsia="仿宋_GB2312"/>
          <w:sz w:val="32"/>
        </w:rPr>
        <w:t>的监控工作，落实动物防疫责任制和疫病的分级管理</w:t>
      </w:r>
      <w:r>
        <w:rPr>
          <w:rFonts w:hint="eastAsia" w:ascii="仿宋_GB2312" w:hAnsi="仿宋_GB2312" w:eastAsia="仿宋_GB2312"/>
          <w:sz w:val="32"/>
          <w:lang w:eastAsia="zh-CN"/>
        </w:rPr>
        <w:t>制度；</w:t>
      </w:r>
      <w:r>
        <w:rPr>
          <w:rFonts w:ascii="仿宋_GB2312" w:hAnsi="仿宋_GB2312" w:eastAsia="仿宋_GB2312"/>
          <w:sz w:val="32"/>
        </w:rPr>
        <w:t>加强草原保护建设和利用情况的监督及草原防火、草畜平衡、退牧还草、基本草牧场、基本农田、农地保护管理工作</w:t>
      </w:r>
      <w:r>
        <w:rPr>
          <w:rFonts w:hint="eastAsia" w:ascii="仿宋_GB2312" w:hAnsi="仿宋_GB2312" w:eastAsia="仿宋_GB2312"/>
          <w:sz w:val="32"/>
          <w:lang w:eastAsia="zh-CN"/>
        </w:rPr>
        <w:t>；</w:t>
      </w:r>
      <w:r>
        <w:rPr>
          <w:rFonts w:ascii="仿宋_GB2312" w:hAnsi="仿宋_GB2312" w:eastAsia="仿宋_GB2312"/>
          <w:sz w:val="32"/>
        </w:rPr>
        <w:t>加强辖区内林业管理</w:t>
      </w:r>
      <w:r>
        <w:rPr>
          <w:rFonts w:hint="eastAsia" w:ascii="仿宋_GB2312" w:hAnsi="仿宋_GB2312" w:eastAsia="仿宋_GB2312"/>
          <w:sz w:val="32"/>
          <w:lang w:eastAsia="zh-CN"/>
        </w:rPr>
        <w:t>；</w:t>
      </w:r>
      <w:r>
        <w:rPr>
          <w:rFonts w:ascii="仿宋_GB2312" w:hAnsi="仿宋_GB2312" w:eastAsia="仿宋_GB2312"/>
          <w:sz w:val="32"/>
        </w:rPr>
        <w:t>加强农田水利设施建设，改善人畜饮用水条件，开展水土保持宣传教育，普及水土保持科学知识，防止水土流失。</w:t>
      </w:r>
    </w:p>
    <w:p>
      <w:pPr>
        <w:spacing w:line="580" w:lineRule="exact"/>
        <w:ind w:firstLine="640"/>
        <w:jc w:val="both"/>
      </w:pPr>
      <w:r>
        <w:rPr>
          <w:rFonts w:ascii="仿宋_GB2312" w:hAnsi="仿宋_GB2312" w:eastAsia="仿宋_GB2312"/>
          <w:sz w:val="32"/>
        </w:rPr>
        <w:t>(九)负责辖区公共安全及安全生产监管，构建公共安全防控体系，建立应对突发紧急事件的处理预案，做好安全生产、防汛、防火、防疫等灾害防御及食品药品安全等应急管理工作。</w:t>
      </w:r>
    </w:p>
    <w:p>
      <w:pPr>
        <w:spacing w:line="580" w:lineRule="exact"/>
        <w:ind w:firstLine="640"/>
        <w:jc w:val="both"/>
      </w:pPr>
      <w:r>
        <w:rPr>
          <w:rFonts w:ascii="仿宋_GB2312" w:hAnsi="仿宋_GB2312" w:eastAsia="仿宋_GB2312"/>
          <w:sz w:val="32"/>
        </w:rPr>
        <w:t>(十)负责综合协调辖区内镇容镇貌、环境卫生、小区物业公共设施管理等工作。</w:t>
      </w:r>
    </w:p>
    <w:p>
      <w:pPr>
        <w:spacing w:line="580" w:lineRule="exact"/>
        <w:ind w:firstLine="640"/>
        <w:jc w:val="both"/>
      </w:pPr>
      <w:r>
        <w:rPr>
          <w:rFonts w:ascii="仿宋_GB2312" w:hAnsi="仿宋_GB2312" w:eastAsia="仿宋_GB2312"/>
          <w:sz w:val="32"/>
        </w:rPr>
        <w:t>(十一)负责推进法治政府建设和网格化服务管理工作</w:t>
      </w:r>
      <w:r>
        <w:rPr>
          <w:rFonts w:hint="eastAsia" w:ascii="仿宋_GB2312" w:hAnsi="仿宋_GB2312" w:eastAsia="仿宋_GB2312"/>
          <w:sz w:val="32"/>
          <w:lang w:eastAsia="zh-CN"/>
        </w:rPr>
        <w:t>；</w:t>
      </w:r>
      <w:r>
        <w:rPr>
          <w:rFonts w:ascii="仿宋_GB2312" w:hAnsi="仿宋_GB2312" w:eastAsia="仿宋_GB2312"/>
          <w:sz w:val="32"/>
        </w:rPr>
        <w:t>负责做好维护老年人、妇女、未成年人和残疾人的合法权益，保障适龄儿童、少年接受义务教育等工作。</w:t>
      </w:r>
    </w:p>
    <w:p>
      <w:pPr>
        <w:spacing w:line="580" w:lineRule="exact"/>
        <w:ind w:firstLine="640"/>
        <w:jc w:val="both"/>
      </w:pPr>
      <w:r>
        <w:rPr>
          <w:rFonts w:ascii="仿宋_GB2312" w:hAnsi="仿宋_GB2312" w:eastAsia="仿宋_GB2312"/>
          <w:sz w:val="32"/>
        </w:rPr>
        <w:t>(十二)根据自治区党委、政府赋予乡镇行政权力事项清单与县相关执法队伍和部门协调配合行使行政许可、行政确认、行政处罚等相关权力。</w:t>
      </w:r>
    </w:p>
    <w:p>
      <w:pPr>
        <w:spacing w:line="580" w:lineRule="exact"/>
        <w:ind w:firstLine="640"/>
        <w:jc w:val="both"/>
      </w:pPr>
      <w:r>
        <w:rPr>
          <w:rFonts w:ascii="仿宋_GB2312" w:hAnsi="仿宋_GB2312" w:eastAsia="仿宋_GB2312"/>
          <w:sz w:val="32"/>
        </w:rPr>
        <w:t>(十三)负责本辖区社会领域、生态环境领域、党的建设领域等重大风险的防范、排查、化解，保密机要、意识形态、信访等工作。</w:t>
      </w:r>
    </w:p>
    <w:p>
      <w:pPr>
        <w:spacing w:line="580" w:lineRule="exact"/>
        <w:ind w:firstLine="640"/>
        <w:jc w:val="both"/>
      </w:pPr>
      <w:r>
        <w:rPr>
          <w:rFonts w:ascii="仿宋_GB2312" w:hAnsi="仿宋_GB2312" w:eastAsia="仿宋_GB2312"/>
          <w:sz w:val="32"/>
        </w:rPr>
        <w:t>(十四)完成县委、县政府交办的其他工作。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伽师县夏普吐勒镇人民政府2024年度，实有人数176人，其中：在职人员144人，减少1人；离休人员0人，增加0人；退休人员32人,增加1人。</w:t>
      </w:r>
    </w:p>
    <w:p>
      <w:pPr>
        <w:spacing w:line="580" w:lineRule="exact"/>
        <w:ind w:firstLine="640"/>
        <w:jc w:val="both"/>
      </w:pPr>
      <w:r>
        <w:rPr>
          <w:rFonts w:ascii="仿宋_GB2312" w:hAnsi="仿宋_GB2312" w:eastAsia="仿宋_GB2312"/>
          <w:sz w:val="32"/>
        </w:rPr>
        <w:t>伽师县夏普吐勒镇人民政府无下属预算单位，下设10个科室，分别是：党政综合办公室、党建工作办公室、经济发展和财政办公室、社会事务办公室（退役军人服务站）、综合执法办公室、农业发展服务中心、公共文化服务中心、村镇建设发展中心、综治和网格化服务中心、便民服务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2024年度收入总计8,951.19万元，</w:t>
      </w:r>
      <w:r>
        <w:rPr>
          <w:rFonts w:ascii="仿宋_GB2312" w:hAnsi="仿宋_GB2312" w:eastAsia="仿宋_GB2312"/>
          <w:b w:val="0"/>
          <w:sz w:val="32"/>
        </w:rPr>
        <w:t>其中：本年收入合计8,951.19万元，使用非财政拨款结余（含专用结余）0.00万元，年初结转和结余0.00万元。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2024年度支出总计8,951.19万元，</w:t>
      </w:r>
      <w:r>
        <w:rPr>
          <w:rFonts w:ascii="仿宋_GB2312" w:hAnsi="仿宋_GB2312" w:eastAsia="仿宋_GB2312"/>
          <w:b w:val="0"/>
          <w:sz w:val="32"/>
        </w:rPr>
        <w:t>其中：本年支出合计8,951.19万元，结余分配0.00万元，年末结转和结余0.00万元。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4,575.68万元，增长104.57%，主要原因是：本年增加2024年乡村运转经费项目、伽师县人才发展服务保障及“五个好”党支部示范点创建项目、伽师县2023年铸牢中华民族共同体意识暨民族团结进步创建工作项目、伽师县人才发展服务保障及“五个好”党支部示范点创建项目、伽师县夏普吐勒镇党群服务中心运转经费项目、伽师县夏普吐勒镇援疆干部所在单位及结对乡镇工作支持项目、2024年体系建设及信息化项目、伽师县基层保密示范点建设及党政加密视频会议设备换装项目、伽师县2023年度夏普吐勒镇乡村振兴项目、2024年救助慰问金项目、伽师县夏普吐勒镇2024年水土保持补偿费项目、伽师县林果提质增效项目、伽师县甜菜种植补助项目、伽师县夏普吐勒镇乡村道路2024年中央财政以工代赈项目、伽师县2023年示范村建设项目、伽师县夏普吐勒镇央艾日克（23）村产业配套项目、伽师县林果种植以奖代补项目、伽师县林果提质增效项目、伽师县夏普吐勒镇央艾日克（23）村产业配套项目、伽师县夏普吐勒镇托什坎拉（17）村2024年示范村建设项目、伽师县林果修剪项目、伽师县林果提质增效项目、伽师瓜种植补助项目、伽师县公益性岗位补助项目、伽师县夏普吐勒镇巴依艾日克（13）村、恰依拉（19）村2023年道路建设项目、伽师县2023年示范村建设项目、伽师县夏普吐勒镇巴依艾日克（13）村、恰依拉（19）村2023年道路建设项目、2023年度棉花目标价格补贴资金项目、伽师县2024年国有企业退休人员社会化服务项目、伽师县2024年社会组织参与基层社会治理项目等项目，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本年收入8,951.19万元，</w:t>
      </w:r>
      <w:r>
        <w:rPr>
          <w:rFonts w:ascii="仿宋_GB2312" w:hAnsi="仿宋_GB2312" w:eastAsia="仿宋_GB2312"/>
          <w:b w:val="0"/>
          <w:sz w:val="32"/>
        </w:rPr>
        <w:t>其中：财政拨款收入8,844.84万元，占98.81%；上级补助收入0.00万元，占0.00%；事业收入0.00万元，占0.00%；经营收入0.00万元，占0.00%；附属单位上缴收入0.00万元，占0.00%；其他收入106.35万元，占1.19%。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本年支出8,951.19万元，</w:t>
      </w:r>
      <w:r>
        <w:rPr>
          <w:rFonts w:ascii="仿宋_GB2312" w:hAnsi="仿宋_GB2312" w:eastAsia="仿宋_GB2312"/>
          <w:b w:val="0"/>
          <w:sz w:val="32"/>
        </w:rPr>
        <w:t>其中：基本支出2,356.87万元，占26.33%；项目支出6,594.31万元，占73.67%；上缴上级支出0.00万元，占0.00%；经营支出0.00万元，占0.00%；对附属单位补助支出0.00万元，占0.00%。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2024年度财政拨款收入总计8,844.84万元，</w:t>
      </w:r>
      <w:r>
        <w:rPr>
          <w:rFonts w:ascii="仿宋_GB2312" w:hAnsi="仿宋_GB2312" w:eastAsia="仿宋_GB2312"/>
          <w:b w:val="0"/>
          <w:sz w:val="32"/>
        </w:rPr>
        <w:t>其中：年初财政拨款结转和结余0.00万元，本年财政拨款收入8,844.84万元。</w:t>
      </w:r>
      <w:r>
        <w:rPr>
          <w:rFonts w:ascii="仿宋_GB2312" w:hAnsi="仿宋_GB2312" w:eastAsia="仿宋_GB2312"/>
          <w:b/>
          <w:sz w:val="32"/>
        </w:rPr>
        <w:t>财政拨款支出总计8,844.84万元，</w:t>
      </w:r>
      <w:r>
        <w:rPr>
          <w:rFonts w:ascii="仿宋_GB2312" w:hAnsi="仿宋_GB2312" w:eastAsia="仿宋_GB2312"/>
          <w:b w:val="0"/>
          <w:sz w:val="32"/>
        </w:rPr>
        <w:t>其中：年末财政拨款结转和结余0.00万元，本年财政拨款支出8,844.84万元。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5,162.98万元，增长140.23%，主要原因是：本年增加2024年救助慰问金项目、伽师县夏普吐勒镇2024年水土保持补偿费项目、伽师县林果提质增效项目、伽师县甜菜种植补助项目、伽师县夏普吐勒镇乡村道路2024年中央财政以工代赈项目、伽师县2023年示范村建设项目、伽师县夏普吐勒镇央艾日克（23）村产业配套项目、伽师县林果种植以奖代补项目、伽师县林果提质增效项目、伽师县夏普吐勒镇央艾日克（23）村产业配套项目、伽师县夏普吐勒镇托什坎拉（17）村2024年示范村建设项目、伽师县林果修剪项目、伽师县林果提质增效项目、伽师瓜种植补助项目、伽师县公益性岗位补助项目、伽师县夏普吐勒镇巴依艾日克（13）村、恰依拉（19）村2023年道路建设项目、伽师县2023年示范村建设项目、伽师县夏普吐勒镇巴依艾日克（13）村、恰依拉（19）村2023年道路建设项目、2023年度棉花目标价格补贴资金项目、伽师县2024年国有企业退休人员社会化服务项目、伽师县2024年社会组织参与基层社会治理项目等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年初预算数2,459.15万元，决算数8,844.84万元，预决算差异率259.67%，主要原因是：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2024年救助慰问金项目、伽师县夏普吐勒镇2024年水土保持补偿费项目、伽师县林果提质增效项目、伽师县甜菜种植补助项目、伽师县夏普吐勒镇乡村道路2024年中央财政以工代赈项目、伽师县2023年示范村建设项目、伽师县夏普吐勒镇央艾日克（23）村产业配套项目、伽师县林果种植以奖代补项目、伽师县林果提质增效项目、伽师县夏普吐勒镇央艾日克（23）村产业配套项目、伽师县夏普吐勒镇托什坎拉（17）村2024年示范村建设项目、伽师县林果修剪项目、伽师县林果提质增效项目、伽师瓜种植补助项目、伽师县公益性岗位补助项目、伽师县夏普吐勒镇巴依艾日克（13）村、恰依拉（19）村2023年道路建设项目、伽师县2023年示范村建设项目、伽师县夏普吐勒镇巴依艾日克（13）村、恰依拉（19）村2023年道路建设项目、2023年度棉花目标价格补贴资金项目、伽师县2024年国有企业退休人员社会化服务项目、伽师县2024年社会组织参与基层社会治理项目等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2024年度一般公共预算财政拨款支出8,833.56万元，</w:t>
      </w:r>
      <w:r>
        <w:rPr>
          <w:rFonts w:ascii="仿宋_GB2312" w:hAnsi="仿宋_GB2312" w:eastAsia="仿宋_GB2312"/>
          <w:b w:val="0"/>
          <w:sz w:val="32"/>
        </w:rPr>
        <w:t>占本年支出合计的98.69%。</w:t>
      </w:r>
      <w:r>
        <w:rPr>
          <w:rFonts w:ascii="仿宋_GB2312" w:hAnsi="仿宋_GB2312" w:eastAsia="仿宋_GB2312"/>
          <w:b/>
          <w:sz w:val="32"/>
        </w:rPr>
        <w:t>与上年相比，</w:t>
      </w:r>
      <w:r>
        <w:rPr>
          <w:rFonts w:ascii="仿宋_GB2312" w:hAnsi="仿宋_GB2312" w:eastAsia="仿宋_GB2312"/>
          <w:b w:val="0"/>
          <w:sz w:val="32"/>
        </w:rPr>
        <w:t>增加5,166.99万元，增长140.92%，主要原因是：本年增加2024年救助慰问金项目、伽师县夏普吐勒镇2024年水土保持补偿费项目、伽师县林果提质增效项目、伽师县甜菜种植补助项目、伽师县夏普吐勒镇乡村道路2024年中央财政以工代赈项目、伽师县2023年示范村建设项目、伽师县夏普吐勒镇央艾日克（23）村产业配套项目、伽师县林果种植以奖代补项目、伽师县林果提质增效项目、伽师县夏普吐勒镇央艾日克（23）村产业配套项目、伽师县夏普吐勒镇托什坎拉（17）村2024年示范村建设项目、伽师县林果修剪项目、伽师县林果提质增效项目、伽师瓜种植补助项目、伽师县公益性岗位补助项目、伽师县夏普吐勒镇巴依艾日克（13）村、恰依拉（19）村2023年道路建设项目、伽师县2023年示范村建设项目、伽师县夏普吐勒镇巴依艾日克（13）村、恰依拉（19）村2023年道路建设项目、2023年度棉花目标价格补贴资金项目、伽师县2024年国有企业退休人员社会化服务项目等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年初预算数2,459.07万元，决算数8,833.56万元，预决算差异率259.22%，主要原因是：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2024年救助慰问金项目、伽师县夏普吐勒镇2024年水土保持补偿费项目、伽师县林果提质增效项目、伽师县甜菜种植补助项目、伽师县夏普吐勒镇乡村道路2024年中央财政以工代赈项目、伽师县2023年示范村建设项目、伽师县夏普吐勒镇央艾日克（23）村产业配套项目、伽师县林果种植以奖代补项目、伽师县林果提质增效项目、伽师县夏普吐勒镇央艾日克（23）村产业配套项目、伽师县夏普吐勒镇托什坎拉（17）村2024年示范村建设项目、伽师县林果修剪项目、伽师县林果提质增效项目、伽师瓜种植补助项目、伽师县公益性岗位补助项目、伽师县夏普吐勒镇巴依艾日克（13）村、恰依拉（19）村2023年道路建设项目、伽师县2023年示范村建设项目、伽师县夏普吐勒镇巴依艾日克（13）村、恰依拉（19）村2023年道路建设项目、2023年度棉花目标价格补贴资金项目、伽师县2024年国有企业退休人员社会化服务项目等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1.一般公共服务支出(类)1,867.10万元,占21.14%。</w:t>
      </w:r>
    </w:p>
    <w:p>
      <w:pPr>
        <w:spacing w:line="580" w:lineRule="exact"/>
        <w:ind w:firstLine="640"/>
        <w:jc w:val="both"/>
      </w:pPr>
      <w:r>
        <w:rPr>
          <w:rFonts w:ascii="仿宋_GB2312" w:hAnsi="仿宋_GB2312" w:eastAsia="仿宋_GB2312"/>
          <w:b w:val="0"/>
          <w:sz w:val="32"/>
        </w:rPr>
        <w:t>2.社会保障和就业支出(类)272.73万元,占3.09%。</w:t>
      </w:r>
    </w:p>
    <w:p>
      <w:pPr>
        <w:spacing w:line="580" w:lineRule="exact"/>
        <w:ind w:firstLine="640"/>
        <w:jc w:val="both"/>
      </w:pPr>
      <w:r>
        <w:rPr>
          <w:rFonts w:ascii="仿宋_GB2312" w:hAnsi="仿宋_GB2312" w:eastAsia="仿宋_GB2312"/>
          <w:b w:val="0"/>
          <w:sz w:val="32"/>
        </w:rPr>
        <w:t>3.卫生健康支出(类)112.69万元,占1.28%。</w:t>
      </w:r>
    </w:p>
    <w:p>
      <w:pPr>
        <w:spacing w:line="580" w:lineRule="exact"/>
        <w:ind w:firstLine="640"/>
        <w:jc w:val="both"/>
      </w:pPr>
      <w:r>
        <w:rPr>
          <w:rFonts w:ascii="仿宋_GB2312" w:hAnsi="仿宋_GB2312" w:eastAsia="仿宋_GB2312"/>
          <w:b w:val="0"/>
          <w:sz w:val="32"/>
        </w:rPr>
        <w:t>4.节能环保支出(类)3.60万元,占0.04%。</w:t>
      </w:r>
    </w:p>
    <w:p>
      <w:pPr>
        <w:spacing w:line="580" w:lineRule="exact"/>
        <w:ind w:firstLine="640"/>
        <w:jc w:val="both"/>
      </w:pPr>
      <w:r>
        <w:rPr>
          <w:rFonts w:ascii="仿宋_GB2312" w:hAnsi="仿宋_GB2312" w:eastAsia="仿宋_GB2312"/>
          <w:b w:val="0"/>
          <w:sz w:val="32"/>
        </w:rPr>
        <w:t>5.农林水支出(类)6,393.93万元,占72.38%。</w:t>
      </w:r>
    </w:p>
    <w:p>
      <w:pPr>
        <w:spacing w:line="580" w:lineRule="exact"/>
        <w:ind w:firstLine="640"/>
        <w:jc w:val="both"/>
      </w:pPr>
      <w:r>
        <w:rPr>
          <w:rFonts w:ascii="仿宋_GB2312" w:hAnsi="仿宋_GB2312" w:eastAsia="仿宋_GB2312"/>
          <w:b w:val="0"/>
          <w:sz w:val="32"/>
        </w:rPr>
        <w:t>6.住房保障支出(类)183.51万元,占2.08%。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1.一般公共服务支出(类)政府办公厅（室）及相关机构事务(款)行政运行(项):支出决算数为1,802.34万元，比上年决算减少57.70万元，下降3.10%,主要原因是：本年有在职人员退休，导致相关人员经费较上年有所减少。</w:t>
      </w:r>
    </w:p>
    <w:p>
      <w:pPr>
        <w:spacing w:line="580" w:lineRule="exact"/>
        <w:ind w:firstLine="640"/>
        <w:jc w:val="both"/>
      </w:pPr>
      <w:r>
        <w:rPr>
          <w:rFonts w:ascii="仿宋_GB2312" w:hAnsi="仿宋_GB2312" w:eastAsia="仿宋_GB2312"/>
          <w:b w:val="0"/>
          <w:sz w:val="32"/>
        </w:rPr>
        <w:t>2.一般公共服务支出(类)政府办公厅（室）及相关机构事务(款)一般行政管理事务(项):支出决算数为26.16万元，比上年决算减少2.03万元，下降7.20%,主要原因是：2024年减少乡镇（村）运转经费。</w:t>
      </w:r>
    </w:p>
    <w:p>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38.59万元，比上年决算减少36.41万元，下降48.55%,主要原因是：伽师县委组织部2024年村级运转经费项目资金减少。</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4.社会保障和就业支出(类)行政事业单位养老支出(款)行政单位离退休(项):支出决算数为40.14万元，比上年决算增加9.63万元，增长31.56%,主要原因是：本年退休人员增加，退休费支出增加。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218.19万元，比上年决算增加20.96万元，增长10.63%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34.29万元，下降100.00%,主要原因是：本年功能科目调整，机关事业单位职业年金缴费上年度单独列支，本年调整至主科目列支，导致经费较上年减少。</w:t>
      </w:r>
    </w:p>
    <w:p>
      <w:pPr>
        <w:spacing w:line="580" w:lineRule="exact"/>
        <w:ind w:firstLine="640"/>
        <w:jc w:val="both"/>
      </w:pPr>
      <w:r>
        <w:rPr>
          <w:rFonts w:ascii="仿宋_GB2312" w:hAnsi="仿宋_GB2312" w:eastAsia="仿宋_GB2312"/>
          <w:b w:val="0"/>
          <w:sz w:val="32"/>
        </w:rPr>
        <w:t>7.社会保障和就业支出(类)其他生活救助(款)其他农村生活救助(项):支出决算数为14.40万元，比上年决算增加14.40万元，增长100.00%,主要原因是：本年增加2024年救助慰问金项目。</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8.卫生健康支出(类)行政事业单位医疗(款)行政单位医疗(项):支出决算数为92.73万元，比上年决算增加8.83万元，增长10.52%,主要原因是：本年在职人员工资基数调增，医疗缴费基数上涨，相应支出增加。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19.96万元，比上年决算增加1.95万元，增长10.83%,主要原因是：本年在职人员工资基数调增，公务员医疗补助缴费基数上涨，相应支出增加。</w:t>
      </w:r>
    </w:p>
    <w:p>
      <w:pPr>
        <w:spacing w:line="580" w:lineRule="exact"/>
        <w:ind w:firstLine="640"/>
        <w:jc w:val="both"/>
      </w:pPr>
      <w:r>
        <w:rPr>
          <w:rFonts w:ascii="仿宋_GB2312" w:hAnsi="仿宋_GB2312" w:eastAsia="仿宋_GB2312"/>
          <w:b w:val="0"/>
          <w:sz w:val="32"/>
        </w:rPr>
        <w:t>10.节能环保支出(类)自然生态保护(款)农村环境保护(项):支出决算数为3.60万元，比上年决算增加3.60万元，增长100.00%,主要原因是：本年增加伽师县夏普吐勒镇2024年水土保持补偿费项目。</w:t>
      </w:r>
    </w:p>
    <w:p>
      <w:pPr>
        <w:spacing w:line="580" w:lineRule="exact"/>
        <w:ind w:firstLine="640"/>
        <w:jc w:val="both"/>
      </w:pPr>
      <w:r>
        <w:rPr>
          <w:rFonts w:ascii="仿宋_GB2312" w:hAnsi="仿宋_GB2312" w:eastAsia="仿宋_GB2312"/>
          <w:b w:val="0"/>
          <w:sz w:val="32"/>
        </w:rPr>
        <w:t>11.农林水支出(类)巩固脱贫攻坚成果衔接乡村振兴(款)生产发展(项):支出决算数为2,925.51万元，比上年决算增加1,811.40万元，增长162.59%,主要原因是：本年新增伽师县林果提质增效项目、伽师县甜菜种植补助项目、伽师县夏普吐勒镇乡村道路2024年中央财政以工代赈项目、伽师县2023年示范村建设项目、伽师县夏普吐勒镇央艾日克（23）村产业配套项目、伽师县林果种植以奖代补项目、伽师县林果提质增效项目、伽师县夏普吐勒镇央艾日克（23）村产业配套项目、伽师县夏普吐勒镇托什坎拉（17）村2024年示范村建设项目、伽师县林果修剪项目、伽师县林果提质增效项目、伽师瓜种植补助项目、伽师县公益性岗位补助项目、伽师县夏普吐勒镇巴依艾日克（13）村、恰依拉（19）村2023年道路建设项目、伽师县2023年示范村建设项目、伽师县夏普吐勒镇巴依艾日克（13）村、恰依拉（19）村2023年道路建设项目。</w:t>
      </w:r>
    </w:p>
    <w:p>
      <w:pPr>
        <w:spacing w:line="580" w:lineRule="exact"/>
        <w:ind w:firstLine="640"/>
        <w:jc w:val="both"/>
      </w:pPr>
      <w:r>
        <w:rPr>
          <w:rFonts w:ascii="仿宋_GB2312" w:hAnsi="仿宋_GB2312" w:eastAsia="仿宋_GB2312"/>
          <w:b w:val="0"/>
          <w:sz w:val="32"/>
        </w:rPr>
        <w:t>12.农林水支出(类)目标价格补贴(款)棉花目标价格补贴(项):支出决算数为3,468.42万元，比上年决算增加3,468.42万元，增长100.00%,主要原因是：本年新增2023年度棉花目标价格补贴资金项目。</w:t>
      </w:r>
    </w:p>
    <w:p>
      <w:pPr>
        <w:spacing w:line="580" w:lineRule="exact"/>
        <w:ind w:firstLine="640"/>
        <w:jc w:val="both"/>
      </w:pPr>
      <w:r>
        <w:rPr>
          <w:rFonts w:ascii="仿宋_GB2312" w:hAnsi="仿宋_GB2312" w:eastAsia="仿宋_GB2312"/>
          <w:b w:val="0"/>
          <w:sz w:val="32"/>
        </w:rPr>
        <w:t>13.住房保障支出(类)住房改革支出(款)住房公积金(项):支出决算数为183.51万元，比上年决算增加21.26万元，增长13.10%,主要原因是：本年在职人员工资调增，住房公积金缴费支出增加。</w:t>
      </w:r>
    </w:p>
    <w:p>
      <w:pPr>
        <w:spacing w:line="580" w:lineRule="exact"/>
        <w:ind w:firstLine="640"/>
        <w:jc w:val="both"/>
      </w:pPr>
      <w:r>
        <w:rPr>
          <w:rFonts w:ascii="仿宋_GB2312" w:hAnsi="仿宋_GB2312" w:eastAsia="仿宋_GB2312"/>
          <w:b w:val="0"/>
          <w:sz w:val="32"/>
        </w:rPr>
        <w:t>14.其他支出(类)其他支出(款)其他支出(项):支出决算数为0.00万元，比上年决算减少63.02万元，下降100.00%,主要原因是：本年减少伽师县葡萄苗购买项目。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2024年度一般公共预算财政拨款基本支出2,356.87万元，其中：</w:t>
      </w:r>
      <w:r>
        <w:rPr>
          <w:rFonts w:ascii="仿宋_GB2312" w:hAnsi="仿宋_GB2312" w:eastAsia="仿宋_GB2312"/>
          <w:b/>
          <w:sz w:val="32"/>
        </w:rPr>
        <w:t>人员经费2,289.84万元，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包括：基本工资、津贴补贴、奖金、机关事业单位基本养老保险缴费、职工基本医疗保险缴费、公务员医疗补助缴费、其他社会保障缴费、住房公积金、退休费、生活补助。</w:t>
      </w:r>
    </w:p>
    <w:p>
      <w:pPr>
        <w:spacing w:line="580" w:lineRule="exact"/>
        <w:ind w:firstLine="640"/>
        <w:jc w:val="both"/>
      </w:pPr>
      <w:r>
        <w:rPr>
          <w:rFonts w:ascii="仿宋_GB2312" w:hAnsi="仿宋_GB2312" w:eastAsia="仿宋_GB2312"/>
          <w:b/>
          <w:sz w:val="32"/>
        </w:rPr>
        <w:t>公用经费67.03万元，</w:t>
      </w:r>
      <w:r>
        <w:rPr>
          <w:rFonts w:ascii="仿宋_GB2312" w:hAnsi="仿宋_GB2312" w:eastAsia="仿宋_GB2312"/>
          <w:b w:val="0"/>
          <w:sz w:val="32"/>
        </w:rPr>
        <w:t>包括：办公费、水费、电费、邮电费、取暖费、公务接待费、劳务费、公务用车运行维护费、其他商品和服务支出。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2024年度政府性基金预算财政拨款收入总计11.20万元，</w:t>
      </w:r>
      <w:r>
        <w:rPr>
          <w:rFonts w:ascii="仿宋_GB2312" w:hAnsi="仿宋_GB2312" w:eastAsia="仿宋_GB2312"/>
          <w:b w:val="0"/>
          <w:sz w:val="32"/>
        </w:rPr>
        <w:t>其中：年初结转和结余0.00万元，本年收入11.20万元。</w:t>
      </w:r>
      <w:r>
        <w:rPr>
          <w:rFonts w:ascii="仿宋_GB2312" w:hAnsi="仿宋_GB2312" w:eastAsia="仿宋_GB2312"/>
          <w:b/>
          <w:sz w:val="32"/>
        </w:rPr>
        <w:t>政府性基金预算财政拨款支出总计11.20万元，</w:t>
      </w:r>
      <w:r>
        <w:rPr>
          <w:rFonts w:ascii="仿宋_GB2312" w:hAnsi="仿宋_GB2312" w:eastAsia="仿宋_GB2312"/>
          <w:b w:val="0"/>
          <w:sz w:val="32"/>
        </w:rPr>
        <w:t>其中：年末结转和结余0.00万元，本年支出11.20万元。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减少4.01万元，下降26.36%，主要原因是：本年减少伽师县夏普吐勒镇2023年水土保持补偿费项目。</w:t>
      </w:r>
      <w:r>
        <w:rPr>
          <w:rFonts w:ascii="仿宋_GB2312" w:hAnsi="仿宋_GB2312" w:eastAsia="仿宋_GB2312"/>
          <w:b/>
          <w:sz w:val="32"/>
        </w:rPr>
        <w:t>与年初预算相比，</w:t>
      </w:r>
      <w:r>
        <w:rPr>
          <w:rFonts w:ascii="仿宋_GB2312" w:hAnsi="仿宋_GB2312" w:eastAsia="仿宋_GB2312"/>
          <w:b w:val="0"/>
          <w:sz w:val="32"/>
        </w:rPr>
        <w:t>年初预算数0.00万元，决算数11.20万元，预决算差异率100.00%，主要原因是：年中追加伽师县2024年社会组织参与基层社会治理项目，导致预决算存在差异。</w:t>
      </w:r>
    </w:p>
    <w:p>
      <w:pPr>
        <w:spacing w:line="580" w:lineRule="exact"/>
        <w:ind w:firstLine="640"/>
        <w:jc w:val="both"/>
      </w:pPr>
      <w:r>
        <w:rPr>
          <w:rFonts w:ascii="仿宋_GB2312" w:hAnsi="仿宋_GB2312" w:eastAsia="仿宋_GB2312"/>
          <w:b w:val="0"/>
          <w:sz w:val="32"/>
        </w:rPr>
        <w:t>政府性基金预算财政拨款支出11.20万元。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15.21万元，下降100.00%,主要原因是：本年减少伽师县夏普吐勒镇2023年水土保持补偿费项目。</w:t>
      </w:r>
    </w:p>
    <w:p>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2.其他支出(类)彩票公益金安排的支出(款)用于社会福利的彩票公益金支出(项):支出决算数为11.20万元，比上年决算增加11.20万元，增长100.00%,主要原因是：本年增加伽师县2024年社会组织参与基层社会治理项目。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2024年度国有资本经营预算财政拨款收入总计0.08万元，</w:t>
      </w:r>
      <w:r>
        <w:rPr>
          <w:rFonts w:ascii="仿宋_GB2312" w:hAnsi="仿宋_GB2312" w:eastAsia="仿宋_GB2312"/>
          <w:b w:val="0"/>
          <w:sz w:val="32"/>
        </w:rPr>
        <w:t>其中：年初结转和结余0.00万元，本年收入0.08万元。</w:t>
      </w:r>
      <w:r>
        <w:rPr>
          <w:rFonts w:ascii="仿宋_GB2312" w:hAnsi="仿宋_GB2312" w:eastAsia="仿宋_GB2312"/>
          <w:b/>
          <w:sz w:val="32"/>
        </w:rPr>
        <w:t>国有资本经营预算财政拨款支出总计0.08万元，</w:t>
      </w:r>
      <w:r>
        <w:rPr>
          <w:rFonts w:ascii="仿宋_GB2312" w:hAnsi="仿宋_GB2312" w:eastAsia="仿宋_GB2312"/>
          <w:b w:val="0"/>
          <w:sz w:val="32"/>
        </w:rPr>
        <w:t>其中：年末结转和结余0.00万元，本年支出0.08万元。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增加0.00万元，增长0.00%，主要原因是：本年伽师县2024年国有企业退休人员社会化服务项目与上年一致，无变化。</w:t>
      </w:r>
      <w:r>
        <w:rPr>
          <w:rFonts w:ascii="仿宋_GB2312" w:hAnsi="仿宋_GB2312" w:eastAsia="仿宋_GB2312"/>
          <w:b/>
          <w:sz w:val="32"/>
        </w:rPr>
        <w:t>与年初预算相比，</w:t>
      </w:r>
      <w:r>
        <w:rPr>
          <w:rFonts w:ascii="仿宋_GB2312" w:hAnsi="仿宋_GB2312" w:eastAsia="仿宋_GB2312"/>
          <w:b w:val="0"/>
          <w:sz w:val="32"/>
        </w:rPr>
        <w:t>年初预算数0.08万元，决算数0.08万元，预决算差异率0.00%，主要原因是：严格按照预算执行，预决算无差异。</w:t>
      </w:r>
    </w:p>
    <w:p>
      <w:pPr>
        <w:spacing w:line="580" w:lineRule="exact"/>
        <w:ind w:firstLine="640"/>
        <w:jc w:val="both"/>
      </w:pPr>
      <w:r>
        <w:rPr>
          <w:rFonts w:ascii="仿宋_GB2312" w:hAnsi="仿宋_GB2312" w:eastAsia="仿宋_GB2312"/>
          <w:sz w:val="32"/>
        </w:rPr>
        <w:t>国有资本经营预算财政拨款支出0.08万元。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0.08万元，比上年决算增加0.00万元，增长0.00%,主要原因是：本年伽师县2024年国有企业退休人员社会化服务项目与上年一致，无变化。</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2024年度财政拨款“三公”经费支出7.64万元，</w:t>
      </w:r>
      <w:r>
        <w:rPr>
          <w:rFonts w:ascii="仿宋_GB2312" w:hAnsi="仿宋_GB2312" w:eastAsia="仿宋_GB2312"/>
          <w:b w:val="0"/>
          <w:sz w:val="32"/>
        </w:rPr>
        <w:t>比上年增加0.24万元，增长3.25%，主要原因是：本年车辆使用次数增加，车辆燃油费增加；本年接待上级检查领导次数增加，公务接待费增加。其中：因公出国（境）费支出0.00万元，占0.00%，比上年增加0.00万元，增长0.00%，主要原因是：2023年与2024年均未安排因公出国（境）费支出。公务用车购置及运行维护费支出6.30万元，占82.46%，比上年增加0.07万元，增长1.12%，主要原因是：本年车辆使用次数增加，车辆燃油费增加。公务接待费支出1.34万元，占17.54%，比上年增加0.17万元，增长14.53%，主要原因是：本年接待上级检查领导次数增加，公务接待费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6.30万元，其中：公务用车购置费0.00万元，公务用车运行维护费6.30万元。公务用车运行维护费开支内容包括车辆燃油费、维修费，保险费。公务用车购置数0辆，公务用车保有量6辆。国有资产占用情况中固定资产车辆6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公务接待费1.34万元，开支内容包括接待上级督导、调研组工作检查的就餐费。单位全年安排的国内公务接待45批次，298人次。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7.64万元，决算数7.64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6.30万元，决算数6.30万元，预决算差异率0.00%，主要原因是：严格按照预算执行，预决算无差异。公务接待费全年预算数1.34万元，决算数1.34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夏普吐勒镇人民政府（行政单位和参照公务员法管理事业单位）机关运行经费支出67.03万元，比上年增加27.94万元，增长71.48%，主要原因是：本年更新、维护补充办公用品，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2024年度政府采购支出总额356.94万元，其中：政府采购货物支出2.00万元、政府采购工程支出354.94万元、政府采购服务支出0.00万元。</w:t>
      </w:r>
    </w:p>
    <w:p>
      <w:pPr>
        <w:spacing w:line="580" w:lineRule="exact"/>
        <w:ind w:firstLine="640"/>
        <w:jc w:val="both"/>
      </w:pPr>
      <w:r>
        <w:rPr>
          <w:rFonts w:ascii="仿宋_GB2312" w:hAnsi="仿宋_GB2312" w:eastAsia="仿宋_GB2312"/>
          <w:b w:val="0"/>
          <w:sz w:val="32"/>
        </w:rPr>
        <w:t>授予中小企业合同金额356.89万元，占政府采购支出总额的99.99%，其中：授予小微企业合同金额356.89万元，占政府采购支出总额的99.99%。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12,578.99平方米，价值704.00万元。车辆6辆，价值85.19万元，其中：副部（省）级及以上领导用车0辆、主要负责人用车0辆、机要通信用车0辆、应急保障用车0辆、执法执勤用车0辆、特种专业技术用车0辆、离退休干部服务用车0辆、其他用车6辆，其他用车主要是：洒水车，打药车，排污车辆。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8,951.18万元，实际执行总额8,951.18万元；预算绩效评价项目2个，全年预算数16.86万元，全年执行数16.86万元。预算绩效管理取得的成效：一是成本控制情况：严格按照相关的专项资金管理办法，实行多重审批控制专项经费的支出。二是成本节约情况：项目根据实际情况做出合理预算，支出严格控制在预算范围内，本着节约成本，防止资源浪费的原则将项目成效最大化。</w:t>
      </w:r>
      <w:r>
        <w:rPr>
          <w:rFonts w:hint="eastAsia" w:ascii="仿宋_GB2312" w:hAnsi="仿宋_GB2312" w:eastAsia="仿宋_GB2312"/>
          <w:b w:val="0"/>
          <w:sz w:val="32"/>
          <w:lang w:eastAsia="zh-CN"/>
        </w:rPr>
        <w:t>本单位</w:t>
      </w:r>
      <w:r>
        <w:rPr>
          <w:rFonts w:ascii="仿宋_GB2312" w:hAnsi="仿宋_GB2312" w:eastAsia="仿宋_GB2312"/>
          <w:b w:val="0"/>
          <w:sz w:val="32"/>
        </w:rPr>
        <w:t>在项目实施过程中，无相关成本节约情况。三是项目实施紧扣各个环节，逐步推进，及时与职能部门跟踪项目进展，加强项目督办，充分调动职能部门的积极性，加大项目投入工作的力度，加快项目实施进度。四是项目完成质量：项目严格按照年度预期目标执行，项目完成质量达标。五是：预期目标完成程度：按预定目标完成了年初所设定的各项指标。发现的问题及原因：一是项目绩效目标设置、绩效管理理念有待加强。绩效工作中，负责单位绩效人员不能很好把握绩效指标设定，对绩效指标设定值不够精确。同时指出绩效管理工作还存在绩效目标申报不够全面，绩效指标量化不够，绩效评价手段和方法有待优化，绩效自评组织实施还不够规范等问题。部分业务人员绩效管理意识有待增强，未能全面深入认识理解绩效管理工作的意义。绩效管理经验不足，预算绩效管理工作有待进一步落实。二是项目制度管理机制方面有待加强。项目的管理规范性，使制度真正地起到规范流程、实现效益的工具。绩效指标的明确性、可衡量性、相关性还需进一步提升。预算精细化管理还需完善，预算编制管理水平仍有进一步提升的空间。三是项目绩效目标设置、绩效分析有待加强。绩效工作中，负责单位绩效人员不能很好把握，较为专业的绩效指标。绩效管理工作还存在绩效目标分析不够全面，绩效指标量化不够，绩效评价手段和方法有待优化，绩效自评组织实施还不够明确等问题。下一步改进措施：一是提高对绩效工作的重视，加大绩效工作宣传力度，强化绩效理念。二是完善绩效指标，提高整体绩效目标质量。三是提升预算精细化管理水平。具体附整体支出绩效自评表，项目支出绩效自评表和评价报告。</w:t>
      </w:r>
    </w:p>
    <w:p>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伽师县夏普吐勒镇人民政府</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2,459.15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8,951.18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8,951.18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6,405.21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6,405.21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2,399.47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2,439.62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2,439.62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2024年，夏普吐勒镇将坚持以习近平新时代中国特色社会主义思想为指导，统筹抓好安全生产和经济高质量发展，紧盯交通、消防、校园、食品、药品、卫星工厂、</w:t>
            </w:r>
            <w:r>
              <w:rPr>
                <w:rFonts w:hint="eastAsia" w:ascii="宋体" w:hAnsi="宋体"/>
                <w:sz w:val="16"/>
                <w:lang w:eastAsia="zh-CN"/>
              </w:rPr>
              <w:t>轧花厂</w:t>
            </w:r>
            <w:r>
              <w:rPr>
                <w:rFonts w:ascii="宋体" w:hAnsi="宋体" w:eastAsia="宋体"/>
                <w:sz w:val="16"/>
              </w:rPr>
              <w:t>、砖厂、防洪防汛、农机安全等薄弱环节，紧盯易发生事故的危险因素，全覆盖排查安全隐患，坚决堵塞安全生产漏洞，守住公共安全底线；坚决保障粮食安全。坚持粮食安全党政同责，持续做好小麦良种生产基地建设，加强4.5万亩小麦田间管理，确保小麦质量和产量，为国家粮食安全作贡献；调整优化经济作物结构，鼓励种植大户种植粮食作物，持续做强伽师梅主导产业，积极融入伽师瓜、伽师新梅、伽师甜菜、伽师羊、伽师建筑五大产业发展规划，持续巩固主题教育成果，用实际行动取信于民、问政于民；贯彻落实自治区党委、地委决策部署和县委工作要求，完整准确</w:t>
            </w:r>
            <w:r>
              <w:rPr>
                <w:rFonts w:hint="eastAsia" w:ascii="宋体" w:hAnsi="宋体"/>
                <w:sz w:val="16"/>
                <w:lang w:val="en-US" w:eastAsia="zh-CN"/>
              </w:rPr>
              <w:t>全面</w:t>
            </w:r>
            <w:r>
              <w:rPr>
                <w:rFonts w:ascii="宋体" w:hAnsi="宋体" w:eastAsia="宋体"/>
                <w:sz w:val="16"/>
              </w:rPr>
              <w:t>贯彻新时代党的治疆方略，牢牢扭住新疆工作总目标，牢记“三个务必”，坚定信心、保持定力，踔厉奋</w:t>
            </w:r>
            <w:r>
              <w:rPr>
                <w:rFonts w:hint="eastAsia" w:ascii="宋体" w:hAnsi="宋体"/>
                <w:sz w:val="16"/>
                <w:lang w:val="en-US" w:eastAsia="zh-CN"/>
              </w:rPr>
              <w:t>发</w:t>
            </w:r>
            <w:bookmarkStart w:id="0" w:name="_GoBack"/>
            <w:bookmarkEnd w:id="0"/>
            <w:r>
              <w:rPr>
                <w:rFonts w:ascii="宋体" w:hAnsi="宋体" w:eastAsia="宋体"/>
                <w:sz w:val="16"/>
              </w:rPr>
              <w:t>、笃行不怠，坚决确保“六个不出事”；全面推进以工代赈项目实施，推动农村中小型交通基础设施建设，新建道路6.63公里。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2024年度</w:t>
            </w:r>
            <w:r>
              <w:rPr>
                <w:rFonts w:hint="eastAsia" w:ascii="宋体" w:hAnsi="宋体"/>
                <w:sz w:val="16"/>
                <w:lang w:eastAsia="zh-CN"/>
              </w:rPr>
              <w:t>本单位</w:t>
            </w:r>
            <w:r>
              <w:rPr>
                <w:rFonts w:ascii="宋体" w:hAnsi="宋体" w:eastAsia="宋体"/>
                <w:sz w:val="16"/>
              </w:rPr>
              <w:t>按照地委、行署、自治区要求，2024年坚持粮食安全党政同责，持续做好小麦良种生产基地建设，加强4.5万亩小麦田间管理，确保小麦质量和产量，为国家粮食安全作贡献；调整优化经济作物结构，鼓励种植大户种植粮食作物，持续做强伽师梅主导产业，积极融入伽师瓜、伽师新梅、伽师甜菜、伽师羊、伽师建筑五大产业发展规划，持续巩固主题教育成果，用实际行动取信于民、问政于民；全面推进以工代赈项目实施，推动农村中小型交通基础设施建设，新建道路6.63公里。</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加强小麦田间管理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&gt;=4.50万亩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夏普吐勒镇2024年工作计划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鼓励种植大户种植粮食作物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夏普吐勒镇2024年工作计划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增值新梅数量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&gt;=100万株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夏普吐勒镇2024年工作计划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100万株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新建村组道路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&gt;=6.63公里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夏普吐勒镇2024年工作计划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6.63公里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安全隐患排查率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夏普吐勒镇2024年工作计划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伽师县夏普吐勒镇2024年水土保持补偿费项目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伽师县夏普吐勒镇人民政府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伽师县夏普吐勒镇人民政府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用于缴纳伽师县夏普吐勒镇乡村道路2024年中央财政以工代赈项目水土保持补偿费36040元。该项目的实施将进一步提高服务保障水平和项目建设顺利推进，保障正常开展各项工作。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本项目总投资3.6万元，</w:t>
            </w:r>
            <w:r>
              <w:rPr>
                <w:rFonts w:hint="eastAsia" w:ascii="宋体" w:hAnsi="宋体"/>
                <w:sz w:val="16"/>
                <w:lang w:eastAsia="zh-CN"/>
              </w:rPr>
              <w:t>截至2024</w:t>
            </w:r>
            <w:r>
              <w:rPr>
                <w:rFonts w:ascii="宋体" w:hAnsi="宋体" w:eastAsia="宋体"/>
                <w:sz w:val="16"/>
              </w:rPr>
              <w:t>年12月31日已支出3.6万元，主要用于缴纳伽师县夏普吐勒镇1个乡村道路2024年中央财政以工代赈项目的水土保持补偿费。该项目的实施将进一步提高服务保障水平和项目建设顺利推进，保障正常开展各项工作。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水土保持补偿费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部分项目受益人员对提高服务水平指标认为未达到预期效果，因此产生偏差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上级主管部门满意度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伽师县夏普吐勒镇央艾日克（23）村产业配套项目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伽师县夏普吐勒镇人民政府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伽师县夏普吐勒镇人民政府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项目资金13.26万元，用于缴纳伽师县夏普吐勒镇央艾日克（23）村产业配套项目森林植被恢复费，项目的实施有效改善夏普吐勒镇央艾日克（23）村环境。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本项目总资金13.26万元，</w:t>
            </w:r>
            <w:r>
              <w:rPr>
                <w:rFonts w:hint="eastAsia" w:ascii="宋体" w:hAnsi="宋体"/>
                <w:sz w:val="16"/>
                <w:lang w:eastAsia="zh-CN"/>
              </w:rPr>
              <w:t>截至2024</w:t>
            </w:r>
            <w:r>
              <w:rPr>
                <w:rFonts w:ascii="宋体" w:hAnsi="宋体" w:eastAsia="宋体"/>
                <w:sz w:val="16"/>
              </w:rPr>
              <w:t>年12月31日已支出13.26万元，主要用于缴纳伽师县夏普吐勒镇央艾日克（23）村1个产业配套项目森林植被恢复费，通过项目的实施有效改善夏普吐勒镇央艾日克（23）村环境。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缴纳森林植被恢复费项目个数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改善自然环境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部分项目受益人员对改善自然环境指标认为未达到预期效果，因此产生偏差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上级主管部门满意度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2F4688D"/>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E0628D"/>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3A1E07"/>
    <w:rsid w:val="4B4C0111"/>
    <w:rsid w:val="4BB23021"/>
    <w:rsid w:val="4F3F074E"/>
    <w:rsid w:val="50AD5EBF"/>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BF36C9"/>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10450</Words>
  <Characters>11896</Characters>
  <Lines>0</Lines>
  <Paragraphs>0</Paragraphs>
  <TotalTime>17</TotalTime>
  <ScaleCrop>false</ScaleCrop>
  <LinksUpToDate>false</LinksUpToDate>
  <CharactersWithSpaces>11904</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2025-10-21T10:41:33Z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