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伽师县西克尔库勒镇人民政府2024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(一)贯彻执行党的路线、方针、政策和国家的法律法规落实上级党委、政府决策部署和县委、县政府相关工作安排，执行本级人民代表大会决议，在履行职责过程中</w:t>
      </w:r>
      <w:r>
        <w:rPr>
          <w:rFonts w:hint="eastAsia" w:ascii="仿宋_GB2312" w:hAnsi="仿宋_GB2312" w:eastAsia="仿宋_GB2312"/>
          <w:sz w:val="32"/>
          <w:lang w:eastAsia="zh-CN"/>
        </w:rPr>
        <w:t>坚持和加强党中央集中统一领导</w:t>
      </w:r>
      <w:r>
        <w:rPr>
          <w:rFonts w:ascii="仿宋_GB2312" w:hAnsi="仿宋_GB2312" w:eastAsia="仿宋_GB2312"/>
          <w:sz w:val="32"/>
        </w:rPr>
        <w:t>。</w:t>
      </w:r>
    </w:p>
    <w:p>
      <w:pPr>
        <w:spacing w:line="580" w:lineRule="exact"/>
        <w:ind w:firstLine="640"/>
        <w:jc w:val="both"/>
      </w:pPr>
      <w:r>
        <w:rPr>
          <w:rFonts w:ascii="仿宋_GB2312" w:hAnsi="仿宋_GB2312" w:eastAsia="仿宋_GB2312"/>
          <w:sz w:val="32"/>
        </w:rPr>
        <w:t>(二)根据自治区党委、地委相关决策部署和县委相关工作安排，讨论和决定本行政区域内</w:t>
      </w:r>
      <w:r>
        <w:rPr>
          <w:rFonts w:hint="eastAsia" w:ascii="仿宋_GB2312" w:hAnsi="仿宋_GB2312" w:eastAsia="仿宋_GB2312"/>
          <w:sz w:val="32"/>
          <w:lang w:eastAsia="zh-CN"/>
        </w:rPr>
        <w:t>经济建设、政治建设、文化建设、社会建设和生态文明建设</w:t>
      </w:r>
      <w:r>
        <w:rPr>
          <w:rFonts w:ascii="仿宋_GB2312" w:hAnsi="仿宋_GB2312" w:eastAsia="仿宋_GB2312"/>
          <w:sz w:val="32"/>
        </w:rPr>
        <w:t>和党的建设以及乡村振兴中的重大问题。</w:t>
      </w:r>
    </w:p>
    <w:p>
      <w:pPr>
        <w:spacing w:line="580" w:lineRule="exact"/>
        <w:ind w:firstLine="640"/>
        <w:jc w:val="both"/>
      </w:pPr>
      <w:r>
        <w:rPr>
          <w:rFonts w:ascii="仿宋_GB2312" w:hAnsi="仿宋_GB2312" w:eastAsia="仿宋_GB2312"/>
          <w:sz w:val="32"/>
        </w:rPr>
        <w:t>(三)落实基层党建工作责任制，负责党风廉政建设、宣传意识形态、精神文明等工作</w:t>
      </w:r>
      <w:r>
        <w:rPr>
          <w:rFonts w:hint="eastAsia" w:ascii="仿宋_GB2312" w:hAnsi="仿宋_GB2312" w:eastAsia="仿宋_GB2312"/>
          <w:sz w:val="32"/>
          <w:lang w:eastAsia="zh-CN"/>
        </w:rPr>
        <w:t>；</w:t>
      </w:r>
      <w:r>
        <w:rPr>
          <w:rFonts w:ascii="仿宋_GB2312" w:hAnsi="仿宋_GB2312" w:eastAsia="仿宋_GB2312"/>
          <w:sz w:val="32"/>
        </w:rPr>
        <w:t>负责做好辖区各类社会组织的党建工作和发展党员工作，协调、指导辖区社会单位党组织和党员积极参加政治文化生活</w:t>
      </w:r>
      <w:r>
        <w:rPr>
          <w:rFonts w:hint="eastAsia" w:ascii="仿宋_GB2312" w:hAnsi="仿宋_GB2312" w:eastAsia="仿宋_GB2312"/>
          <w:sz w:val="32"/>
          <w:lang w:eastAsia="zh-CN"/>
        </w:rPr>
        <w:t>；</w:t>
      </w:r>
      <w:r>
        <w:rPr>
          <w:rFonts w:ascii="仿宋_GB2312" w:hAnsi="仿宋_GB2312" w:eastAsia="仿宋_GB2312"/>
          <w:sz w:val="32"/>
        </w:rPr>
        <w:t>负责做好党的社会工作</w:t>
      </w:r>
      <w:r>
        <w:rPr>
          <w:rFonts w:hint="eastAsia" w:ascii="仿宋_GB2312" w:hAnsi="仿宋_GB2312" w:eastAsia="仿宋_GB2312"/>
          <w:sz w:val="32"/>
          <w:lang w:eastAsia="zh-CN"/>
        </w:rPr>
        <w:t>；</w:t>
      </w:r>
      <w:r>
        <w:rPr>
          <w:rFonts w:ascii="仿宋_GB2312" w:hAnsi="仿宋_GB2312" w:eastAsia="仿宋_GB2312"/>
          <w:sz w:val="32"/>
        </w:rPr>
        <w:t>负责做好</w:t>
      </w:r>
      <w:r>
        <w:rPr>
          <w:rFonts w:hint="eastAsia" w:ascii="仿宋_GB2312" w:hAnsi="仿宋_GB2312" w:eastAsia="仿宋_GB2312"/>
          <w:sz w:val="32"/>
          <w:lang w:eastAsia="zh-CN"/>
        </w:rPr>
        <w:t>人大、政协</w:t>
      </w:r>
      <w:r>
        <w:rPr>
          <w:rFonts w:ascii="仿宋_GB2312" w:hAnsi="仿宋_GB2312" w:eastAsia="仿宋_GB2312"/>
          <w:sz w:val="32"/>
        </w:rPr>
        <w:t>等事务工作</w:t>
      </w:r>
      <w:r>
        <w:rPr>
          <w:rFonts w:hint="eastAsia" w:ascii="仿宋_GB2312" w:hAnsi="仿宋_GB2312" w:eastAsia="仿宋_GB2312"/>
          <w:sz w:val="32"/>
          <w:lang w:eastAsia="zh-CN"/>
        </w:rPr>
        <w:t>；</w:t>
      </w:r>
      <w:r>
        <w:rPr>
          <w:rFonts w:ascii="仿宋_GB2312" w:hAnsi="仿宋_GB2312" w:eastAsia="仿宋_GB2312"/>
          <w:sz w:val="32"/>
        </w:rPr>
        <w:t>依法指导和规范管辖范围内的群团组织等其他各类组织。</w:t>
      </w:r>
    </w:p>
    <w:p>
      <w:pPr>
        <w:spacing w:line="580" w:lineRule="exact"/>
        <w:ind w:firstLine="640"/>
        <w:jc w:val="both"/>
      </w:pPr>
      <w:r>
        <w:rPr>
          <w:rFonts w:ascii="仿宋_GB2312" w:hAnsi="仿宋_GB2312" w:eastAsia="仿宋_GB2312"/>
          <w:sz w:val="32"/>
        </w:rPr>
        <w:t>(四)负责社会综合治理工作。落实社会矛盾纠纷排查调处机制，实施社会治安综合治理，依法严厉打击黑恶势力。</w:t>
      </w:r>
    </w:p>
    <w:p>
      <w:pPr>
        <w:spacing w:line="580" w:lineRule="exact"/>
        <w:ind w:firstLine="640"/>
        <w:jc w:val="both"/>
      </w:pPr>
      <w:r>
        <w:rPr>
          <w:rFonts w:ascii="仿宋_GB2312" w:hAnsi="仿宋_GB2312" w:eastAsia="仿宋_GB2312"/>
          <w:sz w:val="32"/>
        </w:rPr>
        <w:t>(五)根据相关规定，负责组织实施与群众生活密切相关的各项公共服务，负责做好民政、社会保障、教育体育、科技文化卫生健康、劳动就业、拥军优属、助残、统计等方面工作。以“最多跑一次”改革为引导，强化基层便民服务。</w:t>
      </w:r>
    </w:p>
    <w:p>
      <w:pPr>
        <w:spacing w:line="580" w:lineRule="exact"/>
        <w:ind w:firstLine="640"/>
        <w:jc w:val="both"/>
      </w:pPr>
      <w:r>
        <w:rPr>
          <w:rFonts w:ascii="仿宋_GB2312" w:hAnsi="仿宋_GB2312" w:eastAsia="仿宋_GB2312"/>
          <w:sz w:val="32"/>
        </w:rPr>
        <w:t>(六)负责乡村振兴战略有关政策措施的贯彻落实</w:t>
      </w:r>
      <w:r>
        <w:rPr>
          <w:rFonts w:hint="eastAsia" w:ascii="仿宋_GB2312" w:hAnsi="仿宋_GB2312" w:eastAsia="仿宋_GB2312"/>
          <w:sz w:val="32"/>
          <w:lang w:eastAsia="zh-CN"/>
        </w:rPr>
        <w:t>；</w:t>
      </w:r>
      <w:r>
        <w:rPr>
          <w:rFonts w:ascii="仿宋_GB2312" w:hAnsi="仿宋_GB2312" w:eastAsia="仿宋_GB2312"/>
          <w:sz w:val="32"/>
        </w:rPr>
        <w:t>负责产业规划发展、美丽乡村建设、生态环境、人居环境整治等工作。</w:t>
      </w:r>
    </w:p>
    <w:p>
      <w:pPr>
        <w:spacing w:line="580" w:lineRule="exact"/>
        <w:ind w:firstLine="640"/>
        <w:jc w:val="both"/>
      </w:pPr>
      <w:r>
        <w:rPr>
          <w:rFonts w:ascii="仿宋_GB2312" w:hAnsi="仿宋_GB2312" w:eastAsia="仿宋_GB2312"/>
          <w:sz w:val="32"/>
        </w:rPr>
        <w:t>(七)根据行业主管部门相关规定，协助做好农畜产品质量安全、农牧业机械维护和管理等工作</w:t>
      </w:r>
      <w:r>
        <w:rPr>
          <w:rFonts w:hint="eastAsia" w:ascii="仿宋_GB2312" w:hAnsi="仿宋_GB2312" w:eastAsia="仿宋_GB2312"/>
          <w:sz w:val="32"/>
          <w:lang w:eastAsia="zh-CN"/>
        </w:rPr>
        <w:t>；</w:t>
      </w:r>
      <w:r>
        <w:rPr>
          <w:rFonts w:ascii="仿宋_GB2312" w:hAnsi="仿宋_GB2312" w:eastAsia="仿宋_GB2312"/>
          <w:sz w:val="32"/>
        </w:rPr>
        <w:t>负责加强动物防疫和重大监控工作，落实动物防疫责任制和疫病的分级管理</w:t>
      </w:r>
      <w:r>
        <w:rPr>
          <w:rFonts w:hint="eastAsia" w:ascii="仿宋_GB2312" w:hAnsi="仿宋_GB2312" w:eastAsia="仿宋_GB2312"/>
          <w:sz w:val="32"/>
          <w:lang w:eastAsia="zh-CN"/>
        </w:rPr>
        <w:t>制度；</w:t>
      </w:r>
      <w:r>
        <w:rPr>
          <w:rFonts w:ascii="仿宋_GB2312" w:hAnsi="仿宋_GB2312" w:eastAsia="仿宋_GB2312"/>
          <w:sz w:val="32"/>
        </w:rPr>
        <w:t>加强草原保护建设和利用情况的监督及草原防火、草畜平衡、退牧还草、基本草牧场、基本农田、农地保护管理工作</w:t>
      </w:r>
      <w:r>
        <w:rPr>
          <w:rFonts w:hint="eastAsia" w:ascii="仿宋_GB2312" w:hAnsi="仿宋_GB2312" w:eastAsia="仿宋_GB2312"/>
          <w:sz w:val="32"/>
          <w:lang w:eastAsia="zh-CN"/>
        </w:rPr>
        <w:t>；</w:t>
      </w:r>
      <w:r>
        <w:rPr>
          <w:rFonts w:ascii="仿宋_GB2312" w:hAnsi="仿宋_GB2312" w:eastAsia="仿宋_GB2312"/>
          <w:sz w:val="32"/>
        </w:rPr>
        <w:t>加强辖区内林业管理</w:t>
      </w:r>
      <w:r>
        <w:rPr>
          <w:rFonts w:hint="eastAsia" w:ascii="仿宋_GB2312" w:hAnsi="仿宋_GB2312" w:eastAsia="仿宋_GB2312"/>
          <w:sz w:val="32"/>
          <w:lang w:eastAsia="zh-CN"/>
        </w:rPr>
        <w:t>；</w:t>
      </w:r>
      <w:r>
        <w:rPr>
          <w:rFonts w:ascii="仿宋_GB2312" w:hAnsi="仿宋_GB2312" w:eastAsia="仿宋_GB2312"/>
          <w:sz w:val="32"/>
        </w:rPr>
        <w:t>加强农田水利设施建设，改善人畜饮用水条件，开展水土保持宣传教育，普及水土保持科学知识，防止水土流失。</w:t>
      </w:r>
    </w:p>
    <w:p>
      <w:pPr>
        <w:spacing w:line="580" w:lineRule="exact"/>
        <w:ind w:firstLine="640"/>
        <w:jc w:val="both"/>
      </w:pPr>
      <w:r>
        <w:rPr>
          <w:rFonts w:ascii="仿宋_GB2312" w:hAnsi="仿宋_GB2312" w:eastAsia="仿宋_GB2312"/>
          <w:sz w:val="32"/>
        </w:rPr>
        <w:t>(八)负责辖区公共安全及安全生产监管，构建公共安全防控体系，建立应对突发紧急事件的处理预案，做好安全生产、防汛、防火、防疫等灾害防御及食品药品安全等应急管理工作。</w:t>
      </w:r>
    </w:p>
    <w:p>
      <w:pPr>
        <w:spacing w:line="580" w:lineRule="exact"/>
        <w:ind w:firstLine="640"/>
        <w:jc w:val="both"/>
      </w:pPr>
      <w:r>
        <w:rPr>
          <w:rFonts w:ascii="仿宋_GB2312" w:hAnsi="仿宋_GB2312" w:eastAsia="仿宋_GB2312"/>
          <w:sz w:val="32"/>
        </w:rPr>
        <w:t>(九)负责综合协调辖区内镇容镇貌、环境卫生、小区物业公共设施管理等工作。</w:t>
      </w:r>
    </w:p>
    <w:p>
      <w:pPr>
        <w:spacing w:line="580" w:lineRule="exact"/>
        <w:ind w:firstLine="640"/>
        <w:jc w:val="both"/>
      </w:pPr>
      <w:r>
        <w:rPr>
          <w:rFonts w:ascii="仿宋_GB2312" w:hAnsi="仿宋_GB2312" w:eastAsia="仿宋_GB2312"/>
          <w:sz w:val="32"/>
        </w:rPr>
        <w:t>(十)负责推进法治政府建设和网格化服务管理工作</w:t>
      </w:r>
      <w:r>
        <w:rPr>
          <w:rFonts w:hint="eastAsia" w:ascii="仿宋_GB2312" w:hAnsi="仿宋_GB2312" w:eastAsia="仿宋_GB2312"/>
          <w:sz w:val="32"/>
          <w:lang w:eastAsia="zh-CN"/>
        </w:rPr>
        <w:t>；</w:t>
      </w:r>
      <w:r>
        <w:rPr>
          <w:rFonts w:ascii="仿宋_GB2312" w:hAnsi="仿宋_GB2312" w:eastAsia="仿宋_GB2312"/>
          <w:sz w:val="32"/>
        </w:rPr>
        <w:t>负责做好维护老年人、妇女、未成年人和残疾人的合法权益，保障适龄儿童、少年接受义务教育等工作。</w:t>
      </w:r>
    </w:p>
    <w:p>
      <w:pPr>
        <w:spacing w:line="580" w:lineRule="exact"/>
        <w:ind w:firstLine="640"/>
        <w:jc w:val="both"/>
      </w:pPr>
      <w:r>
        <w:rPr>
          <w:rFonts w:ascii="仿宋_GB2312" w:hAnsi="仿宋_GB2312" w:eastAsia="仿宋_GB2312"/>
          <w:sz w:val="32"/>
        </w:rPr>
        <w:t>(十一)根据自治区党委、政府赋予乡镇行政权力事项清单</w:t>
      </w:r>
      <w:r>
        <w:rPr>
          <w:rFonts w:hint="eastAsia" w:ascii="仿宋_GB2312" w:hAnsi="仿宋_GB2312" w:eastAsia="仿宋_GB2312"/>
          <w:sz w:val="32"/>
          <w:lang w:eastAsia="zh-CN"/>
        </w:rPr>
        <w:t>，</w:t>
      </w:r>
      <w:r>
        <w:rPr>
          <w:rFonts w:ascii="仿宋_GB2312" w:hAnsi="仿宋_GB2312" w:eastAsia="仿宋_GB2312"/>
          <w:sz w:val="32"/>
        </w:rPr>
        <w:t>与县相关执法队伍和部门协调配合</w:t>
      </w:r>
      <w:r>
        <w:rPr>
          <w:rFonts w:hint="eastAsia" w:ascii="仿宋_GB2312" w:hAnsi="仿宋_GB2312" w:eastAsia="仿宋_GB2312"/>
          <w:sz w:val="32"/>
          <w:lang w:eastAsia="zh-CN"/>
        </w:rPr>
        <w:t>，</w:t>
      </w:r>
      <w:r>
        <w:rPr>
          <w:rFonts w:ascii="仿宋_GB2312" w:hAnsi="仿宋_GB2312" w:eastAsia="仿宋_GB2312"/>
          <w:sz w:val="32"/>
        </w:rPr>
        <w:t>行使行政许可、行政确认、行政处罚等相关权力。</w:t>
      </w:r>
    </w:p>
    <w:p>
      <w:pPr>
        <w:spacing w:line="580" w:lineRule="exact"/>
        <w:ind w:firstLine="640"/>
        <w:jc w:val="both"/>
      </w:pPr>
      <w:r>
        <w:rPr>
          <w:rFonts w:ascii="仿宋_GB2312" w:hAnsi="仿宋_GB2312" w:eastAsia="仿宋_GB2312"/>
          <w:sz w:val="32"/>
        </w:rPr>
        <w:t>(十二)完成县委、县政府交办的其他工作。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伽师县西克尔库勒镇人民政府2024年度，实有人数129人，其中：在职人员119人，减少13人；离休人员0人，增加0人；退休人员10人,增加4人。</w:t>
      </w:r>
    </w:p>
    <w:p>
      <w:pPr>
        <w:spacing w:line="580" w:lineRule="exact"/>
        <w:ind w:firstLine="640"/>
        <w:jc w:val="both"/>
      </w:pPr>
      <w:r>
        <w:rPr>
          <w:rFonts w:ascii="仿宋_GB2312" w:hAnsi="仿宋_GB2312" w:eastAsia="仿宋_GB2312"/>
          <w:sz w:val="32"/>
        </w:rPr>
        <w:t>伽师县西克尔库勒镇人民政府无下属预算单位，下设10个科室，分别是：党政综合办公室、党建工作办公室、经济发展和财政办公室、社会事务办公室（退役军人服务站）、综合执法办公室、农业发展服务中心、公共文化服务中心、村镇建设发展中心、综治和网格化服务中心、便民服务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2024年度收入总计19,218.78万元，</w:t>
      </w:r>
      <w:r>
        <w:rPr>
          <w:rFonts w:ascii="仿宋_GB2312" w:hAnsi="仿宋_GB2312" w:eastAsia="仿宋_GB2312"/>
          <w:b w:val="0"/>
          <w:sz w:val="32"/>
        </w:rPr>
        <w:t>其中：本年收入合计19,123.78万元，使用非财政拨款结余（含专用结余）0.00万元，年初结转和结余95.00万元。</w:t>
      </w:r>
    </w:p>
    <w:p>
      <w:pPr>
        <w:spacing w:line="580" w:lineRule="exact"/>
        <w:ind w:firstLine="640"/>
        <w:jc w:val="both"/>
      </w:pPr>
      <w:r>
        <w:rPr>
          <w:rFonts w:ascii="仿宋_GB2312" w:hAnsi="仿宋_GB2312" w:eastAsia="仿宋_GB2312"/>
          <w:b/>
          <w:sz w:val="32"/>
        </w:rPr>
        <w:t>2024年度支出总计19,218.78万元，</w:t>
      </w:r>
      <w:r>
        <w:rPr>
          <w:rFonts w:ascii="仿宋_GB2312" w:hAnsi="仿宋_GB2312" w:eastAsia="仿宋_GB2312"/>
          <w:b w:val="0"/>
          <w:sz w:val="32"/>
        </w:rPr>
        <w:t>其中：本年支出合计19,205.01万元，结余分配0.00万元，年末结转和结余13.77万元。</w:t>
      </w:r>
    </w:p>
    <w:p>
      <w:pPr>
        <w:spacing w:line="580" w:lineRule="exact"/>
        <w:ind w:firstLine="640"/>
        <w:jc w:val="both"/>
      </w:pPr>
      <w:r>
        <w:rPr>
          <w:rFonts w:ascii="仿宋_GB2312" w:hAnsi="仿宋_GB2312" w:eastAsia="仿宋_GB2312"/>
          <w:b w:val="0"/>
          <w:sz w:val="32"/>
        </w:rPr>
        <w:t>收入支出总体与上年相比，增加6,958.30万元，增长56.75%，主要原因是：本年增加伽师县西克尔库勒镇西克尔村回迁房补助项目、西克尔库勒镇“五个好”党支部创建奖补资金项目、伽师县西克尔库勒镇援疆干部所在单位及结对乡镇工作支持项目、伽师县2023年铸牢中华民族共同体意识暨民族团结进步创建工作项目、伽师县“1·19”灾后易地重建-西克尔库勒镇西克尔村村级组织场所建设项目、伽师县西克尔库勒镇灾后易地重建西克尔村道路及供排水管网建设项目、伽师县西克尔库勒镇灾后行政区划调整易地重建</w:t>
      </w:r>
      <w:r>
        <w:rPr>
          <w:rFonts w:hint="eastAsia" w:ascii="仿宋_GB2312" w:hAnsi="仿宋_GB2312" w:eastAsia="仿宋_GB2312"/>
          <w:b w:val="0"/>
          <w:sz w:val="32"/>
          <w:lang w:eastAsia="zh-CN"/>
        </w:rPr>
        <w:t>基本公共服务</w:t>
      </w:r>
      <w:r>
        <w:rPr>
          <w:rFonts w:ascii="仿宋_GB2312" w:hAnsi="仿宋_GB2312" w:eastAsia="仿宋_GB2312"/>
          <w:b w:val="0"/>
          <w:sz w:val="32"/>
        </w:rPr>
        <w:t>设施配套项目、伽师县西克尔库勒镇西克尔村2024年自治区重点示范村建设项目—文化小广场建设项目、伽师县西克尔库勒镇西克尔村2024年自治区重点示范村建设项目—中水蓄水池建设项目、伽师县西克尔库勒镇西克尔村附属配套项目（二期）工程、2024年体系建设及信息化项目、2024年乡村运转经费项目、广东佛山援疆资金（改善民生、发展生产）、2024年救助慰问金项目、伽师县西克尔库勒镇灾后重建电力提升工程、喀什地区伽师县西克尔库勒镇灾后行政区划调整易地重建民生燃气建设项目、伽师瓜种植补助、伽师县西克尔库勒镇西克尔村附属配套项目（一期）工程、伽师县西克尔库勒镇道路加宽项目、伽师县西克尔库勒镇西克尔村农村生活垃圾综合处置站设备采购项目、伽师县西克尔库勒镇2024年入户路项目、伽师县西克尔库勒镇西克尔村2024年自治区重点示范村建设项目、伽师县西克尔库勒镇西克尔村2024年自治区重点示范村建设项目-人居环境整治设备采购、伽师县2023年示范村建设项目、伽师县林果提质增效项目、伽师县西克尔库勒镇产业发展基础设施配套项目、伽师县林果种植以奖代补项目、伽师县西克尔库勒镇西克尔村农村生活垃圾综合处置站设备采购项目、伽师甜菜种植补助项目、伽师县西克尔库勒镇红山（20）村基础设施改造提升项目、伽师县2024年社会组织参与基层社会治理项目等项目，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本年收入19,123.78万元，</w:t>
      </w:r>
      <w:r>
        <w:rPr>
          <w:rFonts w:ascii="仿宋_GB2312" w:hAnsi="仿宋_GB2312" w:eastAsia="仿宋_GB2312"/>
          <w:b w:val="0"/>
          <w:sz w:val="32"/>
        </w:rPr>
        <w:t>其中：财政拨款收入13,808.08万元，占72.20%；上级补助收入0.00万元，占0.00%；事业收入0.00万元，占0.00%；经营收入0.00万元，占0.00%；附属单位上缴收入0.00万元，占0.00%；其他收入5,315.70万元，占27.80%。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本年支出19,205.01万元，</w:t>
      </w:r>
      <w:r>
        <w:rPr>
          <w:rFonts w:ascii="仿宋_GB2312" w:hAnsi="仿宋_GB2312" w:eastAsia="仿宋_GB2312"/>
          <w:b w:val="0"/>
          <w:sz w:val="32"/>
        </w:rPr>
        <w:t>其中：基本支出2,093.70万元，占10.90%；项目支出17,111.31万元，占89.10%；上缴上级支出0.00万元，占0.00%；经营支出0.00万元，占0.00%；对附属单位补助支出0.00万元，占0.00%。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2024年度财政拨款收入总计13,808.08万元，</w:t>
      </w:r>
      <w:r>
        <w:rPr>
          <w:rFonts w:ascii="仿宋_GB2312" w:hAnsi="仿宋_GB2312" w:eastAsia="仿宋_GB2312"/>
          <w:b w:val="0"/>
          <w:sz w:val="32"/>
        </w:rPr>
        <w:t>其中：年初财政拨款结转和结余0.00万元，本年财政拨款收入13,808.08万元。</w:t>
      </w:r>
      <w:r>
        <w:rPr>
          <w:rFonts w:ascii="仿宋_GB2312" w:hAnsi="仿宋_GB2312" w:eastAsia="仿宋_GB2312"/>
          <w:b/>
          <w:sz w:val="32"/>
        </w:rPr>
        <w:t>财政拨款支出总计13,808.08万元，</w:t>
      </w:r>
      <w:r>
        <w:rPr>
          <w:rFonts w:ascii="仿宋_GB2312" w:hAnsi="仿宋_GB2312" w:eastAsia="仿宋_GB2312"/>
          <w:b w:val="0"/>
          <w:sz w:val="32"/>
        </w:rPr>
        <w:t>其中：年末财政拨款结转和结余0.00万元，本年财政拨款支出13,808.08万元。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6,847.07万元，增长98.36%，主要原因是：本年增加伽师县西克尔库勒镇西克尔村附属配套项目（二期）工程、伽师县西克尔库勒镇灾后易地重建西克尔村道路及供排水管网建设项目（一标段）、2024年乡村运转经费项目、伽师县西克尔库勒镇西克尔村附属配套项目（一期）工程、2024年救助慰问金项目、伽师县西克尔库勒镇灾后重建电力提升工程、喀什地区伽师县西克尔库勒镇灾后行政区划调整易地重建民生燃气建设项目、伽师县2023年示范村（二期）-西克尔镇西克尔村辅道建设项目、伽师瓜种植补助、伽师县公益性岗位补助项目、伽师县林果提质增效项目、伽师县林果修剪项目、伽师县西克尔库勒镇道路加宽项目、伽师县西克尔库勒镇2024年入户路项目、伽师县西克尔库勒镇西克尔村2024年自治区重点示范村建设项目-人居环境整治设备采购、伽师县林果提质增效项目、伽师县西克尔库勒镇产业发展基础设施配套项目、伽师县林果种植以奖代补项目、伽师县西克尔库勒镇西克尔村农村生活垃圾综合处置站设备采购项目、伽师县乡村规划项目、伽师</w:t>
      </w:r>
      <w:r>
        <w:rPr>
          <w:rFonts w:hint="eastAsia" w:ascii="仿宋_GB2312" w:hAnsi="仿宋_GB2312" w:eastAsia="仿宋_GB2312"/>
          <w:b w:val="0"/>
          <w:sz w:val="32"/>
          <w:lang w:val="en-US" w:eastAsia="zh-CN"/>
        </w:rPr>
        <w:t>县</w:t>
      </w:r>
      <w:r>
        <w:rPr>
          <w:rFonts w:ascii="仿宋_GB2312" w:hAnsi="仿宋_GB2312" w:eastAsia="仿宋_GB2312"/>
          <w:b w:val="0"/>
          <w:sz w:val="32"/>
        </w:rPr>
        <w:t>甜菜种植补助项目、伽师县西克尔库勒镇灾后易地重建西克尔村道路及供排水管网建设项目、伽师县西克尔库勒镇红山（20）村基础设施改造提升项目、2023年度价格补贴资金项目、伽师县2024年社会组织参与基层社会治理项目等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2,940.33万元，决算数13,808.08万元，预决算差异率369.61%，主要原因是：年中追加伽师县西克尔库勒镇西克尔村附属配套项目（二期）工程、伽师县西克尔库勒镇灾后易地重建西克尔村道路及供排水管网建设项目（一标段）、2024年乡村运转经费项目、伽师县西克尔库勒镇西克尔村附属配套项目（一期）工程、2024年救助慰问金项目、伽师县西克尔库勒镇灾后重建电力提升工程、喀什地区伽师县西克尔库勒镇灾后行政区划调整易地重建民生燃气建设项目、伽师县2023年示范村（二期）-西克尔镇西克尔村辅道建设项目、伽师瓜种植补助、伽师县公益性岗位补助项目、伽师县林果提质增效项目、伽师县林果修剪项目、伽师县西克尔库勒镇道路加宽项目、伽师县西克尔库勒镇2024年入户路项目、伽师县西克尔库勒镇西克尔村2024年自治区重点示范村建设项目-人居环境整治设备采购、伽师县林果提质增效项目、伽师县西克尔库勒镇产业发展基础设施配套项目、伽师县林果种植以奖代补项目、伽师县西克尔库勒镇西克尔村农村生活垃圾综合处置站设备采购项目、伽师县乡村规划项目、伽师甜菜种植补助项目、伽师县西克尔库勒镇灾后易地重建西克尔村道路及供排水管网建设项目、伽师县西克尔库勒镇红山（20）村基础设施改造提升项目、2023年度价格补贴资金项目、伽师县2024年社会组织参与基层社会治理项目等，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2024年度一般公共预算财政拨款支出13,780.27万元，</w:t>
      </w:r>
      <w:r>
        <w:rPr>
          <w:rFonts w:ascii="仿宋_GB2312" w:hAnsi="仿宋_GB2312" w:eastAsia="仿宋_GB2312"/>
          <w:b w:val="0"/>
          <w:sz w:val="32"/>
        </w:rPr>
        <w:t>占本年支出合计的71.75%。</w:t>
      </w:r>
      <w:r>
        <w:rPr>
          <w:rFonts w:ascii="仿宋_GB2312" w:hAnsi="仿宋_GB2312" w:eastAsia="仿宋_GB2312"/>
          <w:b/>
          <w:sz w:val="32"/>
        </w:rPr>
        <w:t>与上年相比，</w:t>
      </w:r>
      <w:r>
        <w:rPr>
          <w:rFonts w:ascii="仿宋_GB2312" w:hAnsi="仿宋_GB2312" w:eastAsia="仿宋_GB2312"/>
          <w:b w:val="0"/>
          <w:sz w:val="32"/>
        </w:rPr>
        <w:t>增加6,835.26万元，增长98.42%，主要原因是：本年增加伽师县西克尔库勒镇西克尔村附属配套项目（二期）工程、伽师县西克尔库勒镇灾后易地重建西克尔村道路及供排水管网建设项目（一标段）、2024年乡村运转经费项目、伽师县援疆项目审计服务费、伽师县西克尔库勒镇西克尔村附属配套项目（一期）工程、2024年救助慰问金项目、伽师县西克尔库勒镇灾后重建电力提升工程、喀什地区伽师县西克尔库勒镇灾后行政区划调整易地重建民生燃气建设项目、伽师县2023年示范村（二期）-西克尔镇西克尔村辅道建设项目、伽师瓜种植补助、伽师县公益性岗位补助项目、伽师县林果提质增效项目、伽师县林果修剪项目、伽师县西克尔库勒镇道路加宽项目、伽师县西克尔库勒镇2024年入户路项目、伽师县西克尔库勒镇西克尔村2024年自治区重点示范村建设项目-人居环境整治设备采购、伽师县林果提质增效项目、伽师县西克尔库勒镇产业发展基础设施配套项目、伽师县林果种植以奖代补项目、伽师县西克尔库勒镇西克尔村农村生活垃圾综合处置站设备采购项目、伽师县乡村规划项目、伽师甜菜种植补助项目、伽师县西克尔库勒镇灾后易地重建西克尔村道路及供排水管网建设项目、伽师县西克尔库勒镇红山（20）村基础设施改造提升项目、2023年度价格补贴资金项目等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2,940.33万元，决算数13,780.27万元，预决算差异率368.66%，主要原因是：年中追加伽师县西克尔库勒镇西克尔村附属配套项目（二期）工程、伽师县西克尔库勒镇灾后易地重建西克尔村道路及供排水管网建设项目（一标段）、2024年乡村运转经费项目、伽师县援疆项目审计服务费、伽师县西克尔库勒镇西克尔村附属配套项目（一期）工程、2024年救助慰问金项目、伽师县西克尔库勒镇灾后重建电力提升工程、喀什地区伽师县西克尔库勒镇灾后行政区划调整易地重建民生燃气建设项目、伽师县2023年示范村（二期）-西克尔镇西克尔村辅道建设项目、伽师瓜种植补助、伽师县公益性岗位补助项目、伽师县林果提质增效项目、伽师县林果修剪项目、伽师县西克尔库勒镇道路加宽项目、伽师县西克尔库勒镇2024年入户路项目、伽师县西克尔库勒镇西克尔村2024年自治区重点示范村建设项目-人居环境整治设备采购、伽师县林果提质增效项目、伽师县西克尔库勒镇产业发展基础设施配套项目、伽师县林果种植以奖代补项目、伽师县西克尔库勒镇西克尔村农村生活垃圾综合处置站设备采购项目、伽师县乡村规划项目、伽师甜菜种植补助项目、伽师县西克尔库勒镇灾后易地重建西克尔村道路及供排水管网建设项目、伽师县西克尔库勒镇红山（20）村基础设施改造提升项目、2023年度价格补贴资金项目等，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1.一般公共服务支出(类)1,668.97万元,占12.11%。</w:t>
      </w:r>
    </w:p>
    <w:p>
      <w:pPr>
        <w:spacing w:line="580" w:lineRule="exact"/>
        <w:ind w:firstLine="640"/>
        <w:jc w:val="both"/>
      </w:pPr>
      <w:r>
        <w:rPr>
          <w:rFonts w:ascii="仿宋_GB2312" w:hAnsi="仿宋_GB2312" w:eastAsia="仿宋_GB2312"/>
          <w:b w:val="0"/>
          <w:sz w:val="32"/>
        </w:rPr>
        <w:t>2.社会保障和就业支出(类)246.50万元,占1.79%。</w:t>
      </w:r>
    </w:p>
    <w:p>
      <w:pPr>
        <w:spacing w:line="580" w:lineRule="exact"/>
        <w:ind w:firstLine="640"/>
        <w:jc w:val="both"/>
      </w:pPr>
      <w:r>
        <w:rPr>
          <w:rFonts w:ascii="仿宋_GB2312" w:hAnsi="仿宋_GB2312" w:eastAsia="仿宋_GB2312"/>
          <w:b w:val="0"/>
          <w:sz w:val="32"/>
        </w:rPr>
        <w:t>3.卫生健康支出(类)100.11万元,占0.73%。</w:t>
      </w:r>
    </w:p>
    <w:p>
      <w:pPr>
        <w:spacing w:line="580" w:lineRule="exact"/>
        <w:ind w:firstLine="640"/>
        <w:jc w:val="both"/>
      </w:pPr>
      <w:r>
        <w:rPr>
          <w:rFonts w:ascii="仿宋_GB2312" w:hAnsi="仿宋_GB2312" w:eastAsia="仿宋_GB2312"/>
          <w:b w:val="0"/>
          <w:sz w:val="32"/>
        </w:rPr>
        <w:t>4.节能环保支出(类)3,364.02万元,占24.41%。</w:t>
      </w:r>
    </w:p>
    <w:p>
      <w:pPr>
        <w:spacing w:line="580" w:lineRule="exact"/>
        <w:ind w:firstLine="640"/>
        <w:jc w:val="both"/>
      </w:pPr>
      <w:r>
        <w:rPr>
          <w:rFonts w:ascii="仿宋_GB2312" w:hAnsi="仿宋_GB2312" w:eastAsia="仿宋_GB2312"/>
          <w:b w:val="0"/>
          <w:sz w:val="32"/>
        </w:rPr>
        <w:t>5.城乡社区支出(类)613.90万元,占4.45%。</w:t>
      </w:r>
    </w:p>
    <w:p>
      <w:pPr>
        <w:spacing w:line="580" w:lineRule="exact"/>
        <w:ind w:firstLine="640"/>
        <w:jc w:val="both"/>
      </w:pPr>
      <w:r>
        <w:rPr>
          <w:rFonts w:ascii="仿宋_GB2312" w:hAnsi="仿宋_GB2312" w:eastAsia="仿宋_GB2312"/>
          <w:b w:val="0"/>
          <w:sz w:val="32"/>
        </w:rPr>
        <w:t>6.农林水支出(类)6,962.25万元,占50.52%。</w:t>
      </w:r>
    </w:p>
    <w:p>
      <w:pPr>
        <w:spacing w:line="580" w:lineRule="exact"/>
        <w:ind w:firstLine="640"/>
        <w:jc w:val="both"/>
      </w:pPr>
      <w:r>
        <w:rPr>
          <w:rFonts w:ascii="仿宋_GB2312" w:hAnsi="仿宋_GB2312" w:eastAsia="仿宋_GB2312"/>
          <w:b w:val="0"/>
          <w:sz w:val="32"/>
        </w:rPr>
        <w:t>7.住房保障支出(类)164.29万元,占1.19%。</w:t>
      </w:r>
    </w:p>
    <w:p>
      <w:pPr>
        <w:spacing w:line="580" w:lineRule="exact"/>
        <w:ind w:firstLine="640"/>
        <w:jc w:val="both"/>
      </w:pPr>
      <w:r>
        <w:rPr>
          <w:rFonts w:ascii="仿宋_GB2312" w:hAnsi="仿宋_GB2312" w:eastAsia="仿宋_GB2312"/>
          <w:b w:val="0"/>
          <w:sz w:val="32"/>
        </w:rPr>
        <w:t>8.其他支出(类)660.23万元,占4.79%。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1,595.20万元，比上年决算增加525.99万元，增长49.19%,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73.77万元，比上年决算增加12.23万元，增长19.87%,主要原因是：本年增加2024年乡村运转经费项目的增加。</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3.社会保障和就业支出(类)行政事业单位养老支出(款)行政单位离退休(项):支出决算数为8.78万元，比上年决算增加2.97万元，增长51.12%,主要原因是：本年退休人员增加，退休费支出增加。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4.社会保障和就业支出(类)行政事业单位养老支出(款)机关事业单位基本养老保险缴费支出(项):支出决算数为193.02万元，比上年决算增加76.74万元，增长66.00%,主要原因是：</w:t>
      </w:r>
      <w:r>
        <w:rPr>
          <w:rFonts w:hint="eastAsia" w:ascii="仿宋_GB2312" w:hAnsi="仿宋_GB2312" w:eastAsia="仿宋_GB2312"/>
          <w:b w:val="0"/>
          <w:sz w:val="32"/>
          <w:lang w:val="en-US" w:eastAsia="zh-CN"/>
        </w:rPr>
        <w:t>本年在职人员工资调增，养老保险基数上涨，相应支出增加</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5.社会保障和就业支出(类)行政事业单位养老支出(款)机关事业单位职业年金缴费支出(项):支出决算数为32.30万元，比上年决算增加23.32万元，增长259.69%,主要原因是：本在职转退休干部，职业年金缴费支出增加。</w:t>
      </w:r>
    </w:p>
    <w:p>
      <w:pPr>
        <w:spacing w:line="580" w:lineRule="exact"/>
        <w:ind w:firstLine="640"/>
        <w:jc w:val="both"/>
      </w:pPr>
      <w:r>
        <w:rPr>
          <w:rFonts w:ascii="仿宋_GB2312" w:hAnsi="仿宋_GB2312" w:eastAsia="仿宋_GB2312"/>
          <w:b w:val="0"/>
          <w:sz w:val="32"/>
        </w:rPr>
        <w:t>6.社会保障和就业支出(类)抚恤(款)死亡抚恤(项):支出决算数为0.00万元，比上年决算减少9.46万元，下降100.00%,主要原因是：本年无新增死亡人员，死亡抚恤支出较上年减少。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7.社会保障和就业支出(类)其他生活救助(款)其他农村生活救助(项):支出决算数为12.40万元，比上年决算增加12.40万元，增长100.00%,主要原因是：本年增加2024年救助慰问金项目。</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8.卫生健康支出(类)行政事业单位医疗(款)行政单位医疗(项):支出决算数为82.03万元，比上年决算增加32.56万元，增长65.82%,主要原因是：本年在职人员工资基数调增，医疗缴费基数上涨，相应支出增加。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18.08万元，比上年决算增加6.51万元，增长56.27%,主要原因是：本年在职人员工资基数调增，公务员医疗补助缴费基数上涨，相应支出增加。</w:t>
      </w:r>
    </w:p>
    <w:p>
      <w:pPr>
        <w:spacing w:line="580" w:lineRule="exact"/>
        <w:ind w:firstLine="640"/>
        <w:jc w:val="both"/>
      </w:pPr>
      <w:r>
        <w:rPr>
          <w:rFonts w:ascii="仿宋_GB2312" w:hAnsi="仿宋_GB2312" w:eastAsia="仿宋_GB2312"/>
          <w:b w:val="0"/>
          <w:sz w:val="32"/>
        </w:rPr>
        <w:t>10.节能环保支出(类)能源管理事务(款)农村电网建设(项):支出决算数为3,364.02万元，比上年决算增加3,364.02万元，增长100.00%,主要原因是：本年增加伽师县西克尔库勒镇灾后重建电力提升工程项目。</w:t>
      </w:r>
    </w:p>
    <w:p>
      <w:pPr>
        <w:spacing w:line="580" w:lineRule="exact"/>
        <w:ind w:firstLine="640"/>
        <w:jc w:val="both"/>
      </w:pPr>
      <w:r>
        <w:rPr>
          <w:rFonts w:ascii="仿宋_GB2312" w:hAnsi="仿宋_GB2312" w:eastAsia="仿宋_GB2312"/>
          <w:b w:val="0"/>
          <w:sz w:val="32"/>
        </w:rPr>
        <w:t>11.城乡社区支出(类)城乡社区公共设施(款)小城镇基础设施建设(项):支出决算数为613.90万元，比上年决算增加613.90万元，增长100.00%,主要原因是：本年增加喀什地区伽师县西克尔库勒镇灾后行政区划调整易地重建民生燃气建设项目。</w:t>
      </w:r>
    </w:p>
    <w:p>
      <w:pPr>
        <w:spacing w:line="580" w:lineRule="exact"/>
        <w:ind w:firstLine="640"/>
        <w:jc w:val="both"/>
      </w:pPr>
      <w:r>
        <w:rPr>
          <w:rFonts w:ascii="仿宋_GB2312" w:hAnsi="仿宋_GB2312" w:eastAsia="仿宋_GB2312"/>
          <w:b w:val="0"/>
          <w:sz w:val="32"/>
        </w:rPr>
        <w:t>12.农林水支出(类)林业和草原(款)其他林业和草原支出(项):支出决算数为9.71万元，比上年决算增加9.71万元，增长100.00%,主要原因是：本年增加伽师县西克尔库勒镇灾后易地重建西克尔村道路及供排水管网建设项目水土保持补偿费、伽师县西克尔库勒镇西克尔村2024年自治区重点示范村建设项目水土保持补偿费。</w:t>
      </w:r>
    </w:p>
    <w:p>
      <w:pPr>
        <w:spacing w:line="580" w:lineRule="exact"/>
        <w:ind w:firstLine="640"/>
        <w:jc w:val="both"/>
      </w:pPr>
      <w:r>
        <w:rPr>
          <w:rFonts w:ascii="仿宋_GB2312" w:hAnsi="仿宋_GB2312" w:eastAsia="仿宋_GB2312"/>
          <w:b w:val="0"/>
          <w:sz w:val="32"/>
        </w:rPr>
        <w:t>13.农林水支出(类)巩固脱贫攻坚成果衔接乡村振兴(款)生产发展(项):支出决算数为6,612.91万元，比上年决算增加1,096.36万元，增长19.87%,主要原因是：本年增加伽师县西克尔库勒镇西克尔村附属配套项目（二期）工程、伽师瓜种植补助、伽师县西克尔库勒镇西克尔村附属配套项目（二期）工程、伽师县公益性岗位补助项目、伽师县林果提质增效项目、伽师县林果修剪项目、伽师县西克尔库勒镇西克尔村附属配套项目（一期）工程、伽师县西克尔库勒镇道路加宽项目、伽师县西克尔库勒镇2024年入户路项目、伽师县西克尔库勒镇西克尔村附属配套项目（一期）工程、伽师县西克尔库勒镇西克尔村2024年自治区重点示范村建设项目、伽师县西克尔库勒镇西克尔村2024年自治区重点示范村建设项目-人居环境整治设备采购、伽师县西克尔库勒镇西克尔村附属配套项目（一期）工程、伽师县林果提质增效项目、伽师县西克尔库勒镇产业发展基础设施配套项目、伽师县林果种植以奖代补项目、伽师县西克尔库勒镇西克尔村农村生活垃圾综合处置站设备采购项目、伽师县乡村规划项目、伽师</w:t>
      </w:r>
      <w:r>
        <w:rPr>
          <w:rFonts w:hint="eastAsia" w:ascii="仿宋_GB2312" w:hAnsi="仿宋_GB2312" w:eastAsia="仿宋_GB2312"/>
          <w:b w:val="0"/>
          <w:sz w:val="32"/>
          <w:lang w:val="en-US" w:eastAsia="zh-CN"/>
        </w:rPr>
        <w:t>县</w:t>
      </w:r>
      <w:r>
        <w:rPr>
          <w:rFonts w:ascii="仿宋_GB2312" w:hAnsi="仿宋_GB2312" w:eastAsia="仿宋_GB2312"/>
          <w:b w:val="0"/>
          <w:sz w:val="32"/>
        </w:rPr>
        <w:t>甜菜种植补助项目、伽师县西克尔库勒镇灾后易地重建西克尔村道路及供排水管网建设项目等。</w:t>
      </w:r>
    </w:p>
    <w:p>
      <w:pPr>
        <w:spacing w:line="580" w:lineRule="exact"/>
        <w:ind w:firstLine="640"/>
        <w:jc w:val="both"/>
      </w:pPr>
      <w:r>
        <w:rPr>
          <w:rFonts w:ascii="仿宋_GB2312" w:hAnsi="仿宋_GB2312" w:eastAsia="仿宋_GB2312"/>
          <w:b w:val="0"/>
          <w:sz w:val="32"/>
        </w:rPr>
        <w:t>14.农林水支出(类)农村综合改革(款)对村级公益事业建设的补助(项):支出决算数为47.18万元，比上年决算增加47.18万元，增长100.00%,主要原因是：本年增加伽师县西克尔库勒镇红山（20）村基础设施改造提升项目。</w:t>
      </w:r>
    </w:p>
    <w:p>
      <w:pPr>
        <w:spacing w:line="580" w:lineRule="exact"/>
        <w:ind w:firstLine="640"/>
        <w:jc w:val="both"/>
      </w:pPr>
      <w:r>
        <w:rPr>
          <w:rFonts w:ascii="仿宋_GB2312" w:hAnsi="仿宋_GB2312" w:eastAsia="仿宋_GB2312"/>
          <w:b w:val="0"/>
          <w:sz w:val="32"/>
        </w:rPr>
        <w:t>15.农林水支出(类)目标价格补贴(款)棉花目标价格补贴(项):支出决算数为292.45万元，比上年决算增加292.45万元，增长100.00%,主要原因是：本年增加2023年度目标价格补贴资金项目。</w:t>
      </w:r>
    </w:p>
    <w:p>
      <w:pPr>
        <w:spacing w:line="580" w:lineRule="exact"/>
        <w:ind w:firstLine="640"/>
        <w:jc w:val="both"/>
      </w:pPr>
      <w:r>
        <w:rPr>
          <w:rFonts w:ascii="仿宋_GB2312" w:hAnsi="仿宋_GB2312" w:eastAsia="仿宋_GB2312"/>
          <w:b w:val="0"/>
          <w:sz w:val="32"/>
        </w:rPr>
        <w:t>16.住房保障支出(类)住房改革支出(款)住房公积金(项):支出决算数为164.29万元，比上年决算增加68.14万元，增长70.87%,主要原因是：本年在职人员工资基数调增，公积金缴费基数上涨，相应支出增加。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17.其他支出(类)其他支出(款)其他支出(项):支出决算数为660.23万元，比上年决算增加660.23万元，增长100.00%,主要原因是：本年增加伽师县2023年西克尔库勒镇干部周转宿舍、“五小”工程建设项目、伽师县西克尔库勒镇2023年村级组织活动场所建设项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2024年度一般公共预算财政拨款基本支出2,093.70万元，其中：</w:t>
      </w:r>
      <w:r>
        <w:rPr>
          <w:rFonts w:ascii="仿宋_GB2312" w:hAnsi="仿宋_GB2312" w:eastAsia="仿宋_GB2312"/>
          <w:b/>
          <w:sz w:val="32"/>
        </w:rPr>
        <w:t>人员经费2,033.54万元，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包括：基本工资、津贴补贴、奖金、机关事业单位基本养老保险缴费、职业年金缴费、职工基本医疗保险缴费、公务员医疗补助缴费、其他社会保障缴费、住房公积金、退休费、生活补助。</w:t>
      </w:r>
    </w:p>
    <w:p>
      <w:pPr>
        <w:spacing w:line="580" w:lineRule="exact"/>
        <w:ind w:firstLine="640"/>
        <w:jc w:val="both"/>
      </w:pPr>
      <w:r>
        <w:rPr>
          <w:rFonts w:ascii="仿宋_GB2312" w:hAnsi="仿宋_GB2312" w:eastAsia="仿宋_GB2312"/>
          <w:b/>
          <w:sz w:val="32"/>
        </w:rPr>
        <w:t>公用经费60.16万元，</w:t>
      </w:r>
      <w:r>
        <w:rPr>
          <w:rFonts w:ascii="仿宋_GB2312" w:hAnsi="仿宋_GB2312" w:eastAsia="仿宋_GB2312"/>
          <w:b w:val="0"/>
          <w:sz w:val="32"/>
        </w:rPr>
        <w:t>包括：办公费、水费、电费、邮电费、公务接待费、公务用车运行维护费。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2024年度政府性基金预算财政拨款收入总计27.81万元，</w:t>
      </w:r>
      <w:r>
        <w:rPr>
          <w:rFonts w:ascii="仿宋_GB2312" w:hAnsi="仿宋_GB2312" w:eastAsia="仿宋_GB2312"/>
          <w:b w:val="0"/>
          <w:sz w:val="32"/>
        </w:rPr>
        <w:t>其中：年初结转和结余0.00万元，本年收入27.81万元。</w:t>
      </w:r>
      <w:r>
        <w:rPr>
          <w:rFonts w:ascii="仿宋_GB2312" w:hAnsi="仿宋_GB2312" w:eastAsia="仿宋_GB2312"/>
          <w:b/>
          <w:sz w:val="32"/>
        </w:rPr>
        <w:t>政府性基金预算财政拨款支出总计27.81万元，</w:t>
      </w:r>
      <w:r>
        <w:rPr>
          <w:rFonts w:ascii="仿宋_GB2312" w:hAnsi="仿宋_GB2312" w:eastAsia="仿宋_GB2312"/>
          <w:b w:val="0"/>
          <w:sz w:val="32"/>
        </w:rPr>
        <w:t>其中：年末结转和结余0.00万元，本年支出27.81万元。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增加11.81万元，增长73.81%，主要原因是：本年增加伽师县2023年示范村（二期）-西克尔镇西克尔村辅道建设项目、伽师县西克尔库勒镇农副产品仓储物流建设项目。</w:t>
      </w:r>
      <w:r>
        <w:rPr>
          <w:rFonts w:ascii="仿宋_GB2312" w:hAnsi="仿宋_GB2312" w:eastAsia="仿宋_GB2312"/>
          <w:b/>
          <w:sz w:val="32"/>
        </w:rPr>
        <w:t>与年初预算相比，</w:t>
      </w:r>
      <w:r>
        <w:rPr>
          <w:rFonts w:ascii="仿宋_GB2312" w:hAnsi="仿宋_GB2312" w:eastAsia="仿宋_GB2312"/>
          <w:b w:val="0"/>
          <w:sz w:val="32"/>
        </w:rPr>
        <w:t>年初预算数0.00万元，决算数27.81万元，预决算差异率100.00%，主要原因是：年中追加伽师县2024年社会组织参与基层社会治理项目、伽师县2023年示范村（二期）-西克尔镇西克尔村辅道建设项目、伽师县西克尔库勒镇农副产品仓储物流建设项目，导致预决算存差异。</w:t>
      </w:r>
    </w:p>
    <w:p>
      <w:pPr>
        <w:spacing w:line="580" w:lineRule="exact"/>
        <w:ind w:firstLine="640"/>
        <w:jc w:val="both"/>
      </w:pPr>
      <w:r>
        <w:rPr>
          <w:rFonts w:ascii="仿宋_GB2312" w:hAnsi="仿宋_GB2312" w:eastAsia="仿宋_GB2312"/>
          <w:b w:val="0"/>
          <w:sz w:val="32"/>
        </w:rPr>
        <w:t>政府性基金预算财政拨款支出27.81万元。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11.81万元，比上年决算增加11.81万元，增长100.00%,主要原因是：本年增加伽师县2023年示范村（二期）-西克尔镇西克尔村辅道建设项目、伽师县西克尔库勒镇农副产品仓储物流建设项目。</w:t>
      </w:r>
    </w:p>
    <w:p>
      <w:pPr>
        <w:spacing w:line="580" w:lineRule="exact"/>
        <w:ind w:firstLine="640"/>
        <w:jc w:val="both"/>
      </w:pPr>
      <w:r>
        <w:rPr>
          <w:rFonts w:ascii="仿宋_GB2312" w:hAnsi="仿宋_GB2312" w:eastAsia="仿宋_GB2312"/>
          <w:b w:val="0"/>
          <w:sz w:val="32"/>
        </w:rPr>
        <w:t>2.其他支出(类)彩票公益金安排的支出(款)用于社会福利的彩票公益金支出(项):支出决算数为16.00万元，比上年决算增加0.00万元，增长0.00%,主要原因是：2024年社会组织参与基层社会治理项目与上年一致，无变化。</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2024年度财政拨款“三公”经费支出7.49万元，</w:t>
      </w:r>
      <w:r>
        <w:rPr>
          <w:rFonts w:ascii="仿宋_GB2312" w:hAnsi="仿宋_GB2312" w:eastAsia="仿宋_GB2312"/>
          <w:b w:val="0"/>
          <w:sz w:val="32"/>
        </w:rPr>
        <w:t>比上年增加0.68万元，增长9.99%，主要原因是：本年因业务需求，增加公务接待工作，导致公务接待费较上年增加。其中：因公出国（境）费支出0.00万元，占0.00%，比上年增加0.00万元，增长0.00%，主要原因是：2023年与2024年均未安排因公出国（境）费支出。公务用车购置及运行维护费支出6.30万元，占84.11%，比上年增加0.00万元，增长0.00%，主要原因是：本单位公务用车运行维护费与上年一致无变化。公务接待费支出1.19万元，占15.89%，比上年增加0.68万元，增长133.33%，主要原因是：本年因业务需求，增加公务接待工作，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6.30万元，其中：公务用车购置费0.00万元，公务用车运行维护费6.30万元。公务用车运行维护费开支内容包括车辆加油费、维修费、保险费。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公务接待费1.19万元，开支内容包括因</w:t>
      </w:r>
      <w:r>
        <w:rPr>
          <w:rFonts w:hint="eastAsia" w:ascii="仿宋_GB2312" w:hAnsi="仿宋_GB2312" w:eastAsia="仿宋_GB2312"/>
          <w:b w:val="0"/>
          <w:sz w:val="32"/>
          <w:lang w:eastAsia="zh-CN"/>
        </w:rPr>
        <w:t>巡视巡察</w:t>
      </w:r>
      <w:r>
        <w:rPr>
          <w:rFonts w:ascii="仿宋_GB2312" w:hAnsi="仿宋_GB2312" w:eastAsia="仿宋_GB2312"/>
          <w:b w:val="0"/>
          <w:sz w:val="32"/>
        </w:rPr>
        <w:t>工作，接待地区六巡产生小组人员的就餐费。单位全年安排的国内公务接待30批次，396人次。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7.49万元，决算数7.49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6.30万元，决算数6.30万元，预决算差异率0.00%，主要原因是：严格按照预算执行，预决算无差异。公务接待费全年预算数1.19万元，决算数1.19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2024年度伽师县西克尔库勒镇人民政府（行政单位和参照公务员法管理事业单位）机关运行经费支出60.16万元，比上年增加39.60万元，增长192.61%，主要原因是：本年办公用房电费增加，相应支出增加。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2024年度政府采购支出总额711.77万元，其中：政府采购货物支出432.91万元、政府采购工程支出276.11万元、政府采购服务支出2.75万元。</w:t>
      </w:r>
    </w:p>
    <w:p>
      <w:pPr>
        <w:spacing w:line="580" w:lineRule="exact"/>
        <w:ind w:firstLine="640"/>
        <w:jc w:val="both"/>
      </w:pPr>
      <w:r>
        <w:rPr>
          <w:rFonts w:ascii="仿宋_GB2312" w:hAnsi="仿宋_GB2312" w:eastAsia="仿宋_GB2312"/>
          <w:b w:val="0"/>
          <w:sz w:val="32"/>
        </w:rPr>
        <w:t>授予中小企业合同金额711.77万元，占政府采购支出总额的100.00%，其中：授予小微企业合同金额708.27万元，占政府采购支出总额的99.51%。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21,977.43平方米，价值6,185.32万元。车辆3辆，价值31.86万元，其中：副部（省）级及以上领导用车0辆、主要负责人用车0辆、机要通信用车0辆、应急保障用车0辆、执法执勤用车0辆、特种专业技术用车0辆、离退休干部服务用车0辆、其他用车3辆，其他用车主要是：单位公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19,218.78万元，实际执行总额19,205.01万元；预算绩效评价项目4个，全年预算数1,739.52万元，全年执行数1,295.65万元。预算绩效管理取得的成效：一是本年度在执行预算过程中不存在闲置、浪费或挪用等情况，执行预算在预期可控范围内，严格按照项目进度支付，不存在超进度付款情况，资金支出方向合理，资金支出流程规范二是基本支出严格按照财务管理制度执行。人员工资由编办、人社局、社保局、医保局、住房公积金管理办公室及财政局等部门逐个审核，按月申报及发放。基本公用经费用于支付办公室日常的办公用品、办公耗材款、办公室水电款、乡镇办公楼的其他支出等，公务用车运行维护费主要用于车辆加油、维修及购买车辆保险。三是部门预算资金使用符合国家法规和财务管理制度；预算资金拨付有完整的审批程序和手续，符合项目预算批复或合同规定的用途；不存在截留、挤占、挪用、虚列支出等情况，确保</w:t>
      </w:r>
      <w:r>
        <w:rPr>
          <w:rFonts w:hint="eastAsia" w:ascii="仿宋_GB2312" w:hAnsi="仿宋_GB2312" w:eastAsia="仿宋_GB2312"/>
          <w:b w:val="0"/>
          <w:sz w:val="32"/>
          <w:lang w:eastAsia="zh-CN"/>
        </w:rPr>
        <w:t>本单位</w:t>
      </w:r>
      <w:r>
        <w:rPr>
          <w:rFonts w:ascii="仿宋_GB2312" w:hAnsi="仿宋_GB2312" w:eastAsia="仿宋_GB2312"/>
          <w:b w:val="0"/>
          <w:sz w:val="32"/>
        </w:rPr>
        <w:t>预算资金规范运行。发现的问题及原因：一是固定资产管理水平有待提高。二是项目管理水平有待提高。三是基层业务单位预算绩效责任主体意识不强，未能全面深入认识理解绩效管理工作的意义。绩效管理经验不足，预算绩效管理工作有待进一步落实。下一步改进措施：一是固定资产管理水平有待提高。二是项目管理水平有待提高。三是基层业务单位预算绩效责任主体意识不强，未能全面深入认识理解绩效管理工作的意义。绩效管理经验不足，预算绩效管理工作有待进一步落实。具体附整体支出绩效自评表，项目支出绩效自评表。</w:t>
      </w:r>
    </w:p>
    <w:p>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伽师县西克尔库勒镇人民政府</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2,940.33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19,218.78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19,205.01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99.93%</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824.65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7,690.42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7,690.42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2,115.68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11,433.36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11,433.36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坚持以习近平新时代中国特色社会主义思想为指引，全面贯彻党的二十大精神、习近平总书记在听取自治区和兵团工作汇报时的重要讲话精神、第三次中央新疆工作座谈会精神，落实自治区党委十届历次，特别是七次、八次全会，地委扩大会议、县委各项会议部署精神。村实现“三个一”（一面法治文化墙、一个法治宣传栏、一个法治图书角），做到法治教育阵地全覆盖，建成1个有特色的精品法治教育阵地；加强事故应急预案制定和演练，注重应急队伍力量建设，细化措施，明确人员，确保到人管用有效，镇政府、各村、学校、卫生院、商铺等重点场所，每周组织开展1次应急处突演练，切实提高应急救灾能力。选好地块，扩大干播湿出技术使用面积，统筹好机械和人力，确保适时抢播到位，计划种植小麦4.1万亩，玉米2.6万亩，伽师瓜2.4万亩，管理新梅2.9万亩，选好优良品质，把藏粮于技术藏粮于地落到实处。为建设团结和谐、繁荣富裕、文明进步、安居乐业、生态良好的西克尔库勒镇提供坚强组织保证。</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已完成种植小麦4.1万亩，玉米2.6万亩，伽师瓜2.4万亩，管理新梅2.9万亩，选好优良品质，把藏粮于技术藏粮于地落到实处。为建设团结和谐、繁荣富裕、文明进步、安居乐业、生态良好的西克尔库勒镇提供坚强组织保证。</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建成特色的精品法治教育阵地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西克尔库勒镇2024年工作计划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应急处突演练次数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西克尔库勒镇2024年工作计划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种植小麦面积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&gt;=4.10万亩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西克尔库勒镇2024年工作计划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种植玉米面积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&gt;=2.60万亩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西克尔库勒镇2024年工作计划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种植伽师瓜面积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西克尔库勒镇2024年工作计划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管理新梅面积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&gt;=2.90万亩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西克尔库勒镇2024年工作计划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伽师县2023年西克尔库勒镇干部周转宿舍、“五小”工程建设项目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伽师县西克尔库勒镇人民政府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伽师县西克尔库勒镇人民政府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581.85</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8.81分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581.85</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总投资611万元，总建筑面积2350平方米，干部周转宿舍50套，五小工程包括：小食堂、小厕所、小澡堂、小图书室、小文体活动室，以及配套相关附属设施，通过对此项目的实施能够改善伽师县西克尔库勒镇干部的生活工作环境，带动辖区群众务工就业，增加家庭收入，有效持续改善本地生态环境。</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2024年12月31日项目已竣工验收，完成情况：干部周转宿舍50个，五小工程建设面积约600平方米，通过项目实施改善了干部的工作生活环境，带动人员就业及增收。</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干部周转宿舍数量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五小工程建设面积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偏差原因：该项目目前已完工，项目目前在整改阶段。因验收未通过且问题不在验收清单中，无法出具整改报告。改进措施：加快项目验收进度。</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干部周转宿舍投资额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五小工程用房投资额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偏差原因：资金目前正在审核，改进措施：加快后期资金支付。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提升基层干部生活工作环境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偏差原因：项目建设房子目前未投入使用，改进措施：加快项目投入使用，提高干部工作生活环境。</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受益基层工作人员满意度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84.14分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伽师县西克尔库勒镇2023年村级组织活动场所建设项目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伽师县西克尔库勒镇人民政府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伽师县西克尔库勒镇人民政府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78.38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3.84分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78.38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项目总投资104万元，修建4个篮球场、4个羽毛球场、2个排球场、8个乒乓球场，公示及宣传栏，安装国旗杆，并完成绿化等相关附属工程，着力提升搬迁群众的文化生活，推进文化润疆工作。</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2024年12月31日，建设村民活动场所1个，建设4个篮球场，项目已全部竣工验收投入使用，项目实施提升了居民的文化生活为开展文体活动打下基础，让居民有了归属感幸福感。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村民活动场所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村民活动场所资金额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w:t>
            </w:r>
            <w:r>
              <w:rPr>
                <w:rFonts w:hint="eastAsia" w:ascii="宋体" w:hAnsi="宋体"/>
                <w:sz w:val="16"/>
                <w:lang w:eastAsia="zh-CN"/>
              </w:rPr>
              <w:t>已</w:t>
            </w:r>
            <w:r>
              <w:rPr>
                <w:rFonts w:ascii="宋体" w:hAnsi="宋体" w:eastAsia="宋体"/>
                <w:sz w:val="16"/>
              </w:rPr>
              <w:t>竣工验收，但因为剩余资金审批未完成，导致没有及时支付；改进措施：加快资金审批进度，及时支付剩余资金。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提升搬迁群众文化感染力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w:t>
            </w:r>
            <w:r>
              <w:rPr>
                <w:rFonts w:hint="eastAsia" w:ascii="宋体" w:hAnsi="宋体"/>
                <w:sz w:val="16"/>
                <w:lang w:eastAsia="zh-CN"/>
              </w:rPr>
              <w:t>已</w:t>
            </w:r>
            <w:r>
              <w:rPr>
                <w:rFonts w:ascii="宋体" w:hAnsi="宋体" w:eastAsia="宋体"/>
                <w:sz w:val="16"/>
              </w:rPr>
              <w:t>竣工验收，但因为剩余资金审批未完成，导致没有及时支付；改进措施：加快资金审批进度，及时支付剩余资金。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81.52分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伽师县西克尔库勒镇水土保持费项目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伽师县西克尔库勒镇人民政府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伽师县西克尔库勒镇人民政府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资金21.5204万元，用于缴纳伽师县西克尔库勒镇农副产品仓储物流建设项目水土保持补偿费10.9879万元、伽师县2023年示范村（二期）-西克尔镇西克尔村辅道建设项目水土保持补偿费0.8197万元，伽师县西克尔库勒镇灾后易地重建西克尔村道路及供排水管网建设项目水土保持补偿费94614元，伽师县西克尔库勒镇西克尔村2024年自治区重点示范村建设项目水土保持补偿费2514元。通过该项目的实施，有效改善自然环境，促进环境的健康发展，为群众带来更好的居住环境。</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该项目执行21.52万元，水土保持费缴纳4次，农副产品水土保持费10.99万元，村级辅道水土保持费0.82万元，伽师县西克尔库勒镇灾后易地重建西克尔村道路及供排水管网建设项目水土保持补偿费9.46万元，2024年自治区重点示范村建设项目水土保持补偿费=0.25万元。项目完成后，提升了伽师县西克尔库勒镇人民政府农副产品仓储物流建设项目和西克尔库勒镇西克尔村辅</w:t>
            </w:r>
            <w:r>
              <w:rPr>
                <w:rFonts w:hint="eastAsia" w:ascii="宋体" w:hAnsi="宋体"/>
                <w:sz w:val="16"/>
                <w:lang w:eastAsia="zh-CN"/>
              </w:rPr>
              <w:t>道</w:t>
            </w:r>
            <w:r>
              <w:rPr>
                <w:rFonts w:ascii="宋体" w:hAnsi="宋体" w:eastAsia="宋体"/>
                <w:sz w:val="16"/>
              </w:rPr>
              <w:t>建设项目综合能力，改善西克尔库勒镇生态系统，防止水土流失，保持环境健康发展。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水土保持费缴纳次数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农副产品水土保持费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村级辅道水土保持费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伽师县西克尔库勒镇灾后易地重建西克尔村道路及供排水管网建设项目水土保持补偿费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伽师县西克尔库勒镇西克尔村2024年自治区重点示范村建设项目水土保持补偿费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保持环境健康发展</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受益乡村居民满意度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偏差原因：项目实施情况较好，反馈结果良好。</w:t>
            </w: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8"/>
        <w:gridCol w:w="625"/>
        <w:gridCol w:w="625"/>
        <w:gridCol w:w="625"/>
        <w:gridCol w:w="776"/>
        <w:gridCol w:w="626"/>
        <w:gridCol w:w="626"/>
        <w:gridCol w:w="627"/>
        <w:gridCol w:w="625"/>
        <w:gridCol w:w="627"/>
        <w:gridCol w:w="776"/>
        <w:gridCol w:w="631"/>
        <w:gridCol w:w="614"/>
        <w:gridCol w:w="629"/>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喀什地区伽师县西克尔库勒镇灾后行政区划调整易地重建民生燃气建设项目</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3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伽师县西克尔库勒镇人民政府</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7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伽师县西克尔库勒镇人民政府</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1,003.00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1,003.00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613.90</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61.2%</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0.30分</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1,003.00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1,003.00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613.90</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3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0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3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本项目喀什地区伽师县西克尔库勒镇灾后行政区划调整易地重建民生燃气建设项目1003万元，用于建设西克尔库勒镇镇区居民的用气，通过本项目的实施，保证居民用气，改善生活环境，提高居民的</w:t>
            </w:r>
            <w:r>
              <w:rPr>
                <w:rFonts w:hint="eastAsia" w:ascii="宋体" w:hAnsi="宋体"/>
                <w:sz w:val="16"/>
                <w:lang w:eastAsia="zh-CN"/>
              </w:rPr>
              <w:t>幸福</w:t>
            </w:r>
            <w:r>
              <w:rPr>
                <w:rFonts w:ascii="宋体" w:hAnsi="宋体" w:eastAsia="宋体"/>
                <w:sz w:val="16"/>
              </w:rPr>
              <w:t>度。</w:t>
            </w:r>
          </w:p>
        </w:tc>
        <w:tc>
          <w:tcPr>
            <w:tcW w:w="390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支出613.89909万元，执行率61.2%，完成调压站1台，新建燃气管线和高压管线7.095公里，完成项目总进度30%，预计2025年5月竣工验收。通过项目确保居民正常生活需求，提升了城镇发展经济增长，受益居民满意度为100%。</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新建燃气管线和高压管线长度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&gt;=23.65公里</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=7.095公里</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偏差原因：该项目目前在施工阶段。改进措施：根据设定的绩效目标督促此项目按照计划完成各时期进度，加快项目执行速度。</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完成调压站台数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&gt;=1台</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=1台</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偏差原因：该项目目前在施工阶段。改进措施：根据设定的绩效目标督促此项目按照计划完成各时期进度，加快项目执行速度。</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=61.2%</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0.15</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偏差原因：该项目目前在施工阶段，资金按项目进度支付。改进措施：施工加快进度，严格执行资金管理办法和财政资金管理制度。</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项目计划完成率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偏差原因：该项目目前在施工阶段。改进措施：根据设定的绩效目标督促此项目按照计划完成各时期进度，加快项目执行速度。</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0.15</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偏差原因：因前期相关工作开展较慢，项目推进慢未达到预期效果。改进措施：加快项目执行速度</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新建燃气管线和高压管线成本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&lt;=503万元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=306.95万元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0.25</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偏差原因：该项目目前在施工阶段，项目按工程进度支付。改进措施：根据设定的绩效目标督促此项目按照计划完成各时期进度，加快项目执行速度。</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完成调压站成本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=306.95万元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0.35</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偏差原因：该项目目前在施工阶段，项目按工程进度支付。改进措施：根据设定的绩效目标督促此项目按照计划完成各时期进度，加快项目执行速度。</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城镇发展经济增长</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部分实现目标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偏差原因：该项目目前在施工阶段，无法带动城镇发展经济增长。改进措施：加快施工进度，切实有效带动我镇经济增长。</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受益居民满意度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偏差原因：该项目目前在施工阶段。改进措施：加快施工进度。</w:t>
            </w:r>
          </w:p>
        </w:tc>
      </w:tr>
      <w:tr>
        <w:tblPrEx>
          <w:tblLayout w:type="fixed"/>
          <w:tblCellMar>
            <w:top w:w="0" w:type="dxa"/>
            <w:left w:w="108" w:type="dxa"/>
            <w:bottom w:w="0" w:type="dxa"/>
            <w:right w:w="108" w:type="dxa"/>
          </w:tblCellMar>
        </w:tblPrEx>
        <w:tc>
          <w:tcPr>
            <w:tcW w:w="453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2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12.1分</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bookmarkStart w:id="0" w:name="_GoBack"/>
      <w:bookmarkEnd w:id="0"/>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00C181C-DA91-4794-A001-69344B40CA3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21F13416-8A51-4D81-A544-7396747581A7}"/>
  </w:font>
  <w:font w:name="仿宋_GB2312">
    <w:panose1 w:val="02010609030101010101"/>
    <w:charset w:val="86"/>
    <w:family w:val="modern"/>
    <w:pitch w:val="default"/>
    <w:sig w:usb0="00000001" w:usb1="080E0000" w:usb2="00000000" w:usb3="00000000" w:csb0="00040000" w:csb1="00000000"/>
    <w:embedRegular r:id="rId3" w:fontKey="{16221402-7748-4FE4-A055-16B9C8D4A272}"/>
  </w:font>
  <w:font w:name="楷体_GB2312">
    <w:panose1 w:val="02010609030101010101"/>
    <w:charset w:val="86"/>
    <w:family w:val="auto"/>
    <w:pitch w:val="default"/>
    <w:sig w:usb0="00000001" w:usb1="080E0000" w:usb2="00000000" w:usb3="00000000" w:csb0="00040000" w:csb1="00000000"/>
    <w:embedRegular r:id="rId4" w:fontKey="{665CD8FA-3270-4054-B802-D6447287C38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D741A9"/>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165972"/>
    <w:rsid w:val="464B7E04"/>
    <w:rsid w:val="464F7E64"/>
    <w:rsid w:val="46901EEE"/>
    <w:rsid w:val="469C74D2"/>
    <w:rsid w:val="47445515"/>
    <w:rsid w:val="4AF74DA2"/>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A42361"/>
    <w:rsid w:val="68DB0208"/>
    <w:rsid w:val="68DF36D5"/>
    <w:rsid w:val="69846A0E"/>
    <w:rsid w:val="69AD798C"/>
    <w:rsid w:val="6B68175F"/>
    <w:rsid w:val="6B8B5C99"/>
    <w:rsid w:val="6CA7198F"/>
    <w:rsid w:val="6D8919A8"/>
    <w:rsid w:val="6E0F7A08"/>
    <w:rsid w:val="6E801ABC"/>
    <w:rsid w:val="6F0C16E2"/>
    <w:rsid w:val="71473612"/>
    <w:rsid w:val="718F7F65"/>
    <w:rsid w:val="73423603"/>
    <w:rsid w:val="737A5923"/>
    <w:rsid w:val="73DE4104"/>
    <w:rsid w:val="73FB6630"/>
    <w:rsid w:val="74CE04EC"/>
    <w:rsid w:val="74E76DCD"/>
    <w:rsid w:val="76660D7C"/>
    <w:rsid w:val="77ED6F44"/>
    <w:rsid w:val="795A0A34"/>
    <w:rsid w:val="79AE39DE"/>
    <w:rsid w:val="7A0D3BC7"/>
    <w:rsid w:val="7A3A3CDB"/>
    <w:rsid w:val="7F2068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16315</Words>
  <Characters>18409</Characters>
  <Lines>0</Lines>
  <Paragraphs>0</Paragraphs>
  <TotalTime>11</TotalTime>
  <ScaleCrop>false</ScaleCrop>
  <LinksUpToDate>false</LinksUpToDate>
  <CharactersWithSpaces>18431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2025-11-11T15:57:57Z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