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伽师县人民医院2024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以服务病人为中心，以提高医疗服务质量和保证医疗安全为重点。真抓实干，与时俱进，务求实效，积极发挥医疗、教学、预防、保健四大职能。</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伽师县人民医院2024年度，实有人数342人，其中：在职人员239人，增加7人；离休人员0人，增加0人；退休人员103人,增加1人。</w:t>
      </w:r>
    </w:p>
    <w:p>
      <w:pPr>
        <w:spacing w:line="580" w:lineRule="exact"/>
        <w:ind w:firstLine="640"/>
        <w:jc w:val="both"/>
      </w:pPr>
      <w:r>
        <w:rPr>
          <w:rFonts w:ascii="仿宋_GB2312" w:hAnsi="仿宋_GB2312" w:eastAsia="仿宋_GB2312"/>
          <w:sz w:val="32"/>
        </w:rPr>
        <w:t>伽师县人民医院无下属预算单位，下设46个科室，分别是：内分泌科、消化科、普外一科、普外二科、普外三科、骨一科、骨三科、妇科、儿科、产科、新生儿科、呼吸一科、心内一科、心内二科、耳鼻喉科、重症医学一科、重症医学三科、神经内科、风湿免疫肾病科、疼痛科、心理医学科、医务科、党政办、行政科、财务科、信息科、医学装备科、感染科、急诊外科、中医科、保卫科、肺科、肾病科、康复医学科、老年病科、肿瘤科、手麻科、影像中心、检验科、药剂科、病理科、输血科、门诊输液室、供应室、体检中心、总务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2024年度收入总计36,663.88万元，</w:t>
      </w:r>
      <w:r>
        <w:rPr>
          <w:rFonts w:ascii="仿宋_GB2312" w:hAnsi="仿宋_GB2312" w:eastAsia="仿宋_GB2312"/>
          <w:b w:val="0"/>
          <w:sz w:val="32"/>
        </w:rPr>
        <w:t>其中：本年收入合计36,007.36万元，使用非财政拨款结余（含专用结余）656.51万元，年初结转和结余0.00万元。</w:t>
      </w:r>
    </w:p>
    <w:p>
      <w:pPr>
        <w:spacing w:line="580" w:lineRule="exact"/>
        <w:ind w:firstLine="640"/>
        <w:jc w:val="both"/>
      </w:pPr>
      <w:r>
        <w:rPr>
          <w:rFonts w:ascii="仿宋_GB2312" w:hAnsi="仿宋_GB2312" w:eastAsia="仿宋_GB2312"/>
          <w:b/>
          <w:sz w:val="32"/>
        </w:rPr>
        <w:t>2024年度支出总计36,663.88万元，</w:t>
      </w:r>
      <w:r>
        <w:rPr>
          <w:rFonts w:ascii="仿宋_GB2312" w:hAnsi="仿宋_GB2312" w:eastAsia="仿宋_GB2312"/>
          <w:b w:val="0"/>
          <w:sz w:val="32"/>
        </w:rPr>
        <w:t>其中：本年支出合计36,663.88万元，结余分配0.00万元，年末结转和结余0.00万元。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收入支出总体与上年相比，减少5,361.20万元，下降12.76%，主要原因是：本年实行DRG付费后按病种结算医疗收入较上年度减少，伽师县传染病业务用房建设项目按照工程经费减少，导致经费较上年减少。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本年收入36,007.36万元，</w:t>
      </w:r>
      <w:r>
        <w:rPr>
          <w:rFonts w:ascii="仿宋_GB2312" w:hAnsi="仿宋_GB2312" w:eastAsia="仿宋_GB2312"/>
          <w:b w:val="0"/>
          <w:sz w:val="32"/>
        </w:rPr>
        <w:t>其中：财政拨款收入3,156.86万元，占8.77%；上级补助收入0.00万元，占0.00%；事业收入31,030.97万元，占86.18%；经营收入0.00万元，占0.00%；附属单位上缴收入0.00万元，占0.00%；其他收入1,819.53万元，占5.05%。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本年支出36,663.88万元，</w:t>
      </w:r>
      <w:r>
        <w:rPr>
          <w:rFonts w:ascii="仿宋_GB2312" w:hAnsi="仿宋_GB2312" w:eastAsia="仿宋_GB2312"/>
          <w:b w:val="0"/>
          <w:sz w:val="32"/>
        </w:rPr>
        <w:t>其中：基本支出34,393.89万元，占93.81%；项目支出2,269.98万元，占6.19%；上缴上级支出0.00万元，占0.00%；经营支出0.00万元，占0.00%；对附属单位补助支出0.00万元，占0.00%。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2024年度财政拨款收入总计3,156.86万元，</w:t>
      </w:r>
      <w:r>
        <w:rPr>
          <w:rFonts w:ascii="仿宋_GB2312" w:hAnsi="仿宋_GB2312" w:eastAsia="仿宋_GB2312"/>
          <w:b w:val="0"/>
          <w:sz w:val="32"/>
        </w:rPr>
        <w:t>其中：年初财政拨款结转和结余0.00万元，本年财政拨款收入3,156.86万元。</w:t>
      </w:r>
      <w:r>
        <w:rPr>
          <w:rFonts w:ascii="仿宋_GB2312" w:hAnsi="仿宋_GB2312" w:eastAsia="仿宋_GB2312"/>
          <w:b/>
          <w:sz w:val="32"/>
        </w:rPr>
        <w:t>财政拨款支出总计3,156.86万元，</w:t>
      </w:r>
      <w:r>
        <w:rPr>
          <w:rFonts w:ascii="仿宋_GB2312" w:hAnsi="仿宋_GB2312" w:eastAsia="仿宋_GB2312"/>
          <w:b w:val="0"/>
          <w:sz w:val="32"/>
        </w:rPr>
        <w:t>其中：年末财政拨款结转和结余0.00万元，本年财政拨款支出3,156.86万元。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减少105.93万元，下降3.25%，主要原因是：本年医务人员临时性补助较上年度减少，导致经费较上年减少。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年初预算数2,901.47万元，决算数3,156.86万元，预决算差异率8.80%，主要原因是：年中追加人员工资、公积金基数调增部分资金</w:t>
      </w:r>
      <w:r>
        <w:rPr>
          <w:rFonts w:hint="eastAsia" w:ascii="仿宋_GB2312" w:hAnsi="仿宋_GB2312" w:eastAsia="仿宋_GB2312"/>
          <w:b w:val="0"/>
          <w:sz w:val="32"/>
          <w:lang w:eastAsia="zh-CN"/>
        </w:rPr>
        <w:t>；</w:t>
      </w:r>
      <w:r>
        <w:rPr>
          <w:rFonts w:ascii="仿宋_GB2312" w:hAnsi="仿宋_GB2312" w:eastAsia="仿宋_GB2312"/>
          <w:b w:val="0"/>
          <w:sz w:val="32"/>
        </w:rPr>
        <w:t>年中追加儿童口腔涂氟项目</w:t>
      </w:r>
      <w:r>
        <w:rPr>
          <w:rFonts w:hint="eastAsia" w:ascii="仿宋_GB2312" w:hAnsi="仿宋_GB2312" w:eastAsia="仿宋_GB2312"/>
          <w:b w:val="0"/>
          <w:sz w:val="32"/>
          <w:lang w:eastAsia="zh-CN"/>
        </w:rPr>
        <w:t>，</w:t>
      </w:r>
      <w:r>
        <w:rPr>
          <w:rFonts w:ascii="仿宋_GB2312" w:hAnsi="仿宋_GB2312" w:eastAsia="仿宋_GB2312"/>
          <w:b w:val="0"/>
          <w:sz w:val="32"/>
        </w:rPr>
        <w:t>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2024年度一般公共预算财政拨款支出3,143.66万元，</w:t>
      </w:r>
      <w:r>
        <w:rPr>
          <w:rFonts w:ascii="仿宋_GB2312" w:hAnsi="仿宋_GB2312" w:eastAsia="仿宋_GB2312"/>
          <w:b w:val="0"/>
          <w:sz w:val="32"/>
        </w:rPr>
        <w:t>占本年支出合计的8.57%。</w:t>
      </w:r>
      <w:r>
        <w:rPr>
          <w:rFonts w:ascii="仿宋_GB2312" w:hAnsi="仿宋_GB2312" w:eastAsia="仿宋_GB2312"/>
          <w:b/>
          <w:sz w:val="32"/>
        </w:rPr>
        <w:t>与上年相比，</w:t>
      </w:r>
      <w:r>
        <w:rPr>
          <w:rFonts w:ascii="仿宋_GB2312" w:hAnsi="仿宋_GB2312" w:eastAsia="仿宋_GB2312"/>
          <w:b w:val="0"/>
          <w:sz w:val="32"/>
        </w:rPr>
        <w:t>减少119.13万元，下降3.65%，主要原因是：本年医务人员临时性补助较上</w:t>
      </w:r>
      <w:r>
        <w:rPr>
          <w:rFonts w:hint="eastAsia" w:ascii="仿宋_GB2312" w:hAnsi="仿宋_GB2312" w:eastAsia="仿宋_GB2312"/>
          <w:b w:val="0"/>
          <w:sz w:val="32"/>
          <w:lang w:eastAsia="zh-CN"/>
        </w:rPr>
        <w:t>年</w:t>
      </w:r>
      <w:r>
        <w:rPr>
          <w:rFonts w:ascii="仿宋_GB2312" w:hAnsi="仿宋_GB2312" w:eastAsia="仿宋_GB2312"/>
          <w:b w:val="0"/>
          <w:sz w:val="32"/>
        </w:rPr>
        <w:t>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年初预算数2,901.47万元，决算数3,143.66万元，预决算差异率8.35%，主要原因是：年中追加人员工资、公积金基数调增部分资金，导致预决算存在差异。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1.社会保障和就业支出(类)292.77万元,占9.31%。</w:t>
      </w:r>
    </w:p>
    <w:p>
      <w:pPr>
        <w:spacing w:line="580" w:lineRule="exact"/>
        <w:ind w:firstLine="640"/>
        <w:jc w:val="both"/>
      </w:pPr>
      <w:r>
        <w:rPr>
          <w:rFonts w:ascii="仿宋_GB2312" w:hAnsi="仿宋_GB2312" w:eastAsia="仿宋_GB2312"/>
          <w:b w:val="0"/>
          <w:sz w:val="32"/>
        </w:rPr>
        <w:t>2.卫生健康支出(类)2,645.54万元,占84.15%。</w:t>
      </w:r>
    </w:p>
    <w:p>
      <w:pPr>
        <w:spacing w:line="580" w:lineRule="exact"/>
        <w:ind w:firstLine="640"/>
        <w:jc w:val="both"/>
      </w:pPr>
      <w:r>
        <w:rPr>
          <w:rFonts w:ascii="仿宋_GB2312" w:hAnsi="仿宋_GB2312" w:eastAsia="仿宋_GB2312"/>
          <w:b w:val="0"/>
          <w:sz w:val="32"/>
        </w:rPr>
        <w:t>3.住房保障支出(类)205.35万元,占6.53%。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1.社会保障和就业支出(类)行政事业单位养老支出(款)事业单位离退休(项):支出决算数为48.81万元，比上年决算增加4.23万元，增长9.49%,主要原因是：本年退休人员增加，退休费支出增加。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243.96万元，比上年决算减少6.73万元，下降2.68%,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3.卫生健康支出(类)公立医院(款)综合医院(项):支出决算数为2,464.04万元，比上年决算增加22.20万元，增长0.91%,主要原因是：本年度公立医院综合改革补助项目经费较上年度增加。</w:t>
      </w:r>
    </w:p>
    <w:p>
      <w:pPr>
        <w:spacing w:line="580" w:lineRule="exact"/>
        <w:ind w:firstLine="640"/>
        <w:jc w:val="both"/>
      </w:pPr>
      <w:r>
        <w:rPr>
          <w:rFonts w:ascii="仿宋_GB2312" w:hAnsi="仿宋_GB2312" w:eastAsia="仿宋_GB2312"/>
          <w:b w:val="0"/>
          <w:sz w:val="32"/>
        </w:rPr>
        <w:t>4.卫生健康支出(类)公立医院(款)其他公立医院支出(项):支出决算数为24.70万元，比上年决算增加24.70万元，增长100.00%,主要原因是：本年度中央医疗服务与保障能力提升公立医院综合改革补助资金增加。</w:t>
      </w:r>
    </w:p>
    <w:p>
      <w:pPr>
        <w:spacing w:line="580" w:lineRule="exact"/>
        <w:ind w:firstLine="640"/>
        <w:jc w:val="both"/>
      </w:pPr>
      <w:r>
        <w:rPr>
          <w:rFonts w:ascii="仿宋_GB2312" w:hAnsi="仿宋_GB2312" w:eastAsia="仿宋_GB2312"/>
          <w:b w:val="0"/>
          <w:sz w:val="32"/>
        </w:rPr>
        <w:t>5.卫生健康支出(类)公共卫生(款)重大公共卫生服务(项):支出决算数为17.97万元，比上年决算增加17.97万元，增长100.00%,主要原因是：本年度增加伽师县卫健委2024年重大传染病防控经费。</w:t>
      </w:r>
    </w:p>
    <w:p>
      <w:pPr>
        <w:spacing w:line="580" w:lineRule="exact"/>
        <w:ind w:firstLine="640"/>
        <w:jc w:val="both"/>
      </w:pPr>
      <w:r>
        <w:rPr>
          <w:rFonts w:ascii="仿宋_GB2312" w:hAnsi="仿宋_GB2312" w:eastAsia="仿宋_GB2312"/>
          <w:b w:val="0"/>
          <w:sz w:val="32"/>
        </w:rPr>
        <w:t>6.卫生健康支出(类)公共卫生(款)突发公共卫生事件应急处置(项):支出决算数为35.15万元，比上年决算减少181.11万元，下降83.75%,主要原因是：本年度医务人员临时性补助较上年度减少。</w:t>
      </w:r>
    </w:p>
    <w:p>
      <w:pPr>
        <w:spacing w:line="580" w:lineRule="exact"/>
        <w:ind w:firstLine="640"/>
        <w:jc w:val="both"/>
      </w:pPr>
      <w:r>
        <w:rPr>
          <w:rFonts w:ascii="仿宋_GB2312" w:hAnsi="仿宋_GB2312" w:eastAsia="仿宋_GB2312"/>
          <w:b w:val="0"/>
          <w:sz w:val="32"/>
        </w:rPr>
        <w:t>7.卫生健康支出(类)行政事业单位医疗(款)事业单位医疗(项):支出决算数为103.68万元，比上年决算减少2.86万元，下降2.68%,主要原因是：本年在职人员调入调出，人员职级不同，缴费基数不同，事业单位医疗较上年减少。</w:t>
      </w:r>
    </w:p>
    <w:p>
      <w:pPr>
        <w:spacing w:line="580" w:lineRule="exact"/>
        <w:ind w:firstLine="640"/>
        <w:jc w:val="both"/>
      </w:pPr>
      <w:r>
        <w:rPr>
          <w:rFonts w:ascii="仿宋_GB2312" w:hAnsi="仿宋_GB2312" w:eastAsia="仿宋_GB2312"/>
          <w:b w:val="0"/>
          <w:sz w:val="32"/>
        </w:rPr>
        <w:t>8.住房保障支出(类)住房改革支出(款)住房公积金(项):支出决算数为205.35万元，比上年决算增加2.48万元，增长1.22%,主要原因是：本年在职人员工资基数调增，公积金缴费基数上涨，相应支出增加。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2024年度一般公共预算财政拨款基本支出2,510.74万元，其中：</w:t>
      </w:r>
      <w:r>
        <w:rPr>
          <w:rFonts w:ascii="仿宋_GB2312" w:hAnsi="仿宋_GB2312" w:eastAsia="仿宋_GB2312"/>
          <w:b/>
          <w:sz w:val="32"/>
        </w:rPr>
        <w:t>人员经费2,510.74万元，</w:t>
      </w:r>
      <w:r>
        <w:rPr>
          <w:rFonts w:ascii="仿宋_GB2312" w:hAnsi="仿宋_GB2312" w:eastAsia="仿宋_GB2312"/>
          <w:b w:val="0"/>
          <w:sz w:val="32"/>
        </w:rPr>
        <w:t>包括：基本工资、津贴补贴、绩效工资、机关事业单位基本养老保险缴费、职工基本医疗保险缴费、其他社会保障缴费、住房公积金、其他工资福利支出、退休费、生活补助。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2024年度政府性基金预算财政拨款收入总计13.20万元，</w:t>
      </w:r>
      <w:r>
        <w:rPr>
          <w:rFonts w:ascii="仿宋_GB2312" w:hAnsi="仿宋_GB2312" w:eastAsia="仿宋_GB2312"/>
          <w:b w:val="0"/>
          <w:sz w:val="32"/>
        </w:rPr>
        <w:t>其中：年初结转和结余0.00万元，本年收入13.20万元。</w:t>
      </w:r>
      <w:r>
        <w:rPr>
          <w:rFonts w:ascii="仿宋_GB2312" w:hAnsi="仿宋_GB2312" w:eastAsia="仿宋_GB2312"/>
          <w:b/>
          <w:sz w:val="32"/>
        </w:rPr>
        <w:t>政府性基金预算财政拨款支出总计13.20万元，</w:t>
      </w:r>
      <w:r>
        <w:rPr>
          <w:rFonts w:ascii="仿宋_GB2312" w:hAnsi="仿宋_GB2312" w:eastAsia="仿宋_GB2312"/>
          <w:b w:val="0"/>
          <w:sz w:val="32"/>
        </w:rPr>
        <w:t>其中：年末结转和结余0.00万元，本年支出13.20万元。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增加13.20万元，增长100.00%，主要原因是：本年度新增儿童口腔涂氟项目，导致经费较上年增加。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年初预算数0.00万元，决算数13.20万元，预决算差异率100.00%，主要原因是：年中追加儿童口腔涂氟项目，导致预决算存在差异。</w:t>
      </w:r>
    </w:p>
    <w:p>
      <w:pPr>
        <w:spacing w:line="580" w:lineRule="exact"/>
        <w:ind w:firstLine="640"/>
        <w:jc w:val="both"/>
      </w:pPr>
      <w:r>
        <w:rPr>
          <w:rFonts w:ascii="仿宋_GB2312" w:hAnsi="仿宋_GB2312" w:eastAsia="仿宋_GB2312"/>
          <w:b w:val="0"/>
          <w:sz w:val="32"/>
        </w:rPr>
        <w:t>政府性基金预算财政拨款支出13.20万元。</w:t>
      </w:r>
    </w:p>
    <w:p>
      <w:pPr>
        <w:spacing w:line="580" w:lineRule="exact"/>
        <w:ind w:firstLine="640"/>
        <w:jc w:val="both"/>
      </w:pPr>
      <w:r>
        <w:rPr>
          <w:rFonts w:ascii="仿宋_GB2312" w:hAnsi="仿宋_GB2312" w:eastAsia="仿宋_GB2312"/>
          <w:b w:val="0"/>
          <w:sz w:val="32"/>
        </w:rPr>
        <w:t>1.其他支出(类)彩票公益金安排的支出(款)用于城乡医疗救助的彩票公益金支出(项):支出决算数为13.20万元，比上年决算增加13.20万元，增长100.00%,主要原因是：本年度新增儿童口腔涂氟项目，导致经费较上年增加。</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25辆，与公务用车保有量差异原因是：单位业务用车，车辆费用未使用财政拨款公务用车运行维护费支付。</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2024年度伽师县人民医院（事业单位）公用经费支出0.00万元，比上年增加0.00万元，增长0.00%，主要原因是：2023年与2024年均未安排公用经费支出。</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2024年度政府采购支出总额653.73万元，其中：政府采购货物支出238.51万元、政府采购工程支出67.47万元、政府采购服务支出347.74万元。</w:t>
      </w:r>
    </w:p>
    <w:p>
      <w:pPr>
        <w:spacing w:line="580" w:lineRule="exact"/>
        <w:ind w:firstLine="640"/>
        <w:jc w:val="both"/>
      </w:pPr>
      <w:r>
        <w:rPr>
          <w:rFonts w:ascii="仿宋_GB2312" w:hAnsi="仿宋_GB2312" w:eastAsia="仿宋_GB2312"/>
          <w:b w:val="0"/>
          <w:sz w:val="32"/>
        </w:rPr>
        <w:t>授予中小企业合同金额652.33万元，占政府采购支出总额的99.79%，其中：授予小微企业合同金额652.33万元，占政府采购支出总额的99.79%。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106,355.19平方米，价值37,271.63万元。车辆25辆，价值778.03万元，其中：副部（省）级及以上领导用车0辆、主要负责人用车0辆、机要通信用车0辆、应急保障用车0辆、执法执勤用车0辆、特种专业技术用车21辆、离退休干部服务用车0辆、其他用车4辆，其他用车主要是：医疗用救护车、体检车、移动CT装载车。单价100万元（含）以上设备（不含车辆）30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预算绩效评价项目4个，全年预算数452.09万元，全年执行数452.09万元。预算绩效管理取得的成效：一是本项目能够严格按照项目实施方案执行，项目执行情况较好。二是严格程序确保资金效益。项目坚持层层审批原则，做到支付程序规范，严格按照上级审批及支付手续，并严格按照资金使用的相关要求。三是加强领导落实责任。</w:t>
      </w:r>
      <w:r>
        <w:rPr>
          <w:rFonts w:hint="eastAsia" w:ascii="仿宋_GB2312" w:hAnsi="仿宋_GB2312" w:eastAsia="仿宋_GB2312"/>
          <w:b w:val="0"/>
          <w:sz w:val="32"/>
          <w:lang w:eastAsia="zh-CN"/>
        </w:rPr>
        <w:t>本单位</w:t>
      </w:r>
      <w:r>
        <w:rPr>
          <w:rFonts w:ascii="仿宋_GB2312" w:hAnsi="仿宋_GB2312" w:eastAsia="仿宋_GB2312"/>
          <w:b w:val="0"/>
          <w:sz w:val="32"/>
        </w:rPr>
        <w:t>领导高度重视，责任压实到人，保证了项目的质量，提高了项目执行率。发现的问题及原因：一是对各项指标和指标值要进一步优化、完善，主要在细化、量化上改进。二是没有重视绩效工作，上报绩效报告时不认真、不及时，对绩效操作不熟悉。在客观性和公正性上说服力不强。三是因工作计划及不确定因素影响，个别项目指标存在未能按照计划开展。下一步改进措施：一是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二是项目评价资料有待进一步完善。项目启动时同步做好档案的归纳与整理，及时整理、收集、汇总，健全档案资料。项目后续管理有待进一步加强和跟踪。三是提前做好计划，对预算绩效评价工作人员强化培训，提高绩效工作人员业务水平。具体附项目支出绩效自评表和评价报告。</w:t>
      </w:r>
    </w:p>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伽师县人民医院2024年公立医院综合改革补助项目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w:t>
            </w:r>
            <w:r>
              <w:rPr>
                <w:rFonts w:hint="eastAsia" w:ascii="宋体" w:hAnsi="宋体"/>
                <w:sz w:val="16"/>
                <w:lang w:eastAsia="zh-CN"/>
              </w:rPr>
              <w:t>下拨</w:t>
            </w:r>
            <w:r>
              <w:rPr>
                <w:rFonts w:ascii="宋体" w:hAnsi="宋体" w:eastAsia="宋体"/>
                <w:sz w:val="16"/>
              </w:rPr>
              <w:t>资金为24.7万元，预算来源为中央资金，主要用于支付采购药品款，项目实施后将会进一步改善医疗</w:t>
            </w:r>
            <w:r>
              <w:rPr>
                <w:rFonts w:hint="eastAsia" w:ascii="宋体" w:hAnsi="宋体"/>
                <w:sz w:val="16"/>
                <w:lang w:eastAsia="zh-CN"/>
              </w:rPr>
              <w:t>服务水平和</w:t>
            </w:r>
            <w:r>
              <w:rPr>
                <w:rFonts w:ascii="宋体" w:hAnsi="宋体" w:eastAsia="宋体"/>
                <w:sz w:val="16"/>
              </w:rPr>
              <w:t>医疗卫生环境，提高药物质量。有利于满足医疗机构临床用药，加强药品质量管理，药品采购配送，加快建立药品联合采购机制，保障药品供应。</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该项目预算资金24.7万元，</w:t>
            </w:r>
            <w:r>
              <w:rPr>
                <w:rFonts w:hint="eastAsia" w:ascii="宋体" w:hAnsi="宋体"/>
                <w:sz w:val="16"/>
                <w:lang w:eastAsia="zh-CN"/>
              </w:rPr>
              <w:t>截至</w:t>
            </w:r>
            <w:r>
              <w:rPr>
                <w:rFonts w:ascii="宋体" w:hAnsi="宋体" w:eastAsia="宋体"/>
                <w:sz w:val="16"/>
              </w:rPr>
              <w:t>2024年8月31日，现已支付24.7万元，执行率100%。主要用于支付采购1批药品款，项目实施后将会进一步改善医疗</w:t>
            </w:r>
            <w:r>
              <w:rPr>
                <w:rFonts w:hint="eastAsia" w:ascii="宋体" w:hAnsi="宋体"/>
                <w:sz w:val="16"/>
                <w:lang w:eastAsia="zh-CN"/>
              </w:rPr>
              <w:t>服务水平和</w:t>
            </w:r>
            <w:r>
              <w:rPr>
                <w:rFonts w:ascii="宋体" w:hAnsi="宋体" w:eastAsia="宋体"/>
                <w:sz w:val="16"/>
              </w:rPr>
              <w:t>医疗卫生环境，提高药物质量。有利于满足医疗机构临床用药，加强药品质量管理，药品采购配送，加快建立药品联合采购机制，保障药品供应。</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药品验收合格率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采购款拨付及时率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采购药品款成本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=24.7万元/批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满足医疗机构临床用药需求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基本满足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医疗机构满意度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6"/>
        <w:gridCol w:w="616"/>
        <w:gridCol w:w="616"/>
        <w:gridCol w:w="856"/>
        <w:gridCol w:w="616"/>
        <w:gridCol w:w="616"/>
        <w:gridCol w:w="621"/>
        <w:gridCol w:w="616"/>
        <w:gridCol w:w="621"/>
        <w:gridCol w:w="777"/>
        <w:gridCol w:w="633"/>
        <w:gridCol w:w="598"/>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伽师县人民医院2024年医疗卫生机构能力建设项目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6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389.19</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389.19</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389.19</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389.19</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3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该项目资金总额为389.19万元，预算来源为中央资金，主要用于购置一批医疗设备269.19万元，搭建信息化平台远程医疗协作网120万元，通过实施此项目将会进一步改善医疗卫生服务体系，提高就诊率，</w:t>
            </w:r>
            <w:r>
              <w:rPr>
                <w:rFonts w:hint="eastAsia" w:ascii="宋体" w:hAnsi="宋体"/>
                <w:sz w:val="16"/>
                <w:lang w:val="en-US" w:eastAsia="zh-CN"/>
              </w:rPr>
              <w:t>使</w:t>
            </w:r>
            <w:r>
              <w:rPr>
                <w:rFonts w:ascii="宋体" w:hAnsi="宋体" w:eastAsia="宋体"/>
                <w:sz w:val="16"/>
              </w:rPr>
              <w:t>县域内医疗服务能力进一步提升，满足广大群众基本医疗卫生服务需求。</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该项目预算资金389.19万元，</w:t>
            </w:r>
            <w:r>
              <w:rPr>
                <w:rFonts w:hint="eastAsia" w:ascii="宋体" w:hAnsi="宋体"/>
                <w:sz w:val="16"/>
                <w:lang w:eastAsia="zh-CN"/>
              </w:rPr>
              <w:t>截至</w:t>
            </w:r>
            <w:r>
              <w:rPr>
                <w:rFonts w:ascii="宋体" w:hAnsi="宋体" w:eastAsia="宋体"/>
                <w:sz w:val="16"/>
              </w:rPr>
              <w:t>2024年12月31日，现已完成支付389.19万元，执行率100%。主要用于购置一批医疗设备269.19万元，搭建信息化平台远程医疗协作网120万元，通过实施此项目将会进一步改善医疗卫生服务体系，提高就诊率，</w:t>
            </w:r>
            <w:r>
              <w:rPr>
                <w:rFonts w:hint="eastAsia" w:ascii="宋体" w:hAnsi="宋体"/>
                <w:sz w:val="16"/>
                <w:lang w:val="en-US" w:eastAsia="zh-CN"/>
              </w:rPr>
              <w:t>使</w:t>
            </w:r>
            <w:bookmarkStart w:id="0" w:name="_GoBack"/>
            <w:r>
              <w:rPr>
                <w:rFonts w:ascii="宋体" w:hAnsi="宋体" w:eastAsia="宋体"/>
                <w:sz w:val="16"/>
              </w:rPr>
              <w:t>县域内</w:t>
            </w:r>
            <w:bookmarkEnd w:id="0"/>
            <w:r>
              <w:rPr>
                <w:rFonts w:ascii="宋体" w:hAnsi="宋体" w:eastAsia="宋体"/>
                <w:sz w:val="16"/>
              </w:rPr>
              <w:t>医疗服务能力进一步提升，满足广大群众基本医疗卫生服务需求。</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移动通信设备采购数量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信息化平台建设数量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购置合同执行违规率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设备采购合格率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移动通信设备采购成本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&lt;=269.19万元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=269.19万元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信息化平台建设成本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&lt;=120万元</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=120万元</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解决患者就医难题</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有效解决</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使用人员满意度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伽师县人民医院2024年卫生健康人才培养补助项目（全科医生）</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该项目根据喀地财社</w:t>
            </w:r>
            <w:r>
              <w:rPr>
                <w:rFonts w:hint="eastAsia" w:ascii="宋体" w:hAnsi="宋体"/>
                <w:sz w:val="16"/>
                <w:lang w:eastAsia="zh-CN"/>
              </w:rPr>
              <w:t>〔2023〕86号</w:t>
            </w:r>
            <w:r>
              <w:rPr>
                <w:rFonts w:ascii="宋体" w:hAnsi="宋体" w:eastAsia="宋体"/>
                <w:sz w:val="16"/>
              </w:rPr>
              <w:t>文件下达资金25万元，</w:t>
            </w:r>
            <w:r>
              <w:rPr>
                <w:rFonts w:hint="eastAsia" w:ascii="宋体" w:hAnsi="宋体"/>
                <w:sz w:val="16"/>
                <w:lang w:eastAsia="zh-CN"/>
              </w:rPr>
              <w:t>用于</w:t>
            </w:r>
            <w:r>
              <w:rPr>
                <w:rFonts w:ascii="宋体" w:hAnsi="宋体" w:eastAsia="宋体"/>
                <w:sz w:val="16"/>
              </w:rPr>
              <w:t>发放5名特岗全科医生1-12月工资，通过实施此项目，引导和鼓励优秀医疗卫生人才到乡镇卫生院从事全科医疗工作，逐步解决乡镇卫生院医生紧缺和无</w:t>
            </w:r>
            <w:r>
              <w:rPr>
                <w:rFonts w:hint="eastAsia" w:ascii="宋体" w:hAnsi="宋体"/>
                <w:sz w:val="16"/>
                <w:lang w:eastAsia="zh-CN"/>
              </w:rPr>
              <w:t>执业医师</w:t>
            </w:r>
            <w:r>
              <w:rPr>
                <w:rFonts w:ascii="宋体" w:hAnsi="宋体" w:eastAsia="宋体"/>
                <w:sz w:val="16"/>
              </w:rPr>
              <w:t>的问题，全面提高基层医疗服务水平。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该项目预算资金25万元，</w:t>
            </w:r>
            <w:r>
              <w:rPr>
                <w:rFonts w:hint="eastAsia" w:ascii="宋体" w:hAnsi="宋体"/>
                <w:sz w:val="16"/>
                <w:lang w:eastAsia="zh-CN"/>
              </w:rPr>
              <w:t>至</w:t>
            </w:r>
            <w:r>
              <w:rPr>
                <w:rFonts w:ascii="宋体" w:hAnsi="宋体" w:eastAsia="宋体"/>
                <w:sz w:val="16"/>
              </w:rPr>
              <w:t>2024年12月31日，现已完成支付25万元，执行率100%。全科医生完成率5</w:t>
            </w:r>
            <w:r>
              <w:rPr>
                <w:rFonts w:hint="eastAsia" w:ascii="宋体" w:hAnsi="宋体"/>
                <w:sz w:val="16"/>
                <w:lang w:eastAsia="zh-CN"/>
              </w:rPr>
              <w:t>万</w:t>
            </w:r>
            <w:r>
              <w:rPr>
                <w:rFonts w:ascii="宋体" w:hAnsi="宋体" w:eastAsia="宋体"/>
                <w:sz w:val="16"/>
              </w:rPr>
              <w:t>人，补助资金为每人每年5万元/人，通过该项目的实施，已经有效逐步解决了乡镇卫生院医生紧缺和无</w:t>
            </w:r>
            <w:r>
              <w:rPr>
                <w:rFonts w:hint="eastAsia" w:ascii="宋体" w:hAnsi="宋体"/>
                <w:sz w:val="16"/>
                <w:lang w:eastAsia="zh-CN"/>
              </w:rPr>
              <w:t>执业</w:t>
            </w:r>
            <w:r>
              <w:rPr>
                <w:rFonts w:ascii="宋体" w:hAnsi="宋体" w:eastAsia="宋体"/>
                <w:sz w:val="16"/>
              </w:rPr>
              <w:t>医师的问题，全面提高了基层医疗服务水平。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保障特岗全科医生人数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补助覆盖率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发放补助标准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=5万元/年/人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提高基本公共卫生服务水平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乡镇医务人员满意度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85"/>
        <w:gridCol w:w="611"/>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伽师县人民医院2024年彩票公益资金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伽师县卫生健康委员会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伽师县人民医院</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共计13.2万元，支付儿童“护齿行动”项目，4400名儿童口腔涂氟治疗费，有效控制儿童口腔龋病发病。护齿行动：推动口腔疾病防治工作落地，切实增强防龋病意识，营造良好的口腔疾病气氛。组织各级医疗机构开展培训，统一技术规范和操作流程提高口腔疾病防治人员业务能力和防治水平。</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该项目预算资金13.2万元，</w:t>
            </w:r>
            <w:r>
              <w:rPr>
                <w:rFonts w:hint="eastAsia" w:ascii="宋体" w:hAnsi="宋体"/>
                <w:sz w:val="16"/>
                <w:lang w:eastAsia="zh-CN"/>
              </w:rPr>
              <w:t>截至</w:t>
            </w:r>
            <w:r>
              <w:rPr>
                <w:rFonts w:ascii="宋体" w:hAnsi="宋体" w:eastAsia="宋体"/>
                <w:sz w:val="16"/>
              </w:rPr>
              <w:t>2024年12月31日，现已完成支付13.2万元,执行率100%。主要用于支付儿童“护齿行动”项目，4400名儿童口腔涂氟治疗费，有效控制儿童口腔龋病发病。护齿行动：推动口腔疾病防治工作落地，切实增强防龋病意识，营造良好的口腔疾病气氛。组织各级医疗机构开展培训，统一技术规范和操作流程提高口腔疾病防治人员业务能力和防治水平。</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开展儿童口腔局部</w:t>
            </w:r>
            <w:r>
              <w:rPr>
                <w:rFonts w:hint="eastAsia" w:ascii="宋体" w:hAnsi="宋体"/>
                <w:sz w:val="16"/>
                <w:lang w:eastAsia="zh-CN"/>
              </w:rPr>
              <w:t>涂抹</w:t>
            </w:r>
            <w:r>
              <w:rPr>
                <w:rFonts w:ascii="宋体" w:hAnsi="宋体" w:eastAsia="宋体"/>
                <w:sz w:val="16"/>
              </w:rPr>
              <w:t>人数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=4400人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全区3-4岁儿童局部</w:t>
            </w:r>
            <w:r>
              <w:rPr>
                <w:rFonts w:hint="eastAsia" w:ascii="宋体" w:hAnsi="宋体"/>
                <w:sz w:val="16"/>
                <w:lang w:eastAsia="zh-CN"/>
              </w:rPr>
              <w:t>用药</w:t>
            </w:r>
            <w:r>
              <w:rPr>
                <w:rFonts w:ascii="宋体" w:hAnsi="宋体" w:eastAsia="宋体"/>
                <w:sz w:val="16"/>
              </w:rPr>
              <w:t>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掌握基本的口腔预防保健知识和自我保健技能</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较上年提高</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资金标准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=30元/人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有效控制我区儿童口腔龋病发病率</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较上年下降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较上年下降</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1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儿童监护人对儿童口腔局</w:t>
            </w:r>
            <w:r>
              <w:rPr>
                <w:rFonts w:hint="eastAsia" w:ascii="宋体" w:hAnsi="宋体"/>
                <w:sz w:val="16"/>
                <w:lang w:val="en-US" w:eastAsia="zh-CN"/>
              </w:rPr>
              <w:t>部</w:t>
            </w:r>
            <w:r>
              <w:rPr>
                <w:rFonts w:hint="eastAsia" w:ascii="宋体" w:hAnsi="宋体"/>
                <w:sz w:val="16"/>
                <w:lang w:eastAsia="zh-CN"/>
              </w:rPr>
              <w:t>涂抹</w:t>
            </w:r>
            <w:r>
              <w:rPr>
                <w:rFonts w:ascii="宋体" w:hAnsi="宋体" w:eastAsia="宋体"/>
                <w:sz w:val="16"/>
              </w:rPr>
              <w:t>满意度</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本年度本单位整体绩效自评表由伽师县卫生健康委员会编报并公开。</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A6AC1F-D778-4B45-8BBA-F7E0F9BCE1E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07E9E9B7-EE08-4B7B-84B8-C0B5D42016E9}"/>
  </w:font>
  <w:font w:name="仿宋_GB2312">
    <w:panose1 w:val="02010609030101010101"/>
    <w:charset w:val="86"/>
    <w:family w:val="auto"/>
    <w:pitch w:val="default"/>
    <w:sig w:usb0="00000001" w:usb1="080E0000" w:usb2="00000000" w:usb3="00000000" w:csb0="00040000" w:csb1="00000000"/>
    <w:embedRegular r:id="rId3" w:fontKey="{F37FAB28-5602-4F22-9ACE-5880A6195404}"/>
  </w:font>
  <w:font w:name="楷体_GB2312">
    <w:panose1 w:val="02010609030101010101"/>
    <w:charset w:val="86"/>
    <w:family w:val="auto"/>
    <w:pitch w:val="default"/>
    <w:sig w:usb0="00000001" w:usb1="080E0000" w:usb2="00000000" w:usb3="00000000" w:csb0="00040000" w:csb1="00000000"/>
    <w:embedRegular r:id="rId4" w:fontKey="{76317B63-0BBA-42FD-B9E5-F8E1AEC5143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4F2E7C"/>
    <w:rsid w:val="0EA04331"/>
    <w:rsid w:val="0F9811B3"/>
    <w:rsid w:val="11E15093"/>
    <w:rsid w:val="120E0809"/>
    <w:rsid w:val="15C91766"/>
    <w:rsid w:val="19071D6C"/>
    <w:rsid w:val="19B5554D"/>
    <w:rsid w:val="1B8F2D19"/>
    <w:rsid w:val="1C317E4F"/>
    <w:rsid w:val="1C472464"/>
    <w:rsid w:val="1D81772B"/>
    <w:rsid w:val="1DAF458D"/>
    <w:rsid w:val="1E086ACE"/>
    <w:rsid w:val="1E4B5CA5"/>
    <w:rsid w:val="1EAA4A5F"/>
    <w:rsid w:val="1F587A0B"/>
    <w:rsid w:val="2064678E"/>
    <w:rsid w:val="20BC0B75"/>
    <w:rsid w:val="20DD6197"/>
    <w:rsid w:val="21F317F2"/>
    <w:rsid w:val="2241392C"/>
    <w:rsid w:val="23BC04D2"/>
    <w:rsid w:val="25275618"/>
    <w:rsid w:val="26B318EC"/>
    <w:rsid w:val="27CE017C"/>
    <w:rsid w:val="27CF2642"/>
    <w:rsid w:val="282459E2"/>
    <w:rsid w:val="29116777"/>
    <w:rsid w:val="2A053397"/>
    <w:rsid w:val="2A444FB1"/>
    <w:rsid w:val="2A6064E2"/>
    <w:rsid w:val="2C1965E9"/>
    <w:rsid w:val="2D1136DF"/>
    <w:rsid w:val="2DAE0E44"/>
    <w:rsid w:val="2FD27414"/>
    <w:rsid w:val="313F1D52"/>
    <w:rsid w:val="318029AB"/>
    <w:rsid w:val="31C63837"/>
    <w:rsid w:val="31E367AE"/>
    <w:rsid w:val="326F0A17"/>
    <w:rsid w:val="3277581B"/>
    <w:rsid w:val="32B85545"/>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5C2F64"/>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25</Pages>
  <Words>5658</Words>
  <Characters>6601</Characters>
  <Lines>0</Lines>
  <Paragraphs>0</Paragraphs>
  <TotalTime>6</TotalTime>
  <ScaleCrop>false</ScaleCrop>
  <LinksUpToDate>false</LinksUpToDate>
  <CharactersWithSpaces>6612</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2025-10-21T08:40:48Z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