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伽师县人民医院2024年医疗卫生机构能力建设项目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伽师县人民医院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玛依拉</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2025年01月15日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喀地财社〔2022〕82号》等相关经济政策是国家政策的重要组成部分。信息化建设相关政策依据：新一轮医药卫生体制改革实施以来，国家出台多项措施促进社会办医发展，政策效应持续显现，但与形成多元办医格局的目标仍有不小差距，还有一些体制机制障碍和政策束缚需要破除。为加快推进社会办医疗机构成规模、上水平发展，不断满足人民群众多样化、多层次医疗卫生服务需求，为经济社会转型发展注入新的动力，各地区、各有关部门要在深入贯彻落实《国务院关于促进健康服务业发展的若干意见》（国发〔2013〕40号）和《国务院办公厅转发发展改革委</w:t>
      </w:r>
      <w:r>
        <w:rPr>
          <w:rStyle w:val="19"/>
          <w:rFonts w:hint="eastAsia" w:ascii="仿宋" w:hAnsi="仿宋" w:eastAsia="仿宋" w:cs="仿宋"/>
          <w:b w:val="0"/>
          <w:bCs w:val="0"/>
          <w:spacing w:val="-4"/>
          <w:sz w:val="32"/>
          <w:szCs w:val="32"/>
          <w:lang w:eastAsia="zh-CN"/>
        </w:rPr>
        <w:t>卫健委</w:t>
      </w:r>
      <w:r>
        <w:rPr>
          <w:rStyle w:val="19"/>
          <w:rFonts w:hint="eastAsia" w:ascii="仿宋" w:hAnsi="仿宋" w:eastAsia="仿宋" w:cs="仿宋"/>
          <w:b w:val="0"/>
          <w:bCs w:val="0"/>
          <w:spacing w:val="-4"/>
          <w:sz w:val="32"/>
          <w:szCs w:val="32"/>
        </w:rPr>
        <w:t>等部门关于进一步鼓励和引导社会资本举办医疗机构意见的通知》（国办发〔2010〕58号）的基础上，进一步实施以下政策措施：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清理规范医疗机构设立审批。明确并向社会公开公布举办医疗机构审批程序、审批主体和审批时限。各级相关行政部门要按照“非禁即入”原则，全面清理、取消不合理的前置审批事项，整合社会办医疗机构设置、执业许可等审批环节，进一步明确并缩短审批时限，不得新设前置审批事项或提高审批条件，不得限制社会办医疗机构的经营性质，鼓励有条件的地方为申办医疗机构相关手续提供一站式服务。完善社会办医疗机构设立审批的属地化管理，进一步促进社会办医，具体床位规模审批权限由各省（区、市）按照《医疗机构管理条例》自行确定。鼓励社会力量举办中医类专科医院和只提供传统中医药服务的中医门诊部、中医诊所，加快社会办中医类机构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公开区域医疗资源规划情况。各地要定期公开公布区域内医疗机构数量、布局以及床位、大型设备等资源配置情况，并将社会办医纳入相关规划，按照一定比例为社会办医预留床位和大型设备等资源配置空间，在符合规划总量和结构的前提下，取消对社会办医疗机构的具体数量和地点限制。出台或调整区域卫生规划和医疗机构设置规划，须及时向社会公开公布，并详细说明本区域可新增或拟调整的医疗资源的规模和布局。对涉及新增或调整医疗资源的，包括新建城区等，政府必须落实保基本的责任，同时支持由社会力量举办和运营医疗机构。未公开公布规划的，不得以规划为由拒绝社会力量举办医疗机构或配置医疗设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（三）减少运行审批限制。不将社会办医疗机构等级、床位规模等作为确定配置大型设备的必要前置条件，重点考核机构人员资质与技术服务能力等指标。优化大型设备配置使用程序，简化流程。严控公立医院</w:t>
      </w:r>
      <w:r>
        <w:rPr>
          <w:rStyle w:val="19"/>
          <w:rFonts w:hint="eastAsia" w:ascii="仿宋" w:hAnsi="仿宋" w:eastAsia="仿宋" w:cs="仿宋"/>
          <w:b w:val="0"/>
          <w:bCs w:val="0"/>
          <w:spacing w:val="-4"/>
          <w:sz w:val="32"/>
          <w:szCs w:val="32"/>
          <w:lang w:eastAsia="zh-CN"/>
        </w:rPr>
        <w:t>超常规配置大型</w:t>
      </w:r>
      <w:r>
        <w:rPr>
          <w:rStyle w:val="19"/>
          <w:rFonts w:hint="eastAsia" w:ascii="仿宋" w:hAnsi="仿宋" w:eastAsia="仿宋" w:cs="仿宋"/>
          <w:b w:val="0"/>
          <w:bCs w:val="0"/>
          <w:spacing w:val="-4"/>
          <w:sz w:val="32"/>
          <w:szCs w:val="32"/>
        </w:rPr>
        <w:t>医用设备；社会办医疗机构配置大型医用设备，凡符合规划条件和准入资质的，不得以任何理由加以限制。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（四）控制公立医院规模，规范公立医院改制。按照总量控制、结构调整、规模适度的原则，合理控制公立医疗机构数量和规模，拓展社会办医发展空间。总结</w:t>
      </w:r>
      <w:r>
        <w:rPr>
          <w:rFonts w:hint="eastAsia" w:ascii="微软雅黑" w:hAnsi="微软雅黑" w:eastAsia="微软雅黑" w:cs="微软雅黑"/>
          <w:i w:val="0"/>
          <w:caps w:val="0"/>
          <w:color w:val="000000"/>
          <w:spacing w:val="0"/>
          <w:sz w:val="10"/>
          <w:szCs w:val="10"/>
          <w:shd w:val="clear" w:fill="DFF3E8"/>
          <w:lang w:eastAsia="zh-CN"/>
        </w:rPr>
        <w:t>手术科</w:t>
      </w:r>
      <w:r>
        <w:rPr>
          <w:rStyle w:val="19"/>
          <w:rFonts w:hint="eastAsia" w:ascii="仿宋" w:hAnsi="仿宋" w:eastAsia="仿宋" w:cs="仿宋"/>
          <w:b w:val="0"/>
          <w:bCs w:val="0"/>
          <w:spacing w:val="-4"/>
          <w:sz w:val="32"/>
          <w:szCs w:val="32"/>
        </w:rPr>
        <w:t>方实践经验，引导和规范公立医院改制，避免国有资产流失。各地要结合区域卫生规划和医疗机构设置规划制定工作，明确政府办医的范围和数量，落实政府投入责任，严格限制公立医院特需服务规模。在县域内，社会办医要和县级公立医院改革相结合，发挥公立医院主体作用和社会办医补充作用，相辅相成。在此基础上，在公立医疗资源丰富的地区，有序引导和规范包括国有企业办医院在内的部分公立医院改制。推动国有企业办医院分离移交或</w:t>
      </w:r>
      <w:r>
        <w:rPr>
          <w:rStyle w:val="19"/>
          <w:rFonts w:hint="eastAsia" w:ascii="仿宋" w:hAnsi="仿宋" w:eastAsia="仿宋" w:cs="仿宋"/>
          <w:b w:val="0"/>
          <w:bCs w:val="0"/>
          <w:spacing w:val="-4"/>
          <w:sz w:val="32"/>
          <w:szCs w:val="32"/>
          <w:lang w:eastAsia="zh-CN"/>
        </w:rPr>
        <w:t>改革试点</w:t>
      </w:r>
      <w:r>
        <w:rPr>
          <w:rStyle w:val="19"/>
          <w:rFonts w:hint="eastAsia" w:ascii="仿宋" w:hAnsi="仿宋" w:eastAsia="仿宋" w:cs="仿宋"/>
          <w:b w:val="0"/>
          <w:bCs w:val="0"/>
          <w:spacing w:val="-4"/>
          <w:sz w:val="32"/>
          <w:szCs w:val="32"/>
        </w:rPr>
        <w:t>，建立现代法人治理结构。积极引入社会力量参与国有企业办医疗机构重组改制。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2.《中华人民共和国网络安全法》：该法规定了网络安全的基本要求和相关责任，明确了信息技术安全保护的原则和措施。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3.《国家信息化发展战略纲要》：该纲要是国家信息化建设的总体规划，明确了信息化建设的目标、任务和政策措施。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此项目主要用于购置一批医疗设备269.19万元，搭建信息化平台远程医疗协作网120万元，通过实施此项目将会进一步改善医疗卫生服务体系，提高就诊率，</w:t>
      </w:r>
      <w:r>
        <w:rPr>
          <w:rStyle w:val="19"/>
          <w:rFonts w:hint="eastAsia" w:ascii="仿宋" w:hAnsi="仿宋" w:eastAsia="仿宋" w:cs="仿宋"/>
          <w:b w:val="0"/>
          <w:bCs w:val="0"/>
          <w:spacing w:val="-4"/>
          <w:sz w:val="32"/>
          <w:szCs w:val="32"/>
          <w:lang w:val="en-US" w:eastAsia="zh-CN"/>
        </w:rPr>
        <w:t>使</w:t>
      </w:r>
      <w:r>
        <w:rPr>
          <w:rStyle w:val="19"/>
          <w:rFonts w:hint="eastAsia" w:ascii="仿宋" w:hAnsi="仿宋" w:eastAsia="仿宋" w:cs="仿宋"/>
          <w:b w:val="0"/>
          <w:bCs w:val="0"/>
          <w:spacing w:val="-4"/>
          <w:sz w:val="32"/>
          <w:szCs w:val="32"/>
        </w:rPr>
        <w:t>县域内医疗服务能力进一步提升，满足广大群众基本医疗卫生服务需求。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项目自2024年1月开始实施，分五个阶段进行：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第一阶段2024年3月前完成政府采购前期论证、审批、对所需设备参数编写，此项工作主要由医学装备科牵头及各个相应临床科室主任参加完成参数的确认，严格按照采购审批及采购</w:t>
      </w:r>
      <w:r>
        <w:rPr>
          <w:rStyle w:val="19"/>
          <w:rFonts w:hint="eastAsia" w:ascii="仿宋" w:hAnsi="仿宋" w:eastAsia="仿宋" w:cs="仿宋"/>
          <w:b w:val="0"/>
          <w:bCs w:val="0"/>
          <w:spacing w:val="-4"/>
          <w:sz w:val="32"/>
          <w:szCs w:val="32"/>
          <w:lang w:eastAsia="zh-CN"/>
        </w:rPr>
        <w:t>法律法规</w:t>
      </w:r>
      <w:r>
        <w:rPr>
          <w:rStyle w:val="19"/>
          <w:rFonts w:hint="eastAsia" w:ascii="仿宋" w:hAnsi="仿宋" w:eastAsia="仿宋" w:cs="仿宋"/>
          <w:b w:val="0"/>
          <w:bCs w:val="0"/>
          <w:spacing w:val="-4"/>
          <w:sz w:val="32"/>
          <w:szCs w:val="32"/>
        </w:rPr>
        <w:t>进行；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第二阶段2024年3-4月实施采购挂网公开政府采购，按期保质保量完成工作；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第三阶段2024年4-5月完成招标、中标公示、签订合同并督促中标供应商抓紧时间供货；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第四阶段2024年7-10月完成设备供货、安装、施工、调试、验收工作，确保所采购设备完全符合要求，发挥设备的实用性，让专项资金使用到位，切实改善患者就医诊疗服务；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第五阶段2024年10-11月完成资金依法依规支付，支付前上报县相关部门及援建工作队审核，审核完成后由我院财务科按照支付流程进行拨付资金。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人民医院事业单位决算编制范围的有31个办公室：党政办，财务科，经管科，人事科，医学装备科，设备科，护理部，医务科，内科，妇产科，儿科，感染科，影像中心，</w:t>
      </w:r>
      <w:r>
        <w:rPr>
          <w:rStyle w:val="19"/>
          <w:rFonts w:hint="eastAsia" w:ascii="仿宋" w:hAnsi="仿宋" w:eastAsia="仿宋" w:cs="仿宋"/>
          <w:b w:val="0"/>
          <w:bCs w:val="0"/>
          <w:spacing w:val="-4"/>
          <w:sz w:val="32"/>
          <w:szCs w:val="32"/>
          <w:lang w:eastAsia="zh-CN"/>
        </w:rPr>
        <w:t>手术科</w:t>
      </w:r>
      <w:r>
        <w:rPr>
          <w:rStyle w:val="19"/>
          <w:rFonts w:hint="eastAsia" w:ascii="仿宋" w:hAnsi="仿宋" w:eastAsia="仿宋" w:cs="仿宋"/>
          <w:b w:val="0"/>
          <w:bCs w:val="0"/>
          <w:spacing w:val="-4"/>
          <w:sz w:val="32"/>
          <w:szCs w:val="32"/>
        </w:rPr>
        <w:t>，急诊科，药剂科，检验科，门诊部，总务科，肿瘤科，呼吸科，疼痛科，普外科，泌尿外科，肝胆外科，重症一科，重症二科，新生儿科，肾病科，中医科，康复科。编制人数258人，其中：行政人员编制0人、工勤0人、参公0人、事业编制258人。实有在职人数231人，其中：行政在职0人、工勤0人、参公0人、事业在职231人。离退休人员101人，其中：行政退休人员0人、事业退休101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喀地财社【2024】83号共安排下达资金389.19万元，为中央直达资金，最终确定项目资金总数为389.19万元。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截至2024年12月31日，实际支出389.19万元，预算执行率100%。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该项目主要用于购置一批医疗设备269.19万元，搭建信息化平台远程医疗协作网120万元，通过实施此项目将会进一步改善医疗卫生服务体系，提高就诊率，</w:t>
      </w:r>
      <w:r>
        <w:rPr>
          <w:rStyle w:val="19"/>
          <w:rFonts w:hint="eastAsia" w:ascii="仿宋" w:hAnsi="仿宋" w:eastAsia="仿宋" w:cs="仿宋"/>
          <w:b w:val="0"/>
          <w:bCs w:val="0"/>
          <w:spacing w:val="-4"/>
          <w:sz w:val="32"/>
          <w:szCs w:val="32"/>
          <w:lang w:val="en-US" w:eastAsia="zh-CN"/>
        </w:rPr>
        <w:t>使</w:t>
      </w:r>
      <w:r>
        <w:rPr>
          <w:rStyle w:val="19"/>
          <w:rFonts w:hint="eastAsia" w:ascii="仿宋" w:hAnsi="仿宋" w:eastAsia="仿宋" w:cs="仿宋"/>
          <w:b w:val="0"/>
          <w:bCs w:val="0"/>
          <w:spacing w:val="-4"/>
          <w:sz w:val="32"/>
          <w:szCs w:val="32"/>
        </w:rPr>
        <w:t>县域内医疗服务能力进一步提升，满足广大群众基本医疗卫生服务需求。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实施的前期准备工作：通过制定伽师县人民医院2024年医疗卫生机构能力建设补助资金项目实施方案，经项目负责人审核通过后，有序开展后续工作。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具体实施工作：资金到位之后立即根据项目要求实施项目。项目责任人按照项目实施方案要求逐一进行项目部署安排，提高项目质量及效率性。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验收阶段的具体工作：整理所购买相关设备的档案资料，规范医疗行为，提高医疗质量，确保医疗安全，使医院初步完善并加强了突发公共卫生的处理能力。</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人民医院2024年医疗卫生机构能力建设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人民医院2024年医疗卫生机构能力建设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伽师县人民医院2024年医疗卫生机构能力建设项目绩效评价指标体系及综合评分表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第一阶段：前期准备（2024年3月1日）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钟伟任评价组组长，绩效评价工作职责为负责全盘工作。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祁斌雄任评价组副组长，绩效评价工作职责为对项目实施情况进行实地调查。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马云红任评价组成员，绩效评价工作职责为负责资料审核等工作。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第二阶段：组织实施（2024年3月1日-3月9日）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第三阶段：分析评价（2024年3月10日-3月14日）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第四阶段：撰写与提交评价报告（2024年3月15日-3月20日）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通过实施伽师县人民医院2024年医疗卫生机构能力建设补助资金项目将会进一步改善医疗卫生服务体系，提高就诊率，</w:t>
      </w:r>
      <w:r>
        <w:rPr>
          <w:rStyle w:val="19"/>
          <w:rFonts w:hint="eastAsia" w:ascii="仿宋" w:hAnsi="仿宋" w:eastAsia="仿宋" w:cs="仿宋"/>
          <w:b w:val="0"/>
          <w:bCs w:val="0"/>
          <w:spacing w:val="-4"/>
          <w:sz w:val="32"/>
          <w:szCs w:val="32"/>
          <w:lang w:val="en-US" w:eastAsia="zh-CN"/>
        </w:rPr>
        <w:t>使</w:t>
      </w:r>
      <w:r>
        <w:rPr>
          <w:rStyle w:val="19"/>
          <w:rFonts w:hint="eastAsia" w:ascii="仿宋" w:hAnsi="仿宋" w:eastAsia="仿宋" w:cs="仿宋"/>
          <w:b w:val="0"/>
          <w:bCs w:val="0"/>
          <w:spacing w:val="-4"/>
          <w:sz w:val="32"/>
          <w:szCs w:val="32"/>
        </w:rPr>
        <w:t>县域内医疗服务能力进一步提升，满足广大群众基本医疗卫生服务需求。效益。项目实施主要通过项目决策、项目过程、项目产出以及项目效益等方面进行评价，其中：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项目决策：该项目主要通过喀地财社〔2024〕83号文件立项，项目立项依据充分，立项程序规范。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项目过程：伽师县人民医院2024年医疗卫生机构能力建设补助资金项目项目预算安排 389.19万元，实际支出389.19万元，预算执行率100%。项目资金使用合规，项目财务管理制度健全，财务监控到位，所有资金支付均按照国库集中支付制度严格执行，现有项目管理制度执行情况良好。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项目产出：购买一批移动通信设备、建设一个信息化平台，购买一批妇产科医疗设备，购买一批新生儿科医疗设备。设备已采购完毕，购置合同执行违规率为0%，设备采购合格率为100%。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项目效益：通过实施此项目将会进一步改善医疗卫生服务体系，提高就诊率，</w:t>
      </w:r>
      <w:r>
        <w:rPr>
          <w:rStyle w:val="19"/>
          <w:rFonts w:hint="eastAsia" w:ascii="仿宋" w:hAnsi="仿宋" w:eastAsia="仿宋" w:cs="仿宋"/>
          <w:b w:val="0"/>
          <w:bCs w:val="0"/>
          <w:spacing w:val="-4"/>
          <w:sz w:val="32"/>
          <w:szCs w:val="32"/>
          <w:lang w:val="en-US" w:eastAsia="zh-CN"/>
        </w:rPr>
        <w:t>使</w:t>
      </w:r>
      <w:r>
        <w:rPr>
          <w:rStyle w:val="19"/>
          <w:rFonts w:hint="eastAsia" w:ascii="仿宋" w:hAnsi="仿宋" w:eastAsia="仿宋" w:cs="仿宋"/>
          <w:b w:val="0"/>
          <w:bCs w:val="0"/>
          <w:spacing w:val="-4"/>
          <w:sz w:val="32"/>
          <w:szCs w:val="32"/>
        </w:rPr>
        <w:t>县域内医疗服务能力进一步提升，满足广大群众基本医疗卫生服务需求。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70分（含）—80分）；差（0分—70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伽师县人民医院2024年医疗卫生机构能力建设补助资金项目已</w:t>
      </w:r>
      <w:r>
        <w:rPr>
          <w:rStyle w:val="19"/>
          <w:rFonts w:hint="eastAsia" w:ascii="仿宋" w:hAnsi="仿宋" w:eastAsia="仿宋" w:cs="仿宋"/>
          <w:b w:val="0"/>
          <w:bCs w:val="0"/>
          <w:spacing w:val="-4"/>
          <w:sz w:val="32"/>
          <w:szCs w:val="32"/>
          <w:lang w:eastAsia="zh-CN"/>
        </w:rPr>
        <w:t>完成</w:t>
      </w:r>
      <w:bookmarkStart w:id="0" w:name="_GoBack"/>
      <w:bookmarkEnd w:id="0"/>
      <w:r>
        <w:rPr>
          <w:rStyle w:val="19"/>
          <w:rFonts w:hint="eastAsia" w:ascii="仿宋" w:hAnsi="仿宋" w:eastAsia="仿宋" w:cs="仿宋"/>
          <w:b w:val="0"/>
          <w:bCs w:val="0"/>
          <w:spacing w:val="-4"/>
          <w:sz w:val="32"/>
          <w:szCs w:val="32"/>
          <w:lang w:eastAsia="zh-CN"/>
        </w:rPr>
        <w:t>购置一批</w:t>
      </w:r>
      <w:r>
        <w:rPr>
          <w:rStyle w:val="19"/>
          <w:rFonts w:hint="eastAsia" w:ascii="仿宋" w:hAnsi="仿宋" w:eastAsia="仿宋" w:cs="仿宋"/>
          <w:b w:val="0"/>
          <w:bCs w:val="0"/>
          <w:spacing w:val="-4"/>
          <w:sz w:val="32"/>
          <w:szCs w:val="32"/>
        </w:rPr>
        <w:t>医疗设备269.19万元，搭建信息化平台远程医疗协作网120万元，，推动了实施此项目将会进一步改善医疗卫生服务体系，提高就诊率，</w:t>
      </w:r>
      <w:r>
        <w:rPr>
          <w:rStyle w:val="19"/>
          <w:rFonts w:hint="eastAsia" w:ascii="仿宋" w:hAnsi="仿宋" w:eastAsia="仿宋" w:cs="仿宋"/>
          <w:b w:val="0"/>
          <w:bCs w:val="0"/>
          <w:spacing w:val="-4"/>
          <w:sz w:val="32"/>
          <w:szCs w:val="32"/>
          <w:lang w:val="en-US" w:eastAsia="zh-CN"/>
        </w:rPr>
        <w:t>使</w:t>
      </w:r>
      <w:r>
        <w:rPr>
          <w:rStyle w:val="19"/>
          <w:rFonts w:hint="eastAsia" w:ascii="仿宋" w:hAnsi="仿宋" w:eastAsia="仿宋" w:cs="仿宋"/>
          <w:b w:val="0"/>
          <w:bCs w:val="0"/>
          <w:spacing w:val="-4"/>
          <w:sz w:val="32"/>
          <w:szCs w:val="32"/>
        </w:rPr>
        <w:t>县域内医疗服务能力进一步提升，满足广大群众基本医疗卫生服务需求。该项目最终评分100分，绩效评级为“优”。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 15 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结合伽师县人民医院职责，并组织实施。围绕伽师县伽师县人民医院年度工作重点和工作计划制定经费预算。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①项目立项符合国家法律法规、</w:t>
      </w:r>
      <w:r>
        <w:rPr>
          <w:rStyle w:val="19"/>
          <w:rFonts w:hint="eastAsia" w:ascii="仿宋" w:hAnsi="仿宋" w:eastAsia="仿宋" w:cs="仿宋"/>
          <w:b w:val="0"/>
          <w:bCs w:val="0"/>
          <w:spacing w:val="-4"/>
          <w:sz w:val="32"/>
          <w:szCs w:val="32"/>
          <w:lang w:eastAsia="zh-CN"/>
        </w:rPr>
        <w:t>国民经济和社会发展规划</w:t>
      </w:r>
      <w:r>
        <w:rPr>
          <w:rStyle w:val="19"/>
          <w:rFonts w:hint="eastAsia" w:ascii="仿宋" w:hAnsi="仿宋" w:eastAsia="仿宋" w:cs="仿宋"/>
          <w:b w:val="0"/>
          <w:bCs w:val="0"/>
          <w:spacing w:val="-4"/>
          <w:sz w:val="32"/>
          <w:szCs w:val="32"/>
        </w:rPr>
        <w:t>和相关政策得1分。主要包括国家法律法规和政府出台的相关文件。以下是一些常见的相关政策依据：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1.《中华人民共和国网络安全法》：该法规定了网络安全的基本要求和相关责任，明确了信息技术安全保护的原则和措施。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2.《国家信息化发展战略纲要》：该纲要是国家信息化建设的总体规划，明确了信息化建设的目标、任务和政策措施。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新一轮医药卫生体制改革实施以来，国家出台多项措施促进社会办医发展，政策效应持续显现，但与形成多元办医格局的目标仍有不小差距，还有一些体制机制障碍和政策束缚需要破除。为加快推进社会办医疗机构成规模、上水平发展，不断满足人民群众多样化、多层次医疗卫生服务需求，为经济社会转型发展注入新的动力，各地区、各有关部门要在深入贯彻落实《国务院关于促进健康服务业发展的若干意见》（国发〔2013〕40号）和《国务院办公厅转发发展改革委</w:t>
      </w:r>
      <w:r>
        <w:rPr>
          <w:rStyle w:val="19"/>
          <w:rFonts w:hint="eastAsia" w:ascii="仿宋" w:hAnsi="仿宋" w:eastAsia="仿宋" w:cs="仿宋"/>
          <w:b w:val="0"/>
          <w:bCs w:val="0"/>
          <w:spacing w:val="-4"/>
          <w:sz w:val="32"/>
          <w:szCs w:val="32"/>
          <w:lang w:eastAsia="zh-CN"/>
        </w:rPr>
        <w:t>卫健委</w:t>
      </w:r>
      <w:r>
        <w:rPr>
          <w:rStyle w:val="19"/>
          <w:rFonts w:hint="eastAsia" w:ascii="仿宋" w:hAnsi="仿宋" w:eastAsia="仿宋" w:cs="仿宋"/>
          <w:b w:val="0"/>
          <w:bCs w:val="0"/>
          <w:spacing w:val="-4"/>
          <w:sz w:val="32"/>
          <w:szCs w:val="32"/>
        </w:rPr>
        <w:t>等部门关于进一步鼓励和引导社会资本举办医疗机构意见的通知》（国办发〔2010〕58号）的基础上，进一步实施以下政策措施：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清理规范医疗机构设立审批。明确并向社会公开公布举办医疗机构审批程序、审批主体和审批时限。各级相关行政部门要按照“非禁即入”原则，全面清理、取消不合理的前置审批事项，整合社会办医疗机构设置、执业许可等审批环节，进一步明确并缩短审批时限，不得新设前置审批事项或提高审批条件，不得限制社会办医疗机构的经营性质，鼓励有条件的地方为申办医疗机构相关手续提供一站式服务。完善社会办医疗机构设立审批的属地化管理，进一步促进社会办医，具体床位规模审批权限由各省（区、市）按照《医疗机构管理条例》自行确定。鼓励社会力量举办中医类专科医院和只提供传统中医药服务的中医门诊部、中医诊所，加快社会办中医类机构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公开区域医疗资源规划情况。各地要定期公开公布区域内医疗机构数量、布局以及床位、大型设备等资源配置情况，并将社会办医纳入相关规划，按照一定比例为社会办医预留床位和大型设备等资源配置空间，在符合规划总量和结构的前提下，取消对社会办医疗机构的具体数量和地点限制。出台或调整区域卫生规划和医疗机构设置规划，须及时向社会公开公布，并详细说明本区域可新增或拟调整的医疗资源的规模和布局。对涉及新增或调整医疗资源的，包括新建城区等，政府必须落实保基本的责任，同时支持由社会力量举办和运营医疗机构。未公开公布规划的，不得以规划为由拒绝社会力量举办医疗机构或配置医疗设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（三）减少运行审批限制。不将社会办医疗机构等级、床位规模等作为确定配置大型设备的必要前置条件，重点考核机构人员资质与技术服务能力等指标。优化大型设备配置使用程序，简化流程。严控公立医院</w:t>
      </w:r>
      <w:r>
        <w:rPr>
          <w:rStyle w:val="19"/>
          <w:rFonts w:hint="eastAsia" w:ascii="仿宋" w:hAnsi="仿宋" w:eastAsia="仿宋" w:cs="仿宋"/>
          <w:b w:val="0"/>
          <w:bCs w:val="0"/>
          <w:spacing w:val="-4"/>
          <w:sz w:val="32"/>
          <w:szCs w:val="32"/>
          <w:lang w:eastAsia="zh-CN"/>
        </w:rPr>
        <w:t>超常规配置大型</w:t>
      </w:r>
      <w:r>
        <w:rPr>
          <w:rStyle w:val="19"/>
          <w:rFonts w:hint="eastAsia" w:ascii="仿宋" w:hAnsi="仿宋" w:eastAsia="仿宋" w:cs="仿宋"/>
          <w:b w:val="0"/>
          <w:bCs w:val="0"/>
          <w:spacing w:val="-4"/>
          <w:sz w:val="32"/>
          <w:szCs w:val="32"/>
        </w:rPr>
        <w:t>医用设备；社会办医疗机构配置大型医用设备，凡符合规划条件和准入资质的，不得以任何理由加以限制。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控制公立医院规模，规范公立医院改制。按照总量控制、结构调整、规模适度的原则，合理控制公立医疗机构数量和规模，拓展社会办医发展空间。总结地方实践经验，引导和规范公立医院改制，避免国有资产流失。各地要结合区域卫生规划和医疗机构设置规划制订工作，明确政府办医的范围和数量，落实政府投入责任，严格限制公立医院特需服务规模。在县域内，社会办医要和县级公立医院改革相结合，发挥公立医院主体作用和社会办医补充作用，相辅相成。在此基础上，在公立医疗资源丰富的地区，有序引导和规范包括国有企业办医院在内的部分公立医院改制。推动国有企业办医院分离移交或</w:t>
      </w:r>
      <w:r>
        <w:rPr>
          <w:rStyle w:val="19"/>
          <w:rFonts w:hint="eastAsia" w:ascii="仿宋" w:hAnsi="仿宋" w:eastAsia="仿宋" w:cs="仿宋"/>
          <w:b w:val="0"/>
          <w:bCs w:val="0"/>
          <w:spacing w:val="-4"/>
          <w:sz w:val="32"/>
          <w:szCs w:val="32"/>
          <w:lang w:eastAsia="zh-CN"/>
        </w:rPr>
        <w:t>改革试点</w:t>
      </w:r>
      <w:r>
        <w:rPr>
          <w:rStyle w:val="19"/>
          <w:rFonts w:hint="eastAsia" w:ascii="仿宋" w:hAnsi="仿宋" w:eastAsia="仿宋" w:cs="仿宋"/>
          <w:b w:val="0"/>
          <w:bCs w:val="0"/>
          <w:spacing w:val="-4"/>
          <w:sz w:val="32"/>
          <w:szCs w:val="32"/>
        </w:rPr>
        <w:t>，建立现代法人治理结构。积极引入社会力量参与国有企业办医疗机构重组改制。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2.《中华人民共和国网络安全法》：该法规定了网络安全的基本要求和相关责任，明确了信息技术安全保护的原则和措施。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3.《国家信息化发展战略纲要》：该纲要是国家信息化建设的总体规划，明确了信息化建设的目标、任务和政策措施。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③项目立项是根据《伽师县人民医院三定方案》第一条伽师县人民医院职责，故项目立项与部门职责范围相符，</w:t>
      </w:r>
      <w:r>
        <w:rPr>
          <w:rStyle w:val="19"/>
          <w:rFonts w:hint="eastAsia" w:ascii="仿宋" w:hAnsi="仿宋" w:eastAsia="仿宋" w:cs="仿宋"/>
          <w:b w:val="0"/>
          <w:bCs w:val="0"/>
          <w:spacing w:val="-4"/>
          <w:sz w:val="32"/>
          <w:szCs w:val="32"/>
          <w:lang w:eastAsia="zh-CN"/>
        </w:rPr>
        <w:t>属于部门</w:t>
      </w:r>
      <w:r>
        <w:rPr>
          <w:rStyle w:val="19"/>
          <w:rFonts w:hint="eastAsia" w:ascii="仿宋" w:hAnsi="仿宋" w:eastAsia="仿宋" w:cs="仿宋"/>
          <w:b w:val="0"/>
          <w:bCs w:val="0"/>
          <w:spacing w:val="-4"/>
          <w:sz w:val="32"/>
          <w:szCs w:val="32"/>
        </w:rPr>
        <w:t>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①项目根据决策依据编制工作计划和经费预算，经过与张梅分管领导进行沟通、筛选确定经费预算计划，上支委会研究确定最终预算方案，严格按照规定的程序申请设立，得1分。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②项目的审批文件及材料有《喀地财社〔2022〕82号》、《伽师县人民医院设备经费的报告》等，符合相关要求，得0.5分。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③事前已经过必要的可行性研究、专家论证、风险评估、绩效评估、集体决策，文件及材料有《伽师县</w:t>
      </w:r>
      <w:r>
        <w:rPr>
          <w:rStyle w:val="19"/>
          <w:rFonts w:hint="eastAsia" w:ascii="仿宋" w:hAnsi="仿宋" w:eastAsia="仿宋" w:cs="仿宋"/>
          <w:b w:val="0"/>
          <w:bCs w:val="0"/>
          <w:spacing w:val="-4"/>
          <w:sz w:val="32"/>
          <w:szCs w:val="32"/>
          <w:lang w:eastAsia="zh-CN"/>
        </w:rPr>
        <w:t>人民医院院长会会议纪要</w:t>
      </w:r>
      <w:r>
        <w:rPr>
          <w:rStyle w:val="19"/>
          <w:rFonts w:hint="eastAsia" w:ascii="仿宋" w:hAnsi="仿宋" w:eastAsia="仿宋" w:cs="仿宋"/>
          <w:b w:val="0"/>
          <w:bCs w:val="0"/>
          <w:spacing w:val="-4"/>
          <w:sz w:val="32"/>
          <w:szCs w:val="32"/>
        </w:rPr>
        <w:t>》、《伽师县人民医院拨款申请报告》得0.5分。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①项目严格按照《2024年自治区分行业分领域绩效指标体系》、《伽师县人民医院2024年医疗卫生机构能力建设补助资金项目实施方案》设置了《项目支出绩效目标表》得0.5分。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移动通信设备采购数量、信息化平台建设数量，采购妇产科医疗设备、采购新生儿科医疗设备，购置合同执行违规率，设备采购合格率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w:t>
      </w:r>
      <w:r>
        <w:rPr>
          <w:rStyle w:val="19"/>
          <w:rFonts w:hint="eastAsia" w:ascii="仿宋" w:hAnsi="仿宋" w:eastAsia="仿宋" w:cs="仿宋"/>
          <w:b w:val="0"/>
          <w:bCs w:val="0"/>
          <w:spacing w:val="-4"/>
          <w:sz w:val="32"/>
          <w:szCs w:val="32"/>
          <w:lang w:eastAsia="zh-CN"/>
        </w:rPr>
        <w:t>是否符合正常</w:t>
      </w:r>
      <w:r>
        <w:rPr>
          <w:rStyle w:val="19"/>
          <w:rFonts w:hint="eastAsia" w:ascii="仿宋" w:hAnsi="仿宋" w:eastAsia="仿宋" w:cs="仿宋"/>
          <w:b w:val="0"/>
          <w:bCs w:val="0"/>
          <w:spacing w:val="-4"/>
          <w:sz w:val="32"/>
          <w:szCs w:val="32"/>
        </w:rPr>
        <w:t>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伽师县人民医院资金申请报告》《伽师县人民医院2024年医疗卫生机构能力建设补助资金项目实施方案》、《喀地财社〔2024〕83号》等相关资料，本项目预算确定金额、预算批复的项目投资额都为389.19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①根据《伽师</w:t>
      </w:r>
      <w:r>
        <w:rPr>
          <w:rStyle w:val="19"/>
          <w:rFonts w:hint="eastAsia" w:ascii="仿宋" w:hAnsi="仿宋" w:eastAsia="仿宋" w:cs="仿宋"/>
          <w:b w:val="0"/>
          <w:bCs w:val="0"/>
          <w:spacing w:val="-4"/>
          <w:sz w:val="32"/>
          <w:szCs w:val="32"/>
          <w:lang w:eastAsia="zh-CN"/>
        </w:rPr>
        <w:t>人民医院院长</w:t>
      </w:r>
      <w:r>
        <w:rPr>
          <w:rStyle w:val="19"/>
          <w:rFonts w:hint="eastAsia" w:ascii="仿宋" w:hAnsi="仿宋" w:eastAsia="仿宋" w:cs="仿宋"/>
          <w:b w:val="0"/>
          <w:bCs w:val="0"/>
          <w:spacing w:val="-4"/>
          <w:sz w:val="32"/>
          <w:szCs w:val="32"/>
        </w:rPr>
        <w:t>会议纪要》，本项目预算编制经过科学论证，得0.5分。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②根据《伽师县人民医院资金申请报告》《伽师县2024年医疗卫生机构能力建设补助资金项目实施方案》、《伽师</w:t>
      </w:r>
      <w:r>
        <w:rPr>
          <w:rStyle w:val="19"/>
          <w:rFonts w:hint="eastAsia" w:ascii="仿宋" w:hAnsi="仿宋" w:eastAsia="仿宋" w:cs="仿宋"/>
          <w:b w:val="0"/>
          <w:bCs w:val="0"/>
          <w:spacing w:val="-4"/>
          <w:sz w:val="32"/>
          <w:szCs w:val="32"/>
          <w:lang w:eastAsia="zh-CN"/>
        </w:rPr>
        <w:t>人民医院院长</w:t>
      </w:r>
      <w:r>
        <w:rPr>
          <w:rStyle w:val="19"/>
          <w:rFonts w:hint="eastAsia" w:ascii="仿宋" w:hAnsi="仿宋" w:eastAsia="仿宋" w:cs="仿宋"/>
          <w:b w:val="0"/>
          <w:bCs w:val="0"/>
          <w:spacing w:val="-4"/>
          <w:sz w:val="32"/>
          <w:szCs w:val="32"/>
        </w:rPr>
        <w:t>会议纪要》、《喀地财社〔2022〕82号》，本项目预算内容与项目内容匹配，得0.5分。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①本项目以《伽师县2024年医疗卫生机构能力建设补助资金项目申请报告》、《伽师</w:t>
      </w:r>
      <w:r>
        <w:rPr>
          <w:rStyle w:val="19"/>
          <w:rFonts w:hint="eastAsia" w:ascii="仿宋" w:hAnsi="仿宋" w:eastAsia="仿宋" w:cs="仿宋"/>
          <w:b w:val="0"/>
          <w:bCs w:val="0"/>
          <w:spacing w:val="-4"/>
          <w:sz w:val="32"/>
          <w:szCs w:val="32"/>
          <w:lang w:eastAsia="zh-CN"/>
        </w:rPr>
        <w:t>人民医院院长</w:t>
      </w:r>
      <w:r>
        <w:rPr>
          <w:rStyle w:val="19"/>
          <w:rFonts w:hint="eastAsia" w:ascii="仿宋" w:hAnsi="仿宋" w:eastAsia="仿宋" w:cs="仿宋"/>
          <w:b w:val="0"/>
          <w:bCs w:val="0"/>
          <w:spacing w:val="-4"/>
          <w:sz w:val="32"/>
          <w:szCs w:val="32"/>
        </w:rPr>
        <w:t>会议纪要》、《喀地财社〔2024〕83号》文件为依据进行资金分配，预算资金分配依据充分，得1分。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②根据本项目《伽师县2024年医疗卫生机构能力建设补助资金项目实施方案》资金分配额度合理，与我单位实际情况相适应，得1分。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喀地财社〔2024〕83号》，预算安排总额为389.19万元，实际到位389.19万元，资金到位率100%。资金到位率=（实际到位资金/预算资金）×100%=（389.19万元/389.19万元）×100%=100%，得3分。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389.19万元，实际支出资金为389.19万元，预算执行率=（实际支出资金/实际到位资金）×100%=（389.19万元/389.19万元）×100%=100%，得3分。综上，该指标满分3分，根据评分标准得3分，扣除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①经查证项目的支付凭证，项目资金的使用依据《伽师县人民医院内控制度》和《伽师县人民医院财务制度》“专款专用的使用要求”，得1分。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①我单位制定了《伽师县人民医院预算绩效管理工作实施办法》，《伽师县人民医院财务管理制度》等健全完整的各项管理制度，得2分。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部门提出经费预算支出可行性方案，经过与县政府分管领导沟通后，报党支部会议研究执行，财务对资金的使用合法合规性进行监督，年底对资金使用效果进行自评。为加强对伽师县人民医院2024年医疗卫生机构能力建设补助资金项目的组织领导，确保项目保质保量的按照相关规定及程序完成，成立项目领导小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钟伟任组长，职责为负责全盘工作。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祁柄雄副组长，职责为对项目实施情况进行实地调查。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马云红任成员，职责为负责资料审核等工作。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本项目有效执行各项制度，根据评分标准，该指标不扣分，得5分。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移动通信设备采购数量指标，预期指标值为1批，实际完成值为10批，与预期目标一致，根据评分标准，该指标不扣分，得5分。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信息化平台建设数量指标，预期指标值为1个，实际完成值为1个，指标完成率为100%，与预期目标一致，根据评分标准，该指标不扣分，得5分。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购置合同执行违规率指标，预期指标值为小于等于15%，实际完成值为15%，实际完成值为100%，与预期目标一致，根据评分标准，该指标不扣分，得5分。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设备采购合格率指标，预期指标值为100%，实际完成值为100%，与预期目标一致，根据评分标准，该指标不扣分，得5分。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采购款拨付及时率指标，预期指标值为100%，实际完成值为100%，与预期目标一致，根据评分标准，该指标不扣分，得10分。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移动通信设备采购成本指标，预期指标值为小于等于269.19万元，实际完成值为269.19万元，指标完成率为100%，与预期目标一致，项目经费都能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信息化平台建设成本指标，预期指标值为小于等于120万元，实际完成值为120万元，指标完成率为100%，与预期目标一致，项目经费都能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解决患者就医难题指标，该指标预期指标值为有效解决，实际完成值为有效解决，指标完成率为100%，与预期指标一致，根据评分标准，该指标不扣分，得10分。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对于满意度指标：使用人员满意度，该指标预期指标值为大于等于95%，实际完成值为95%，指标完成率为100%,达到预期目标，根据评分标准，该指标不扣分,得10分。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伽师县人民医院2024年医疗卫生机构能力建设项目预算389.19万元，到位389.19万元，实际支出389.19万元，预算执行率为100%，项目绩效指标总体完成率为100%，。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二是严格程序、确保资金效益。项目坚持层层审批原则，做到支付程序规范，严格按照上级审批及支付手续，并严格按照资金使用的相关管理要求。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三是加强领导，落实责任。我院高度重视本项目，责任落实到个人头上，保证了项目的质量，提高了项目执行率。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二是没有重视绩效工作，上报绩效报告时不认真、不及时，对绩效操作不熟悉。在客观性和公正性上说服力不强。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三是因工作计划及不确定因素影响，个别项目指标存在未能按照计划开展。</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3.提前做好计划，对预算绩效评价工作人员强化培训，提高绩效工作人员业务水平。</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val="en-US"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CDA294B"/>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61e9df-e635-4073-ab2c-d46c2c44f11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9</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2025-10-21T08:50:23Z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