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伽师县儿童福利院2024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提供收养服务，弘扬救助精神，开展孤儿与弃婴收养以及家庭无力照管残疾儿童收养，为孤儿提供接受文化教育及技艺培训。</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伽师县儿童福利院2024年度，实有人数6人，其中：在职人员4人，增加1人；离休人员0人，增加0人；退休人员2人,增加0人。</w:t>
      </w:r>
    </w:p>
    <w:p>
      <w:pPr>
        <w:spacing w:line="580" w:lineRule="exact"/>
        <w:ind w:firstLine="640"/>
        <w:jc w:val="both"/>
      </w:pPr>
      <w:r>
        <w:rPr>
          <w:rFonts w:ascii="仿宋_GB2312" w:hAnsi="仿宋_GB2312" w:eastAsia="仿宋_GB2312"/>
          <w:sz w:val="32"/>
        </w:rPr>
        <w:t>伽师县儿童福利院无下属预算单位，下设1个科室，分别是：办公室。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2024年度收入总计82.75万元，</w:t>
      </w:r>
      <w:r>
        <w:rPr>
          <w:rFonts w:ascii="仿宋_GB2312" w:hAnsi="仿宋_GB2312" w:eastAsia="仿宋_GB2312"/>
          <w:b w:val="0"/>
          <w:sz w:val="32"/>
        </w:rPr>
        <w:t>其中：本年收入合计82.75万元，使用非财政拨款结余（含专用结余）0.00万元，年初结转和结余0.00万元。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2024年度支出总计82.75万元，</w:t>
      </w:r>
      <w:r>
        <w:rPr>
          <w:rFonts w:ascii="仿宋_GB2312" w:hAnsi="仿宋_GB2312" w:eastAsia="仿宋_GB2312"/>
          <w:b w:val="0"/>
          <w:sz w:val="32"/>
        </w:rPr>
        <w:t>其中：本年支出合计82.75万元，结余分配0.00万元，年末结转和结余0.00万元。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收入支出总体与上年相比，增加13.96万元，增长20.29%，主要原因是：本年在职人员工资调增，人员经费增加；增加县级配套运转经费项目，导致经费较上年增加。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本年收入82.75万元，</w:t>
      </w:r>
      <w:r>
        <w:rPr>
          <w:rFonts w:ascii="仿宋_GB2312" w:hAnsi="仿宋_GB2312" w:eastAsia="仿宋_GB2312"/>
          <w:b w:val="0"/>
          <w:sz w:val="32"/>
        </w:rPr>
        <w:t>其中：财政拨款收入82.75万元，占100.00%；上级补助收入0.00万元，占0.00%；事业收入0.00万元，占0.00%；经营收入0.00万元，占0.00%；附属单位上缴收入0.00万元，占0.00%；其他收入0.00万元，占0.00%。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本年支出82.75万元，</w:t>
      </w:r>
      <w:r>
        <w:rPr>
          <w:rFonts w:ascii="仿宋_GB2312" w:hAnsi="仿宋_GB2312" w:eastAsia="仿宋_GB2312"/>
          <w:b w:val="0"/>
          <w:sz w:val="32"/>
        </w:rPr>
        <w:t>其中：基本支出64.54万元，占77.99%；项目支出18.21万元，占22.01%；上缴上级支出0.00万元，占0.00%；经营支出0.00万元，占0.00%；对附属单位补助支出0.00万元，占0.00%。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2024年度财政拨款收入总计82.75万元，</w:t>
      </w:r>
      <w:r>
        <w:rPr>
          <w:rFonts w:ascii="仿宋_GB2312" w:hAnsi="仿宋_GB2312" w:eastAsia="仿宋_GB2312"/>
          <w:b w:val="0"/>
          <w:sz w:val="32"/>
        </w:rPr>
        <w:t>其中：年初财政拨款结转和结余0.00万元，本年财政拨款收入82.75万元。</w:t>
      </w:r>
      <w:r>
        <w:rPr>
          <w:rFonts w:ascii="仿宋_GB2312" w:hAnsi="仿宋_GB2312" w:eastAsia="仿宋_GB2312"/>
          <w:b/>
          <w:sz w:val="32"/>
        </w:rPr>
        <w:t>财政拨款支出总计82.75万元，</w:t>
      </w:r>
      <w:r>
        <w:rPr>
          <w:rFonts w:ascii="仿宋_GB2312" w:hAnsi="仿宋_GB2312" w:eastAsia="仿宋_GB2312"/>
          <w:b w:val="0"/>
          <w:sz w:val="32"/>
        </w:rPr>
        <w:t>其中：年末财政拨款结转和结余0.00万元，本年财政拨款支出82.75万元。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增加13.96万元，增长20.29%，主要原因是：本年在职人员工资调增，人员经费增加；增加县级配套运转经费项目，导致经费较上年增加。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年初预算数52.78万元，决算数82.75万元，预决算差异率56.78%，主要原因是：本年在职人员增加，年中追加人员经费及人员工资、社保、公积金基数调增部分资金及县级配套运转经费项目，导致预决算存在差异。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2024年度一般公共预算财政拨款支出82.75万元，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增加13.96万元，增长20.29%，主要原因是：本年在职人员工资调增，人员经费增加；增加县级配套运转经费项目，导致经费较上年增加。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年初预算数52.78万元，决算数82.75万元，预决算差异率56.78%，主要原因是：本年在职人员增加，年中追加人员经费及人员工资、社保、公积金基数调增部分资金及县级配套运转经费项目，导致预决算存在差异。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1.社会保障和就业支出(类)75.00万元,占90.63%。</w:t>
      </w:r>
    </w:p>
    <w:p>
      <w:pPr>
        <w:spacing w:line="580" w:lineRule="exact"/>
        <w:ind w:firstLine="640"/>
        <w:jc w:val="both"/>
      </w:pPr>
      <w:r>
        <w:rPr>
          <w:rFonts w:ascii="仿宋_GB2312" w:hAnsi="仿宋_GB2312" w:eastAsia="仿宋_GB2312"/>
          <w:b w:val="0"/>
          <w:sz w:val="32"/>
        </w:rPr>
        <w:t>2.卫生健康支出(类)2.66万元,占3.21%。</w:t>
      </w:r>
    </w:p>
    <w:p>
      <w:pPr>
        <w:spacing w:line="580" w:lineRule="exact"/>
        <w:ind w:firstLine="640"/>
        <w:jc w:val="both"/>
      </w:pPr>
      <w:r>
        <w:rPr>
          <w:rFonts w:ascii="仿宋_GB2312" w:hAnsi="仿宋_GB2312" w:eastAsia="仿宋_GB2312"/>
          <w:b w:val="0"/>
          <w:sz w:val="32"/>
        </w:rPr>
        <w:t>3.住房保障支出(类)5.10万元,占6.16%。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1.社会保障和就业支出(类)行政事业单位养老支出(款)事业单位离退休(项):支出决算数为2.73万元，比上年决算增加0.42万元，增长18.18%,主要原因是：本年退休人员基础绩效调增，退休人员经费增加。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6.25万元，比上年决算增加1.72万元，增长37.97%,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3.社会保障和就业支出(类)社会福利(款)儿童福利(项):支出决算数为66.01万元，比上年决算增加9.54万元，增长16.89%,主要原因是：本年在职人员工资调增，人员经费增加；增加县级配套运转经费。</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4.卫生健康支出(类)行政事业单位医疗(款)事业单位医疗(项):支出决算数为2.66万元，比上年决算增加0.73万元，增长37.82%,主要原因是：本年在职人员工资基数调增，医疗缴费基数上涨，相应支出增加。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5.住房保障支出(类)住房改革支出(款)住房公积金(项):支出决算数为5.10万元，比上年决算增加1.55万元，增长43.66%,主要原因是：本年在职人员工资基数调增，公积金缴费基数上涨，相应支出增加。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2024年度一般公共预算财政拨款基本支出64.54万元，其中：</w:t>
      </w:r>
      <w:r>
        <w:rPr>
          <w:rFonts w:ascii="仿宋_GB2312" w:hAnsi="仿宋_GB2312" w:eastAsia="仿宋_GB2312"/>
          <w:b/>
          <w:sz w:val="32"/>
        </w:rPr>
        <w:t>人员经费63.43万元，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公用经费1.10万元，</w:t>
      </w:r>
      <w:r>
        <w:rPr>
          <w:rFonts w:ascii="仿宋_GB2312" w:hAnsi="仿宋_GB2312" w:eastAsia="仿宋_GB2312"/>
          <w:b w:val="0"/>
          <w:sz w:val="32"/>
        </w:rPr>
        <w:t>包括：办公费、水费、电费、差旅费、公务接待费。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2024年度财政拨款“三公”经费支出0.02万元，</w:t>
      </w:r>
      <w:r>
        <w:rPr>
          <w:rFonts w:ascii="仿宋_GB2312" w:hAnsi="仿宋_GB2312" w:eastAsia="仿宋_GB2312"/>
          <w:b w:val="0"/>
          <w:sz w:val="32"/>
        </w:rPr>
        <w:t>比上年减少0.01万元，下降33.33%，主要原因是：严格落实中央八项规定精神，厉行节约，上级督导检查减少，公务接待费支出减少。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0.02万元，占100.00%，比上年减少0.01万元，下降33.33%，主要原因是：严格落实中央八项规定精神，厉行节约，上级督导检查减少，公务接待费支出减少。</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w:t>
      </w:r>
      <w:bookmarkStart w:id="0" w:name="_GoBack"/>
      <w:bookmarkEnd w:id="0"/>
      <w:r>
        <w:rPr>
          <w:rFonts w:ascii="仿宋_GB2312" w:hAnsi="仿宋_GB2312" w:eastAsia="仿宋_GB2312"/>
          <w:b w:val="0"/>
          <w:sz w:val="32"/>
        </w:rPr>
        <w:t>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公务接待费0.02万元，开支内容包括上级督导检查产生的就餐费。单位全年安排的国内公务接待1批次，4人次。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0.02万元，决算数0.02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0.02万元，决算数0.02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2024年度伽师县儿童福利院（事业单位）公用经费支出1.10万元，比上年减少17.74万元，下降94.16%，主要原因是：本年办公费支出减少，相应支出减少。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2024年度政府采购支出总额0.99万元，其中：政府采购货物支出0.99万元、政府采购工程支出0.00万元、政府采购服务支出0.00万元。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授予中小企业合同金额0.99万元，占政府采购支出总额的100.00%，其中：授予小微企业合同金额0.99万元，占政府采购支出总额的100.00%。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本年度本单位整体绩效自评表由伽师县民政局编报并公开。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9C15AF"/>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5</TotalTime>
  <ScaleCrop>false</ScaleCrop>
  <LinksUpToDate>false</LinksUpToDate>
  <CharactersWithSpaces>547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2025-10-21T04:30:09Z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