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35D867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伽师县克孜勒博依镇中心卫生院2024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4AD3FB">
      <w:r>
        <w:br w:type="page"/>
      </w:r>
    </w:p>
    <w:p w14:paraId="20D70BEE">
      <w:pPr>
        <w:spacing w:line="640" w:lineRule="exact"/>
        <w:jc w:val="center"/>
        <w:outlineLvl w:val="1"/>
      </w:pPr>
      <w:r>
        <w:rPr>
          <w:rFonts w:ascii="黑体" w:hAnsi="黑体" w:eastAsia="黑体"/>
          <w:sz w:val="32"/>
        </w:rPr>
        <w:t>第一部分 单位概况</w:t>
      </w:r>
    </w:p>
    <w:p w14:paraId="2792D51F">
      <w:pPr>
        <w:spacing w:line="640" w:lineRule="exact"/>
        <w:ind w:firstLine="640"/>
        <w:jc w:val="both"/>
        <w:outlineLvl w:val="2"/>
      </w:pPr>
      <w:r>
        <w:rPr>
          <w:rFonts w:ascii="黑体" w:hAnsi="黑体" w:eastAsia="黑体"/>
          <w:sz w:val="32"/>
        </w:rPr>
        <w:t>一、主要职能</w:t>
      </w:r>
    </w:p>
    <w:p w14:paraId="741A5CC0">
      <w:pPr>
        <w:spacing w:line="580" w:lineRule="exact"/>
        <w:ind w:firstLine="640"/>
        <w:jc w:val="both"/>
      </w:pPr>
      <w:r>
        <w:rPr>
          <w:rFonts w:ascii="仿宋_GB2312" w:hAnsi="仿宋_GB2312" w:eastAsia="仿宋_GB2312"/>
          <w:sz w:val="32"/>
        </w:rPr>
        <w:t>（1）伽师县克孜勒博依镇中心卫生院2023年以公共卫生服务为主，综合提供预防、保健和基本医疗等服务。</w:t>
      </w:r>
    </w:p>
    <w:p w14:paraId="44250D91">
      <w:pPr>
        <w:spacing w:line="580" w:lineRule="exact"/>
        <w:ind w:firstLine="640"/>
        <w:jc w:val="both"/>
      </w:pPr>
      <w:r>
        <w:rPr>
          <w:rFonts w:ascii="仿宋_GB2312" w:hAnsi="仿宋_GB2312" w:eastAsia="仿宋_GB2312"/>
          <w:sz w:val="32"/>
        </w:rPr>
        <w:t>（2）加强农村疾病预防控制，做好传染病、地方病防治和疫情等农村突发公共卫生事件报告工作，重点控制严重危害农民身体健康的传染病、地方病、职业病和寄生虫病等重大疾病。</w:t>
      </w:r>
    </w:p>
    <w:p w14:paraId="7AA1B28A">
      <w:pPr>
        <w:spacing w:line="580" w:lineRule="exact"/>
        <w:ind w:firstLine="640"/>
        <w:jc w:val="both"/>
      </w:pPr>
      <w:r>
        <w:rPr>
          <w:rFonts w:ascii="仿宋_GB2312" w:hAnsi="仿宋_GB2312" w:eastAsia="仿宋_GB2312"/>
          <w:sz w:val="32"/>
        </w:rPr>
        <w:t>（3）认真执行儿童计划免疫。积极开展慢性非传染性疾病的防治工作。</w:t>
      </w:r>
    </w:p>
    <w:p w14:paraId="614CA8F5">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731FD8F1">
      <w:pPr>
        <w:spacing w:line="580" w:lineRule="exact"/>
        <w:ind w:firstLine="640"/>
        <w:jc w:val="both"/>
      </w:pPr>
      <w:r>
        <w:rPr>
          <w:rFonts w:ascii="仿宋_GB2312" w:hAnsi="仿宋_GB2312" w:eastAsia="仿宋_GB2312"/>
          <w:sz w:val="32"/>
        </w:rPr>
        <w:t>（5）积极做好新型农村合作医疗的服务、计划生育技术指导、康复等工作。</w:t>
      </w:r>
    </w:p>
    <w:p w14:paraId="02AE6E7D">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14:paraId="0245F0D9">
      <w:pPr>
        <w:spacing w:line="640" w:lineRule="exact"/>
        <w:ind w:firstLine="640"/>
        <w:jc w:val="both"/>
        <w:outlineLvl w:val="2"/>
      </w:pPr>
      <w:r>
        <w:rPr>
          <w:rFonts w:ascii="黑体" w:hAnsi="黑体" w:eastAsia="黑体"/>
          <w:sz w:val="32"/>
        </w:rPr>
        <w:t>二、机构设置及人员情况</w:t>
      </w:r>
    </w:p>
    <w:p w14:paraId="567928EB">
      <w:pPr>
        <w:spacing w:line="580" w:lineRule="exact"/>
        <w:ind w:firstLine="640"/>
        <w:jc w:val="both"/>
      </w:pPr>
      <w:r>
        <w:rPr>
          <w:rFonts w:ascii="仿宋_GB2312" w:hAnsi="仿宋_GB2312" w:eastAsia="仿宋_GB2312"/>
          <w:sz w:val="32"/>
        </w:rPr>
        <w:t>伽师县克孜勒博依镇中心卫生院2024年度，实有人数46人，其中：在职人员35人，减少1人；离休人员0人，增加0人；退休人员11人,增加0人。</w:t>
      </w:r>
    </w:p>
    <w:p w14:paraId="24C50214">
      <w:pPr>
        <w:spacing w:line="580" w:lineRule="exact"/>
        <w:ind w:firstLine="640"/>
        <w:jc w:val="both"/>
      </w:pPr>
      <w:r>
        <w:rPr>
          <w:rFonts w:ascii="仿宋_GB2312" w:hAnsi="仿宋_GB2312" w:eastAsia="仿宋_GB2312"/>
          <w:sz w:val="32"/>
        </w:rPr>
        <w:t>伽师县克孜勒博依镇中心卫生院无下属预算单位，下设7个科室，分别是：门诊部、住院部、</w:t>
      </w:r>
      <w:r>
        <w:rPr>
          <w:rFonts w:hint="eastAsia" w:ascii="仿宋_GB2312" w:hAnsi="仿宋_GB2312" w:eastAsia="仿宋_GB2312"/>
          <w:sz w:val="32"/>
          <w:lang w:eastAsia="zh-CN"/>
        </w:rPr>
        <w:t>公共卫生</w:t>
      </w:r>
      <w:r>
        <w:rPr>
          <w:rFonts w:ascii="仿宋_GB2312" w:hAnsi="仿宋_GB2312" w:eastAsia="仿宋_GB2312"/>
          <w:sz w:val="32"/>
        </w:rPr>
        <w:t>科、预防保健科、中医科、财务室、</w:t>
      </w:r>
      <w:r>
        <w:rPr>
          <w:rFonts w:hint="eastAsia" w:ascii="仿宋_GB2312" w:hAnsi="仿宋_GB2312" w:eastAsia="仿宋_GB2312"/>
          <w:sz w:val="32"/>
          <w:lang w:eastAsia="zh-CN"/>
        </w:rPr>
        <w:t>城乡居民基本医疗保险</w:t>
      </w:r>
      <w:r>
        <w:rPr>
          <w:rFonts w:ascii="仿宋_GB2312" w:hAnsi="仿宋_GB2312" w:eastAsia="仿宋_GB2312"/>
          <w:sz w:val="32"/>
        </w:rPr>
        <w:t>办公室。</w:t>
      </w:r>
    </w:p>
    <w:p w14:paraId="170FBBDA">
      <w:r>
        <w:br w:type="page"/>
      </w:r>
    </w:p>
    <w:p w14:paraId="39FC6B18">
      <w:pPr>
        <w:spacing w:line="240" w:lineRule="auto"/>
        <w:jc w:val="center"/>
        <w:outlineLvl w:val="1"/>
      </w:pPr>
      <w:r>
        <w:rPr>
          <w:rFonts w:ascii="黑体" w:hAnsi="黑体" w:eastAsia="黑体"/>
          <w:sz w:val="32"/>
        </w:rPr>
        <w:t>第二部分 部门决算情况说明</w:t>
      </w:r>
    </w:p>
    <w:p w14:paraId="2BFEA103">
      <w:pPr>
        <w:spacing w:line="640" w:lineRule="exact"/>
        <w:ind w:firstLine="640"/>
        <w:jc w:val="both"/>
        <w:outlineLvl w:val="2"/>
      </w:pPr>
      <w:r>
        <w:rPr>
          <w:rFonts w:ascii="黑体" w:hAnsi="黑体" w:eastAsia="黑体"/>
          <w:sz w:val="32"/>
        </w:rPr>
        <w:t>一、收入支出决算总体情况说明</w:t>
      </w:r>
    </w:p>
    <w:p w14:paraId="79F535A9">
      <w:pPr>
        <w:spacing w:line="580" w:lineRule="exact"/>
        <w:ind w:firstLine="640"/>
        <w:jc w:val="both"/>
      </w:pPr>
      <w:r>
        <w:rPr>
          <w:rFonts w:ascii="仿宋_GB2312" w:hAnsi="仿宋_GB2312" w:eastAsia="仿宋_GB2312"/>
          <w:b/>
          <w:sz w:val="32"/>
        </w:rPr>
        <w:t>2024年度收入总计1,936.50万元，</w:t>
      </w:r>
      <w:r>
        <w:rPr>
          <w:rFonts w:ascii="仿宋_GB2312" w:hAnsi="仿宋_GB2312" w:eastAsia="仿宋_GB2312"/>
          <w:b w:val="0"/>
          <w:sz w:val="32"/>
        </w:rPr>
        <w:t>其中：本年收入合计1,936.50万元，使用非财政拨款结余（含专用结余）0.00万元，年初结转和结余0.00万元。</w:t>
      </w:r>
    </w:p>
    <w:p w14:paraId="664A818F">
      <w:pPr>
        <w:spacing w:line="580" w:lineRule="exact"/>
        <w:ind w:firstLine="640"/>
        <w:jc w:val="both"/>
      </w:pPr>
      <w:r>
        <w:rPr>
          <w:rFonts w:ascii="仿宋_GB2312" w:hAnsi="仿宋_GB2312" w:eastAsia="仿宋_GB2312"/>
          <w:b/>
          <w:sz w:val="32"/>
        </w:rPr>
        <w:t>2024年度支出总计1,936.50万元，</w:t>
      </w:r>
      <w:r>
        <w:rPr>
          <w:rFonts w:ascii="仿宋_GB2312" w:hAnsi="仿宋_GB2312" w:eastAsia="仿宋_GB2312"/>
          <w:b w:val="0"/>
          <w:sz w:val="32"/>
        </w:rPr>
        <w:t>其中：本年支出合计1,738.23万元，结余分配198.27万元，年末结转和结余0.00万元。</w:t>
      </w:r>
    </w:p>
    <w:p w14:paraId="4F22F1FB">
      <w:pPr>
        <w:spacing w:line="580" w:lineRule="exact"/>
        <w:ind w:firstLine="640"/>
        <w:jc w:val="both"/>
      </w:pPr>
      <w:r>
        <w:rPr>
          <w:rFonts w:ascii="仿宋_GB2312" w:hAnsi="仿宋_GB2312" w:eastAsia="仿宋_GB2312"/>
          <w:b w:val="0"/>
          <w:sz w:val="32"/>
        </w:rPr>
        <w:t>收入支出总体与上年相比，增加379.39万元，增长24.37%，主要原因是：本年增加基本公共卫生项目资金、地方公共卫生补助项目资金</w:t>
      </w:r>
      <w:r>
        <w:rPr>
          <w:rFonts w:hint="eastAsia" w:ascii="仿宋_GB2312" w:hAnsi="仿宋_GB2312" w:eastAsia="仿宋_GB2312"/>
          <w:b w:val="0"/>
          <w:sz w:val="32"/>
          <w:lang w:eastAsia="zh-CN"/>
        </w:rPr>
        <w:t>、</w:t>
      </w:r>
      <w:r>
        <w:rPr>
          <w:rFonts w:ascii="仿宋_GB2312" w:hAnsi="仿宋_GB2312" w:eastAsia="仿宋_GB2312"/>
          <w:b w:val="0"/>
          <w:sz w:val="32"/>
        </w:rPr>
        <w:t>基本药物补助项目资金、家庭医生签约补助、0-6岁儿童体检费、65-79岁老年人体检费、80岁以上老年人体检费、疫苗款等。</w:t>
      </w:r>
    </w:p>
    <w:p w14:paraId="777EBBC7">
      <w:pPr>
        <w:spacing w:line="640" w:lineRule="exact"/>
        <w:ind w:firstLine="640"/>
        <w:jc w:val="both"/>
        <w:outlineLvl w:val="2"/>
      </w:pPr>
      <w:r>
        <w:rPr>
          <w:rFonts w:ascii="黑体" w:hAnsi="黑体" w:eastAsia="黑体"/>
          <w:sz w:val="32"/>
        </w:rPr>
        <w:t>二、收入决算情况说明</w:t>
      </w:r>
    </w:p>
    <w:p w14:paraId="4E4F6FD7">
      <w:pPr>
        <w:spacing w:line="580" w:lineRule="exact"/>
        <w:ind w:firstLine="640"/>
        <w:jc w:val="both"/>
      </w:pPr>
      <w:r>
        <w:rPr>
          <w:rFonts w:ascii="仿宋_GB2312" w:hAnsi="仿宋_GB2312" w:eastAsia="仿宋_GB2312"/>
          <w:b/>
          <w:sz w:val="32"/>
        </w:rPr>
        <w:t>本年收入1,936.50万元，</w:t>
      </w:r>
      <w:r>
        <w:rPr>
          <w:rFonts w:ascii="仿宋_GB2312" w:hAnsi="仿宋_GB2312" w:eastAsia="仿宋_GB2312"/>
          <w:b w:val="0"/>
          <w:sz w:val="32"/>
        </w:rPr>
        <w:t>其中：财政拨款收入1,325.89万元，占68.47%；上级补助收入0.00万元，占0.00%；事业收入472.49万元，占24.40%；经营收入0.00万元，占0.00%；附属单位上缴收入0.00万元，占0.00%；其他收入138.11万元，占7.13%。</w:t>
      </w:r>
    </w:p>
    <w:p w14:paraId="7B4CE6C2">
      <w:pPr>
        <w:spacing w:line="640" w:lineRule="exact"/>
        <w:ind w:firstLine="640"/>
        <w:jc w:val="both"/>
        <w:outlineLvl w:val="2"/>
      </w:pPr>
      <w:r>
        <w:rPr>
          <w:rFonts w:ascii="黑体" w:hAnsi="黑体" w:eastAsia="黑体"/>
          <w:sz w:val="32"/>
        </w:rPr>
        <w:t>三、支出决算情况说明</w:t>
      </w:r>
    </w:p>
    <w:p w14:paraId="2DE19D4A">
      <w:pPr>
        <w:spacing w:line="580" w:lineRule="exact"/>
        <w:ind w:firstLine="640"/>
        <w:jc w:val="both"/>
      </w:pPr>
      <w:r>
        <w:rPr>
          <w:rFonts w:ascii="仿宋_GB2312" w:hAnsi="仿宋_GB2312" w:eastAsia="仿宋_GB2312"/>
          <w:b/>
          <w:sz w:val="32"/>
        </w:rPr>
        <w:t>本年支出1,738.23万元，</w:t>
      </w:r>
      <w:r>
        <w:rPr>
          <w:rFonts w:ascii="仿宋_GB2312" w:hAnsi="仿宋_GB2312" w:eastAsia="仿宋_GB2312"/>
          <w:b w:val="0"/>
          <w:sz w:val="32"/>
        </w:rPr>
        <w:t>其中：基本支出963.82万元，占55.45%；项目支出774.41万元，占44.55%；上缴上级支出0.00万元，占0.00%；经营支出0.00万元，占0.00%；对附属单位补助支出0.00万元，占0.00%。</w:t>
      </w:r>
    </w:p>
    <w:p w14:paraId="4FD1E91C">
      <w:pPr>
        <w:spacing w:line="640" w:lineRule="exact"/>
        <w:ind w:firstLine="640"/>
        <w:jc w:val="both"/>
        <w:outlineLvl w:val="2"/>
      </w:pPr>
      <w:r>
        <w:rPr>
          <w:rFonts w:ascii="黑体" w:hAnsi="黑体" w:eastAsia="黑体"/>
          <w:sz w:val="32"/>
        </w:rPr>
        <w:t>四、财政拨款收入支出决算总体情况说明</w:t>
      </w:r>
    </w:p>
    <w:p w14:paraId="3C2C30B8">
      <w:pPr>
        <w:spacing w:line="580" w:lineRule="exact"/>
        <w:ind w:firstLine="640"/>
        <w:jc w:val="both"/>
      </w:pPr>
      <w:r>
        <w:rPr>
          <w:rFonts w:ascii="仿宋_GB2312" w:hAnsi="仿宋_GB2312" w:eastAsia="仿宋_GB2312"/>
          <w:b/>
          <w:sz w:val="32"/>
        </w:rPr>
        <w:t>2024年度财政拨款收入总计1,325.89万元，</w:t>
      </w:r>
      <w:r>
        <w:rPr>
          <w:rFonts w:ascii="仿宋_GB2312" w:hAnsi="仿宋_GB2312" w:eastAsia="仿宋_GB2312"/>
          <w:b w:val="0"/>
          <w:sz w:val="32"/>
        </w:rPr>
        <w:t>其中：年初财政拨款结转和结余0.00万元，本年财政拨款收入1,325.89万元。</w:t>
      </w:r>
      <w:r>
        <w:rPr>
          <w:rFonts w:ascii="仿宋_GB2312" w:hAnsi="仿宋_GB2312" w:eastAsia="仿宋_GB2312"/>
          <w:b/>
          <w:sz w:val="32"/>
        </w:rPr>
        <w:t>财政拨款支出总计1,325.89万元，</w:t>
      </w:r>
      <w:r>
        <w:rPr>
          <w:rFonts w:ascii="仿宋_GB2312" w:hAnsi="仿宋_GB2312" w:eastAsia="仿宋_GB2312"/>
          <w:b w:val="0"/>
          <w:sz w:val="32"/>
        </w:rPr>
        <w:t>其中：年末财政拨款结转和结余0.00万元，本年财政拨款支出1,325.89万元。</w:t>
      </w:r>
    </w:p>
    <w:p w14:paraId="048DE35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增加198.30万元，增长17.59%，主要原因是：本年增加基本公共卫生项目资金、地方公共卫生补助项目资金</w:t>
      </w:r>
      <w:r>
        <w:rPr>
          <w:rFonts w:hint="eastAsia" w:ascii="仿宋_GB2312" w:hAnsi="仿宋_GB2312" w:eastAsia="仿宋_GB2312"/>
          <w:b w:val="0"/>
          <w:sz w:val="32"/>
          <w:lang w:eastAsia="zh-CN"/>
        </w:rPr>
        <w:t>、</w:t>
      </w:r>
      <w:r>
        <w:rPr>
          <w:rFonts w:ascii="仿宋_GB2312" w:hAnsi="仿宋_GB2312" w:eastAsia="仿宋_GB2312"/>
          <w:b w:val="0"/>
          <w:sz w:val="32"/>
        </w:rPr>
        <w:t>基本药物补助项目资金等。</w:t>
      </w:r>
      <w:r>
        <w:rPr>
          <w:rFonts w:ascii="仿宋_GB2312" w:hAnsi="仿宋_GB2312" w:eastAsia="仿宋_GB2312"/>
          <w:b/>
          <w:sz w:val="32"/>
        </w:rPr>
        <w:t>与年初预算相比，</w:t>
      </w:r>
      <w:r>
        <w:rPr>
          <w:rFonts w:ascii="仿宋_GB2312" w:hAnsi="仿宋_GB2312" w:eastAsia="仿宋_GB2312"/>
          <w:b w:val="0"/>
          <w:sz w:val="32"/>
        </w:rPr>
        <w:t>年初预算数1,275.97万元，决算数1,325.89万元，预决算差异率3.91%，主要原因是：年中追加人员工资、社保、公积金基数调增部分资金，导致预决算存在差异。</w:t>
      </w:r>
    </w:p>
    <w:p w14:paraId="3D5D0CB4">
      <w:pPr>
        <w:spacing w:line="640" w:lineRule="exact"/>
        <w:ind w:firstLine="640"/>
        <w:jc w:val="both"/>
        <w:outlineLvl w:val="2"/>
      </w:pPr>
      <w:r>
        <w:rPr>
          <w:rFonts w:ascii="黑体" w:hAnsi="黑体" w:eastAsia="黑体"/>
          <w:sz w:val="32"/>
        </w:rPr>
        <w:t>五、一般公共预算财政拨款支出决算情况说明</w:t>
      </w:r>
    </w:p>
    <w:p w14:paraId="1447B50A">
      <w:pPr>
        <w:spacing w:line="640" w:lineRule="exact"/>
        <w:ind w:firstLine="640"/>
        <w:jc w:val="both"/>
        <w:outlineLvl w:val="3"/>
      </w:pPr>
      <w:r>
        <w:rPr>
          <w:rFonts w:ascii="楷体_GB2312" w:hAnsi="楷体_GB2312" w:eastAsia="楷体_GB2312"/>
          <w:b/>
          <w:sz w:val="32"/>
        </w:rPr>
        <w:t>（一）一般公共预算财政拨款支出决算总体情况</w:t>
      </w:r>
    </w:p>
    <w:p w14:paraId="2280E52A">
      <w:pPr>
        <w:spacing w:line="580" w:lineRule="exact"/>
        <w:ind w:firstLine="640"/>
        <w:jc w:val="both"/>
      </w:pPr>
      <w:r>
        <w:rPr>
          <w:rFonts w:ascii="仿宋_GB2312" w:hAnsi="仿宋_GB2312" w:eastAsia="仿宋_GB2312"/>
          <w:b/>
          <w:sz w:val="32"/>
        </w:rPr>
        <w:t>2024年度一般公共预算财政拨款支出1,324.26万元，</w:t>
      </w:r>
      <w:r>
        <w:rPr>
          <w:rFonts w:ascii="仿宋_GB2312" w:hAnsi="仿宋_GB2312" w:eastAsia="仿宋_GB2312"/>
          <w:b w:val="0"/>
          <w:sz w:val="32"/>
        </w:rPr>
        <w:t>占本年支出合计的76.18%。</w:t>
      </w:r>
      <w:r>
        <w:rPr>
          <w:rFonts w:ascii="仿宋_GB2312" w:hAnsi="仿宋_GB2312" w:eastAsia="仿宋_GB2312"/>
          <w:b/>
          <w:sz w:val="32"/>
        </w:rPr>
        <w:t>与上年相比，</w:t>
      </w:r>
      <w:r>
        <w:rPr>
          <w:rFonts w:ascii="仿宋_GB2312" w:hAnsi="仿宋_GB2312" w:eastAsia="仿宋_GB2312"/>
          <w:b w:val="0"/>
          <w:sz w:val="32"/>
        </w:rPr>
        <w:t>增加196.67万元，增长17.44%，主要原因是：本年增加基本公共卫生项目资金、地方公共卫生补助项目资金</w:t>
      </w:r>
      <w:bookmarkStart w:id="0" w:name="_GoBack"/>
      <w:r>
        <w:rPr>
          <w:rFonts w:hint="eastAsia" w:ascii="仿宋_GB2312" w:hAnsi="仿宋_GB2312" w:eastAsia="仿宋_GB2312"/>
          <w:b w:val="0"/>
          <w:sz w:val="32"/>
          <w:lang w:eastAsia="zh-CN"/>
        </w:rPr>
        <w:t>、</w:t>
      </w:r>
      <w:bookmarkEnd w:id="0"/>
      <w:r>
        <w:rPr>
          <w:rFonts w:ascii="仿宋_GB2312" w:hAnsi="仿宋_GB2312" w:eastAsia="仿宋_GB2312"/>
          <w:b w:val="0"/>
          <w:sz w:val="32"/>
        </w:rPr>
        <w:t>基本药物补助项目资金等。</w:t>
      </w:r>
      <w:r>
        <w:rPr>
          <w:rFonts w:ascii="仿宋_GB2312" w:hAnsi="仿宋_GB2312" w:eastAsia="仿宋_GB2312"/>
          <w:b/>
          <w:sz w:val="32"/>
        </w:rPr>
        <w:t>与年初预算相比,</w:t>
      </w:r>
      <w:r>
        <w:rPr>
          <w:rFonts w:ascii="仿宋_GB2312" w:hAnsi="仿宋_GB2312" w:eastAsia="仿宋_GB2312"/>
          <w:b w:val="0"/>
          <w:sz w:val="32"/>
        </w:rPr>
        <w:t>年初预算数1,274.33万元，决算数1,324.26万元，预决算差异率3.92%，主要原因是：年中追加人员工资、社保、公积金基数调增部分资金，导致预决算存在差异。</w:t>
      </w:r>
    </w:p>
    <w:p w14:paraId="242AD7FA">
      <w:pPr>
        <w:spacing w:line="640" w:lineRule="exact"/>
        <w:ind w:firstLine="640"/>
        <w:jc w:val="both"/>
        <w:outlineLvl w:val="3"/>
      </w:pPr>
      <w:r>
        <w:rPr>
          <w:rFonts w:ascii="楷体_GB2312" w:hAnsi="楷体_GB2312" w:eastAsia="楷体_GB2312"/>
          <w:b/>
          <w:sz w:val="32"/>
        </w:rPr>
        <w:t>（二）一般公共预算财政拨款支出决算结构情况</w:t>
      </w:r>
    </w:p>
    <w:p w14:paraId="5BE15003">
      <w:pPr>
        <w:spacing w:line="580" w:lineRule="exact"/>
        <w:ind w:firstLine="640"/>
        <w:jc w:val="both"/>
      </w:pPr>
      <w:r>
        <w:rPr>
          <w:rFonts w:ascii="仿宋_GB2312" w:hAnsi="仿宋_GB2312" w:eastAsia="仿宋_GB2312"/>
          <w:b w:val="0"/>
          <w:sz w:val="32"/>
        </w:rPr>
        <w:t>1.社会保障和就业支出(类)67.02万元,占5.06%。</w:t>
      </w:r>
    </w:p>
    <w:p w14:paraId="6B3F1376">
      <w:pPr>
        <w:spacing w:line="580" w:lineRule="exact"/>
        <w:ind w:firstLine="640"/>
        <w:jc w:val="both"/>
      </w:pPr>
      <w:r>
        <w:rPr>
          <w:rFonts w:ascii="仿宋_GB2312" w:hAnsi="仿宋_GB2312" w:eastAsia="仿宋_GB2312"/>
          <w:b w:val="0"/>
          <w:sz w:val="32"/>
        </w:rPr>
        <w:t>2.卫生健康支出(类)1,211.92万元,占91.52%。</w:t>
      </w:r>
    </w:p>
    <w:p w14:paraId="074867E8">
      <w:pPr>
        <w:spacing w:line="580" w:lineRule="exact"/>
        <w:ind w:firstLine="640"/>
        <w:jc w:val="both"/>
      </w:pPr>
      <w:r>
        <w:rPr>
          <w:rFonts w:ascii="仿宋_GB2312" w:hAnsi="仿宋_GB2312" w:eastAsia="仿宋_GB2312"/>
          <w:b w:val="0"/>
          <w:sz w:val="32"/>
        </w:rPr>
        <w:t>3.住房保障支出(类)45.32万元,占3.42%。</w:t>
      </w:r>
    </w:p>
    <w:p w14:paraId="4DE3AC3F">
      <w:pPr>
        <w:spacing w:line="640" w:lineRule="exact"/>
        <w:ind w:firstLine="640"/>
        <w:jc w:val="both"/>
        <w:outlineLvl w:val="3"/>
      </w:pPr>
      <w:r>
        <w:rPr>
          <w:rFonts w:ascii="楷体_GB2312" w:hAnsi="楷体_GB2312" w:eastAsia="楷体_GB2312"/>
          <w:b/>
          <w:sz w:val="32"/>
        </w:rPr>
        <w:t>（三）一般公共预算财政拨款支出决算具体情况</w:t>
      </w:r>
    </w:p>
    <w:p w14:paraId="3B17852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1.社会保障和就业支出(类)行政事业单位养老支出(款)事业单位离退休(项):支出决算数为14.20万元，比上年决算增加1.76万元，增长14.15%,主要原因是：本年增加退休人员基础绩效奖，退休费支出增加。</w:t>
      </w:r>
    </w:p>
    <w:p w14:paraId="673DBBD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52.82万元，比上年决算增加4.10万元，增长8.42%,主要原因是：本年在职人员工资基数调增，养老缴费基数上涨，相应支出增加。</w:t>
      </w:r>
    </w:p>
    <w:p w14:paraId="02F79499">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40.61万元，比上年决算增加40.61万元，增长100.00%,主要原因是：本年功能科目调整，伽师县卫健委2024年村医补助项目支出上年度在其他公共卫生支出科目列支，本年单独列支，导致经费较上年增加。</w:t>
      </w:r>
    </w:p>
    <w:p w14:paraId="3EC39E7B">
      <w:pPr>
        <w:spacing w:line="580" w:lineRule="exact"/>
        <w:ind w:firstLine="640"/>
        <w:jc w:val="both"/>
      </w:pPr>
      <w:r>
        <w:rPr>
          <w:rFonts w:ascii="仿宋_GB2312" w:hAnsi="仿宋_GB2312" w:eastAsia="仿宋_GB2312"/>
          <w:b w:val="0"/>
          <w:sz w:val="32"/>
        </w:rPr>
        <w:t>4.卫生健康支出(类)基层医疗卫生机构(款)乡镇卫生院(项):支出决算数为434.39万元，比上年决算减少3.30万元，下降0.75%,主要原因是：本年在职人员减少，相关人员经费减少。</w:t>
      </w:r>
    </w:p>
    <w:p w14:paraId="643C8D9D">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5.卫生健康支出(类)基层医疗卫生机构(款)其他基层医疗卫生机构支出(项):支出决算数为50.61万元，比上年决算增加5.21万元，增长11.48%,主要原因是：本年度基本药物补助项目资金较上年增加。</w:t>
      </w:r>
    </w:p>
    <w:p w14:paraId="184EE6FE">
      <w:pPr>
        <w:spacing w:line="580" w:lineRule="exact"/>
        <w:ind w:firstLine="640"/>
        <w:jc w:val="both"/>
      </w:pPr>
      <w:r>
        <w:rPr>
          <w:rFonts w:ascii="仿宋_GB2312" w:hAnsi="仿宋_GB2312" w:eastAsia="仿宋_GB2312"/>
          <w:b w:val="0"/>
          <w:sz w:val="32"/>
        </w:rPr>
        <w:t>6.卫生健康支出(类)公共卫生(款)基本公共卫生服务(项):支出决算数为423.78万元，比上年决算增加120.27万元，增长39.63%,主要原因是：本年度基本公共卫生项目资金较上年增加。</w:t>
      </w:r>
    </w:p>
    <w:p w14:paraId="73FD7E7B">
      <w:pPr>
        <w:spacing w:line="580" w:lineRule="exact"/>
        <w:ind w:firstLine="640"/>
        <w:jc w:val="both"/>
      </w:pPr>
      <w:r>
        <w:rPr>
          <w:rFonts w:ascii="仿宋_GB2312" w:hAnsi="仿宋_GB2312" w:eastAsia="仿宋_GB2312"/>
          <w:b w:val="0"/>
          <w:sz w:val="32"/>
        </w:rPr>
        <w:t>7.卫生健康支出(类)公共卫生(款)其他公共卫生支出(项):支出决算数为240.07万元，比上年决算增加20.20万元，增长9.19%,主要原因是：本年度地方公共卫生补助项目资金较上年增加。</w:t>
      </w:r>
    </w:p>
    <w:p w14:paraId="134E743F">
      <w:pPr>
        <w:spacing w:line="580" w:lineRule="exact"/>
        <w:ind w:firstLine="640"/>
        <w:jc w:val="both"/>
      </w:pPr>
      <w:r>
        <w:rPr>
          <w:rFonts w:ascii="仿宋_GB2312" w:hAnsi="仿宋_GB2312" w:eastAsia="仿宋_GB2312"/>
          <w:b w:val="0"/>
          <w:sz w:val="32"/>
        </w:rPr>
        <w:t>8.卫生健康支出(类)行政事业单位医疗(款)事业单位医疗(项):支出决算数为22.45万元，比上年决算增加1.74万元，增长8.40%,主要原因是：本年在职人员工资基数调增，医疗缴费基数上涨，相应支出增加。</w:t>
      </w:r>
    </w:p>
    <w:p w14:paraId="66D21D74">
      <w:pPr>
        <w:spacing w:line="580" w:lineRule="exact"/>
        <w:ind w:firstLine="640"/>
        <w:jc w:val="both"/>
      </w:pPr>
      <w:r>
        <w:rPr>
          <w:rFonts w:ascii="仿宋_GB2312" w:hAnsi="仿宋_GB2312" w:eastAsia="仿宋_GB2312"/>
          <w:b w:val="0"/>
          <w:sz w:val="32"/>
        </w:rPr>
        <w:t>9.住房保障支出(类)住房改革支出(款)住房公积金(项):支出决算数为45.32万元，比上年决算增加6.06万元，增长15.44%,主要原因是：本年在职人员工资基数调增，公积金缴费基数上涨，相应支出增加。</w:t>
      </w:r>
    </w:p>
    <w:p w14:paraId="395E80FD">
      <w:pPr>
        <w:spacing w:line="640" w:lineRule="exact"/>
        <w:ind w:firstLine="640"/>
        <w:jc w:val="both"/>
        <w:outlineLvl w:val="2"/>
      </w:pPr>
      <w:r>
        <w:rPr>
          <w:rFonts w:ascii="黑体" w:hAnsi="黑体" w:eastAsia="黑体"/>
          <w:sz w:val="32"/>
        </w:rPr>
        <w:t>六、一般公共预算财政拨款基本支出决算情况说明</w:t>
      </w:r>
    </w:p>
    <w:p w14:paraId="065DCC18">
      <w:pPr>
        <w:spacing w:line="580" w:lineRule="exact"/>
        <w:ind w:firstLine="640"/>
        <w:jc w:val="both"/>
      </w:pPr>
      <w:r>
        <w:rPr>
          <w:rFonts w:ascii="仿宋_GB2312" w:hAnsi="仿宋_GB2312" w:eastAsia="仿宋_GB2312"/>
          <w:b w:val="0"/>
          <w:sz w:val="32"/>
        </w:rPr>
        <w:t>2024年度一般公共预算财政拨款基本支出569.18万元，其中：</w:t>
      </w:r>
      <w:r>
        <w:rPr>
          <w:rFonts w:ascii="仿宋_GB2312" w:hAnsi="仿宋_GB2312" w:eastAsia="仿宋_GB2312"/>
          <w:b/>
          <w:sz w:val="32"/>
        </w:rPr>
        <w:t>人员经费569.18万元，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w:t>
      </w:r>
    </w:p>
    <w:p w14:paraId="69FDC95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0C82BC8">
      <w:pPr>
        <w:spacing w:line="640" w:lineRule="exact"/>
        <w:ind w:firstLine="640"/>
        <w:jc w:val="both"/>
        <w:outlineLvl w:val="2"/>
      </w:pPr>
      <w:r>
        <w:rPr>
          <w:rFonts w:ascii="黑体" w:hAnsi="黑体" w:eastAsia="黑体"/>
          <w:sz w:val="32"/>
        </w:rPr>
        <w:t>七、政府性基金预算财政拨款收入支出决算情况说明</w:t>
      </w:r>
    </w:p>
    <w:p w14:paraId="1474F3D8">
      <w:pPr>
        <w:spacing w:line="580" w:lineRule="exact"/>
        <w:ind w:firstLine="640"/>
        <w:jc w:val="both"/>
      </w:pPr>
      <w:r>
        <w:rPr>
          <w:rFonts w:ascii="仿宋_GB2312" w:hAnsi="仿宋_GB2312" w:eastAsia="仿宋_GB2312"/>
          <w:b/>
          <w:sz w:val="32"/>
        </w:rPr>
        <w:t>2024年度政府性基金预算财政拨款收入总计1.63万元，</w:t>
      </w:r>
      <w:r>
        <w:rPr>
          <w:rFonts w:ascii="仿宋_GB2312" w:hAnsi="仿宋_GB2312" w:eastAsia="仿宋_GB2312"/>
          <w:b w:val="0"/>
          <w:sz w:val="32"/>
        </w:rPr>
        <w:t>其中：年初结转和结余0.00万元，本年收入1.63万元。</w:t>
      </w:r>
      <w:r>
        <w:rPr>
          <w:rFonts w:ascii="仿宋_GB2312" w:hAnsi="仿宋_GB2312" w:eastAsia="仿宋_GB2312"/>
          <w:b/>
          <w:sz w:val="32"/>
        </w:rPr>
        <w:t>政府性基金预算财政拨款支出总计1.63万元，</w:t>
      </w:r>
      <w:r>
        <w:rPr>
          <w:rFonts w:ascii="仿宋_GB2312" w:hAnsi="仿宋_GB2312" w:eastAsia="仿宋_GB2312"/>
          <w:b w:val="0"/>
          <w:sz w:val="32"/>
        </w:rPr>
        <w:t>其中：年末结转和结余0.00万元，本年支出1.63万元。</w:t>
      </w:r>
    </w:p>
    <w:p w14:paraId="17FAAF0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增加1.63万元，增长100.00%，主要原因是：本年增加老年健康与医养结合服务项目资金。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年初预算数1.63万元，决算数1.63万元，预决算差异率0.00%，主要原因是：严格按照预算执行，预决算无差异。</w:t>
      </w:r>
    </w:p>
    <w:p w14:paraId="763F30BB">
      <w:pPr>
        <w:spacing w:line="580" w:lineRule="exact"/>
        <w:ind w:firstLine="640"/>
        <w:jc w:val="both"/>
      </w:pPr>
      <w:r>
        <w:rPr>
          <w:rFonts w:ascii="仿宋_GB2312" w:hAnsi="仿宋_GB2312" w:eastAsia="仿宋_GB2312"/>
          <w:b w:val="0"/>
          <w:sz w:val="32"/>
        </w:rPr>
        <w:t>政府性基金预算财政拨款支出1.63万元。</w:t>
      </w:r>
    </w:p>
    <w:p w14:paraId="56E39E8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1.其他支出(类)彩票公益金安排的支出(款)用于社会福利的彩票公益金支出(项):支出决算数为1.63万元，比上年决算增加1.63万元，增长100.00%,主要原因是：本年增加老年健康与医养结合服务项目资金。</w:t>
      </w:r>
    </w:p>
    <w:p w14:paraId="39841519">
      <w:pPr>
        <w:spacing w:line="640" w:lineRule="exact"/>
        <w:ind w:firstLine="640"/>
        <w:jc w:val="both"/>
        <w:outlineLvl w:val="2"/>
      </w:pPr>
      <w:r>
        <w:rPr>
          <w:rFonts w:ascii="黑体" w:hAnsi="黑体" w:eastAsia="黑体"/>
          <w:sz w:val="32"/>
        </w:rPr>
        <w:t>八、国有资本经营预算财政拨款收入支出决算情况说明</w:t>
      </w:r>
    </w:p>
    <w:p w14:paraId="1586FC4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9B1DEB7">
      <w:pPr>
        <w:spacing w:line="640" w:lineRule="exact"/>
        <w:ind w:firstLine="640"/>
        <w:jc w:val="both"/>
        <w:outlineLvl w:val="2"/>
      </w:pPr>
      <w:r>
        <w:rPr>
          <w:rFonts w:ascii="黑体" w:hAnsi="黑体" w:eastAsia="黑体"/>
          <w:sz w:val="32"/>
        </w:rPr>
        <w:t>九、财政拨款“三公”经费支出决算情况说明</w:t>
      </w:r>
    </w:p>
    <w:p w14:paraId="4DDA2B3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8B50D70">
      <w:pPr>
        <w:spacing w:line="580" w:lineRule="exact"/>
        <w:ind w:firstLine="640"/>
        <w:jc w:val="both"/>
      </w:pPr>
      <w:r>
        <w:rPr>
          <w:rFonts w:ascii="仿宋_GB2312" w:hAnsi="仿宋_GB2312" w:eastAsia="仿宋_GB2312"/>
          <w:b/>
          <w:sz w:val="32"/>
        </w:rPr>
        <w:t>具体情况如下：</w:t>
      </w:r>
    </w:p>
    <w:p w14:paraId="065A51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4241B4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救护车3辆，预算未安排公务用车运行维护费用。</w:t>
      </w:r>
    </w:p>
    <w:p w14:paraId="18463D4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606FE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55C93FF">
      <w:pPr>
        <w:spacing w:line="640" w:lineRule="exact"/>
        <w:ind w:firstLine="640"/>
        <w:jc w:val="both"/>
        <w:outlineLvl w:val="2"/>
      </w:pPr>
      <w:r>
        <w:rPr>
          <w:rFonts w:ascii="黑体" w:hAnsi="黑体" w:eastAsia="黑体"/>
          <w:sz w:val="32"/>
        </w:rPr>
        <w:t>十、其他重要事项的情况说明</w:t>
      </w:r>
    </w:p>
    <w:p w14:paraId="05783D70">
      <w:pPr>
        <w:spacing w:line="640" w:lineRule="exact"/>
        <w:ind w:firstLine="640"/>
        <w:jc w:val="both"/>
        <w:outlineLvl w:val="3"/>
      </w:pPr>
      <w:r>
        <w:rPr>
          <w:rFonts w:ascii="楷体_GB2312" w:hAnsi="楷体_GB2312" w:eastAsia="楷体_GB2312"/>
          <w:b/>
          <w:sz w:val="32"/>
        </w:rPr>
        <w:t>（一）机关运行经费及公用经费支出情况</w:t>
      </w:r>
    </w:p>
    <w:p w14:paraId="5027811E">
      <w:pPr>
        <w:spacing w:line="580" w:lineRule="exact"/>
        <w:ind w:firstLine="640"/>
        <w:jc w:val="both"/>
      </w:pPr>
      <w:r>
        <w:rPr>
          <w:rFonts w:ascii="仿宋_GB2312" w:hAnsi="仿宋_GB2312" w:eastAsia="仿宋_GB2312"/>
          <w:b w:val="0"/>
          <w:sz w:val="32"/>
        </w:rPr>
        <w:t>2024年度伽师县克孜勒博依镇中心卫生院（事业单位）公用经费支出0.00万元，比上年增加0.00万元，增长0.00%，主要原因是：2023年与2024年均未安排公用经费支出。</w:t>
      </w:r>
    </w:p>
    <w:p w14:paraId="1526E0FC">
      <w:pPr>
        <w:spacing w:line="640" w:lineRule="exact"/>
        <w:ind w:firstLine="640"/>
        <w:jc w:val="both"/>
        <w:outlineLvl w:val="3"/>
      </w:pPr>
      <w:r>
        <w:rPr>
          <w:rFonts w:ascii="楷体_GB2312" w:hAnsi="楷体_GB2312" w:eastAsia="楷体_GB2312"/>
          <w:b/>
          <w:sz w:val="32"/>
        </w:rPr>
        <w:t>（二）政府采购情况</w:t>
      </w:r>
    </w:p>
    <w:p w14:paraId="5E00CFD9">
      <w:pPr>
        <w:spacing w:line="580" w:lineRule="exact"/>
        <w:ind w:firstLine="640"/>
        <w:jc w:val="both"/>
      </w:pPr>
      <w:r>
        <w:rPr>
          <w:rFonts w:ascii="仿宋_GB2312" w:hAnsi="仿宋_GB2312" w:eastAsia="仿宋_GB2312"/>
          <w:b w:val="0"/>
          <w:sz w:val="32"/>
        </w:rPr>
        <w:t>2024年度政府采购支出总额21.57万元，其中：政府采购货物支出1.25万元、政府采购工程支出17.69万元、政府采购服务支出2.62万元。</w:t>
      </w:r>
    </w:p>
    <w:p w14:paraId="7A12DC5E">
      <w:pPr>
        <w:spacing w:line="580" w:lineRule="exact"/>
        <w:ind w:firstLine="640"/>
        <w:jc w:val="both"/>
      </w:pPr>
      <w:r>
        <w:rPr>
          <w:rFonts w:ascii="仿宋_GB2312" w:hAnsi="仿宋_GB2312" w:eastAsia="仿宋_GB2312"/>
          <w:b w:val="0"/>
          <w:sz w:val="32"/>
        </w:rPr>
        <w:t>授予中小企业合同金额21.57万元，占政府采购支出总额的100.00%，其中：授予小微企业合同金额21.57万元，占政府采购支出总额的100.00%。</w:t>
      </w:r>
    </w:p>
    <w:p w14:paraId="13CFEEF9">
      <w:pPr>
        <w:spacing w:line="640" w:lineRule="exact"/>
        <w:ind w:firstLine="640"/>
        <w:jc w:val="both"/>
        <w:outlineLvl w:val="3"/>
      </w:pPr>
      <w:r>
        <w:rPr>
          <w:rFonts w:ascii="楷体_GB2312" w:hAnsi="楷体_GB2312" w:eastAsia="楷体_GB2312"/>
          <w:b/>
          <w:sz w:val="32"/>
        </w:rPr>
        <w:t>（三）国有资产占用情况说明</w:t>
      </w:r>
    </w:p>
    <w:p w14:paraId="677D48BA">
      <w:pPr>
        <w:spacing w:line="580" w:lineRule="exact"/>
        <w:ind w:firstLine="640"/>
        <w:jc w:val="both"/>
      </w:pPr>
      <w:r>
        <w:rPr>
          <w:rFonts w:ascii="仿宋_GB2312" w:hAnsi="仿宋_GB2312" w:eastAsia="仿宋_GB2312"/>
          <w:b w:val="0"/>
          <w:sz w:val="32"/>
        </w:rPr>
        <w:t>截至2024年12月31日，房屋5,563.84平方米，价值903.60万元。车辆3辆，价值50.95万元，其中：副部（省）级及以上领导用车0辆、主要负责人用车0辆、机要通信用车0辆、应急保障用车0辆、执法执勤用车0辆、特种专业技术用车1辆、离退休干部服务用车0辆、其他用车2辆，其他用车主要是：单位救护车。单价100万元（含）以上设备（不含车辆）1台（套）。</w:t>
      </w:r>
    </w:p>
    <w:p w14:paraId="498E3D1C">
      <w:pPr>
        <w:spacing w:line="640" w:lineRule="exact"/>
        <w:ind w:firstLine="640"/>
        <w:jc w:val="both"/>
        <w:outlineLvl w:val="2"/>
      </w:pPr>
      <w:r>
        <w:rPr>
          <w:rFonts w:ascii="黑体" w:hAnsi="黑体" w:eastAsia="黑体"/>
          <w:sz w:val="32"/>
        </w:rPr>
        <w:t>十一、预算绩效的情况说明</w:t>
      </w:r>
    </w:p>
    <w:p w14:paraId="02A64C1D">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63E5562A">
      <w:r>
        <w:br w:type="page"/>
      </w:r>
    </w:p>
    <w:p w14:paraId="15C7E6CD">
      <w:pPr>
        <w:spacing w:line="640" w:lineRule="exact"/>
        <w:ind w:firstLine="640"/>
        <w:jc w:val="both"/>
        <w:outlineLvl w:val="2"/>
      </w:pPr>
      <w:r>
        <w:rPr>
          <w:rFonts w:ascii="黑体" w:hAnsi="黑体" w:eastAsia="黑体"/>
          <w:sz w:val="32"/>
        </w:rPr>
        <w:t>十二、其他需说明的事项</w:t>
      </w:r>
    </w:p>
    <w:p w14:paraId="7A6F9DBF">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14:paraId="48DD02B1">
      <w:r>
        <w:br w:type="page"/>
      </w:r>
    </w:p>
    <w:p w14:paraId="4B5235FE">
      <w:pPr>
        <w:spacing w:line="240" w:lineRule="auto"/>
        <w:jc w:val="center"/>
        <w:outlineLvl w:val="1"/>
      </w:pPr>
      <w:r>
        <w:rPr>
          <w:rFonts w:ascii="黑体" w:hAnsi="黑体" w:eastAsia="黑体"/>
          <w:sz w:val="32"/>
        </w:rPr>
        <w:t>第三部分 专业名词解释</w:t>
      </w:r>
    </w:p>
    <w:p w14:paraId="3A41E16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EDFCA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69B86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787E2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30C95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3E232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0E984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DE7F82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4A568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FBC9E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C18E95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B2A4B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93E1B6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25106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B8C53B">
      <w:r>
        <w:br w:type="page"/>
      </w:r>
    </w:p>
    <w:p w14:paraId="70BC1F93">
      <w:pPr>
        <w:spacing w:line="240" w:lineRule="auto"/>
        <w:jc w:val="center"/>
        <w:outlineLvl w:val="1"/>
      </w:pPr>
      <w:r>
        <w:rPr>
          <w:rFonts w:ascii="黑体" w:hAnsi="黑体" w:eastAsia="黑体"/>
          <w:sz w:val="32"/>
        </w:rPr>
        <w:t>第四部分 部门决算报表（见附表）</w:t>
      </w:r>
    </w:p>
    <w:p w14:paraId="1089BBE8">
      <w:pPr>
        <w:spacing w:line="240" w:lineRule="auto"/>
        <w:ind w:firstLine="640"/>
        <w:jc w:val="both"/>
      </w:pPr>
      <w:r>
        <w:rPr>
          <w:rFonts w:ascii="仿宋_GB2312" w:hAnsi="仿宋_GB2312" w:eastAsia="仿宋_GB2312"/>
          <w:b w:val="0"/>
          <w:sz w:val="32"/>
        </w:rPr>
        <w:t>一、《收入支出决算总表》</w:t>
      </w:r>
    </w:p>
    <w:p w14:paraId="3EC48F61">
      <w:pPr>
        <w:spacing w:line="240" w:lineRule="auto"/>
        <w:ind w:firstLine="640"/>
        <w:jc w:val="both"/>
      </w:pPr>
      <w:r>
        <w:rPr>
          <w:rFonts w:ascii="仿宋_GB2312" w:hAnsi="仿宋_GB2312" w:eastAsia="仿宋_GB2312"/>
          <w:b w:val="0"/>
          <w:sz w:val="32"/>
        </w:rPr>
        <w:t>二、《收入决算表》</w:t>
      </w:r>
    </w:p>
    <w:p w14:paraId="1F91A0E3">
      <w:pPr>
        <w:spacing w:line="240" w:lineRule="auto"/>
        <w:ind w:firstLine="640"/>
        <w:jc w:val="both"/>
      </w:pPr>
      <w:r>
        <w:rPr>
          <w:rFonts w:ascii="仿宋_GB2312" w:hAnsi="仿宋_GB2312" w:eastAsia="仿宋_GB2312"/>
          <w:b w:val="0"/>
          <w:sz w:val="32"/>
        </w:rPr>
        <w:t>三、《支出决算表》</w:t>
      </w:r>
    </w:p>
    <w:p w14:paraId="429311E5">
      <w:pPr>
        <w:spacing w:line="240" w:lineRule="auto"/>
        <w:ind w:firstLine="640"/>
        <w:jc w:val="both"/>
      </w:pPr>
      <w:r>
        <w:rPr>
          <w:rFonts w:ascii="仿宋_GB2312" w:hAnsi="仿宋_GB2312" w:eastAsia="仿宋_GB2312"/>
          <w:b w:val="0"/>
          <w:sz w:val="32"/>
        </w:rPr>
        <w:t>四、《财政拨款收入支出决算总表》</w:t>
      </w:r>
    </w:p>
    <w:p w14:paraId="2ABFB970">
      <w:pPr>
        <w:spacing w:line="240" w:lineRule="auto"/>
        <w:ind w:firstLine="640"/>
        <w:jc w:val="both"/>
      </w:pPr>
      <w:r>
        <w:rPr>
          <w:rFonts w:ascii="仿宋_GB2312" w:hAnsi="仿宋_GB2312" w:eastAsia="仿宋_GB2312"/>
          <w:b w:val="0"/>
          <w:sz w:val="32"/>
        </w:rPr>
        <w:t>五、《一般公共预算财政拨款支出决算表》</w:t>
      </w:r>
    </w:p>
    <w:p w14:paraId="285E1CE0">
      <w:pPr>
        <w:spacing w:line="240" w:lineRule="auto"/>
        <w:ind w:firstLine="640"/>
        <w:jc w:val="both"/>
      </w:pPr>
      <w:r>
        <w:rPr>
          <w:rFonts w:ascii="仿宋_GB2312" w:hAnsi="仿宋_GB2312" w:eastAsia="仿宋_GB2312"/>
          <w:b w:val="0"/>
          <w:sz w:val="32"/>
        </w:rPr>
        <w:t>六、《一般公共预算财政拨款基本支出决算表》</w:t>
      </w:r>
    </w:p>
    <w:p w14:paraId="0FC929CE">
      <w:pPr>
        <w:spacing w:line="240" w:lineRule="auto"/>
        <w:ind w:firstLine="640"/>
        <w:jc w:val="both"/>
      </w:pPr>
      <w:r>
        <w:rPr>
          <w:rFonts w:ascii="仿宋_GB2312" w:hAnsi="仿宋_GB2312" w:eastAsia="仿宋_GB2312"/>
          <w:b w:val="0"/>
          <w:sz w:val="32"/>
        </w:rPr>
        <w:t>七、《政府性基金预算财政拨款收入支出决算表》</w:t>
      </w:r>
    </w:p>
    <w:p w14:paraId="6F879CC0">
      <w:pPr>
        <w:spacing w:line="240" w:lineRule="auto"/>
        <w:ind w:firstLine="640"/>
        <w:jc w:val="both"/>
      </w:pPr>
      <w:r>
        <w:rPr>
          <w:rFonts w:ascii="仿宋_GB2312" w:hAnsi="仿宋_GB2312" w:eastAsia="仿宋_GB2312"/>
          <w:b w:val="0"/>
          <w:sz w:val="32"/>
        </w:rPr>
        <w:t>八、《国有资本经营预算财政拨款收入支出决算表》</w:t>
      </w:r>
    </w:p>
    <w:p w14:paraId="0B5956F8">
      <w:pPr>
        <w:spacing w:line="240" w:lineRule="auto"/>
        <w:ind w:firstLine="640"/>
        <w:jc w:val="both"/>
      </w:pPr>
      <w:r>
        <w:rPr>
          <w:rFonts w:ascii="仿宋_GB2312" w:hAnsi="仿宋_GB2312" w:eastAsia="仿宋_GB2312"/>
          <w:b w:val="0"/>
          <w:sz w:val="32"/>
        </w:rPr>
        <w:t>九、《财政拨款“三公”经费支出决算表》</w:t>
      </w:r>
    </w:p>
    <w:p w14:paraId="3B122828">
      <w:pPr>
        <w:spacing w:line="240" w:lineRule="auto"/>
        <w:ind w:firstLine="640"/>
        <w:jc w:val="both"/>
      </w:pPr>
    </w:p>
    <w:p w14:paraId="34B08BCA">
      <w:pPr>
        <w:spacing w:line="240" w:lineRule="auto"/>
        <w:ind w:firstLine="640"/>
        <w:jc w:val="both"/>
      </w:pPr>
    </w:p>
    <w:p w14:paraId="6A6E417A">
      <w:pPr>
        <w:spacing w:line="240" w:lineRule="auto"/>
        <w:ind w:firstLine="640"/>
        <w:jc w:val="both"/>
      </w:pPr>
    </w:p>
    <w:p w14:paraId="4D526324">
      <w:pPr>
        <w:spacing w:line="240" w:lineRule="auto"/>
        <w:ind w:firstLine="640"/>
        <w:jc w:val="both"/>
      </w:pPr>
    </w:p>
    <w:p w14:paraId="5AF3106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DACA56-D0C5-4F92-A556-838643E925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FCFAA7B-D999-4870-AC6C-A0622E1F0561}"/>
  </w:font>
  <w:font w:name="仿宋_GB2312">
    <w:altName w:val="仿宋"/>
    <w:panose1 w:val="02010609030101010101"/>
    <w:charset w:val="86"/>
    <w:family w:val="modern"/>
    <w:pitch w:val="default"/>
    <w:sig w:usb0="00000000" w:usb1="00000000" w:usb2="00000000" w:usb3="00000000" w:csb0="00040000" w:csb1="00000000"/>
    <w:embedRegular r:id="rId3" w:fontKey="{9912B5C1-0201-4385-9DBD-7E72176739F4}"/>
  </w:font>
  <w:font w:name="楷体_GB2312">
    <w:altName w:val="楷体"/>
    <w:panose1 w:val="00000000000000000000"/>
    <w:charset w:val="00"/>
    <w:family w:val="auto"/>
    <w:pitch w:val="default"/>
    <w:sig w:usb0="00000000" w:usb1="00000000" w:usb2="00000000" w:usb3="00000000" w:csb0="00000000" w:csb1="00000000"/>
    <w:embedRegular r:id="rId4" w:fontKey="{05A7CC7F-D77F-4945-A6CA-3E22E8437819}"/>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424DDC"/>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5659</Words>
  <Characters>6430</Characters>
  <Lines>0</Lines>
  <Paragraphs>0</Paragraphs>
  <TotalTime>0</TotalTime>
  <ScaleCrop>false</ScaleCrop>
  <LinksUpToDate>false</LinksUpToDate>
  <CharactersWithSpaces>6440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2025-09-17T04:40:18Z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