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伽师县医疗保障局2024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（1）贯彻落实国家和省、市关于医疗保险、生育保险等医疗保障制度的法律法规、规章、政策、规划和标准，</w:t>
      </w:r>
      <w:r>
        <w:rPr>
          <w:rFonts w:hint="eastAsia" w:ascii="仿宋_GB2312" w:hAnsi="仿宋_GB2312" w:eastAsia="仿宋_GB2312"/>
          <w:sz w:val="32"/>
          <w:lang w:eastAsia="zh-CN"/>
        </w:rPr>
        <w:t>拟定全县</w:t>
      </w:r>
      <w:r>
        <w:rPr>
          <w:rFonts w:ascii="仿宋_GB2312" w:hAnsi="仿宋_GB2312" w:eastAsia="仿宋_GB2312"/>
          <w:sz w:val="32"/>
        </w:rPr>
        <w:t>医疗保障事业发展规划、政策，并组织实施和监督检查。</w:t>
      </w:r>
    </w:p>
    <w:p>
      <w:pPr>
        <w:spacing w:line="580" w:lineRule="exact"/>
        <w:ind w:firstLine="640"/>
        <w:jc w:val="both"/>
      </w:pPr>
      <w:r>
        <w:rPr>
          <w:rFonts w:ascii="仿宋_GB2312" w:hAnsi="仿宋_GB2312" w:eastAsia="仿宋_GB2312"/>
          <w:sz w:val="32"/>
        </w:rPr>
        <w:t>（2）组织拟订并实施医疗保障基金监督管理制度，建立健全医疗保障基金安全防控机制，监督强化全县医疗保障基金运行管理。</w:t>
      </w:r>
    </w:p>
    <w:p>
      <w:pPr>
        <w:spacing w:line="580" w:lineRule="exact"/>
        <w:ind w:firstLine="640"/>
        <w:jc w:val="both"/>
      </w:pPr>
      <w:r>
        <w:rPr>
          <w:rFonts w:ascii="仿宋_GB2312" w:hAnsi="仿宋_GB2312" w:eastAsia="仿宋_GB2312"/>
          <w:sz w:val="32"/>
        </w:rPr>
        <w:t>（3）组织实施医疗保障筹资和待遇政策，完善动态调整和区域调剂平衡机制，落实城乡基本医疗保障待遇标准。贯彻落实长期护理保险制度。</w:t>
      </w:r>
    </w:p>
    <w:p>
      <w:pPr>
        <w:spacing w:line="580" w:lineRule="exact"/>
        <w:ind w:firstLine="640"/>
        <w:jc w:val="both"/>
      </w:pPr>
      <w:r>
        <w:rPr>
          <w:rFonts w:ascii="仿宋_GB2312" w:hAnsi="仿宋_GB2312" w:eastAsia="仿宋_GB2312"/>
          <w:sz w:val="32"/>
        </w:rPr>
        <w:t>（4）组织实施全县城乡统一的药品、医用耗材、医疗服务项目、医疗服务设施等医疗保障目录和支付标准，落实动态调整机制，承担医疗保障目录准入相关工作。</w:t>
      </w:r>
    </w:p>
    <w:p>
      <w:pPr>
        <w:spacing w:line="580" w:lineRule="exact"/>
        <w:ind w:firstLine="640"/>
        <w:jc w:val="both"/>
      </w:pPr>
      <w:r>
        <w:rPr>
          <w:rFonts w:ascii="仿宋_GB2312" w:hAnsi="仿宋_GB2312" w:eastAsia="仿宋_GB2312"/>
          <w:sz w:val="32"/>
        </w:rPr>
        <w:t>（5）贯彻落实药品、医用耗材价格和医疗服务项目、医疗服务设施收费等政策并监督执行。落实医保支付医药服务价格合理确定和动态调整机制，推动建立市场主导的社会医药服务价格形成机制，开展价格信息监测和信息发布工作。</w:t>
      </w:r>
    </w:p>
    <w:p>
      <w:pPr>
        <w:spacing w:line="580" w:lineRule="exact"/>
        <w:ind w:firstLine="640"/>
        <w:jc w:val="both"/>
      </w:pPr>
      <w:r>
        <w:rPr>
          <w:rFonts w:ascii="仿宋_GB2312" w:hAnsi="仿宋_GB2312" w:eastAsia="仿宋_GB2312"/>
          <w:sz w:val="32"/>
        </w:rPr>
        <w:t>（6）贯彻落实全省药品、医用耗材的招标采购政策并监督实施。</w:t>
      </w:r>
    </w:p>
    <w:p>
      <w:pPr>
        <w:spacing w:line="580" w:lineRule="exact"/>
        <w:ind w:firstLine="640"/>
        <w:jc w:val="both"/>
      </w:pPr>
      <w:r>
        <w:rPr>
          <w:rFonts w:ascii="仿宋_GB2312" w:hAnsi="仿宋_GB2312" w:eastAsia="仿宋_GB2312"/>
          <w:sz w:val="32"/>
        </w:rPr>
        <w:t>（7）推进医疗保障基金支付方式改革，组织实施</w:t>
      </w:r>
      <w:r>
        <w:rPr>
          <w:rFonts w:hint="eastAsia" w:ascii="仿宋_GB2312" w:hAnsi="仿宋_GB2312" w:eastAsia="仿宋_GB2312"/>
          <w:sz w:val="32"/>
          <w:lang w:eastAsia="zh-CN"/>
        </w:rPr>
        <w:t>定点医疗机构</w:t>
      </w:r>
      <w:r>
        <w:rPr>
          <w:rFonts w:ascii="仿宋_GB2312" w:hAnsi="仿宋_GB2312" w:eastAsia="仿宋_GB2312"/>
          <w:sz w:val="32"/>
        </w:rPr>
        <w:t>协议和支付管理办法，指导全县医疗保障定点机构管理。建立健全医疗保障信用评价体系和信息披露制度，监督管理纳入医疗保障范围内的医疗服务行为和医疗费用。</w:t>
      </w:r>
    </w:p>
    <w:p>
      <w:pPr>
        <w:spacing w:line="580" w:lineRule="exact"/>
        <w:ind w:firstLine="640"/>
        <w:jc w:val="both"/>
      </w:pPr>
      <w:r>
        <w:rPr>
          <w:rFonts w:ascii="仿宋_GB2312" w:hAnsi="仿宋_GB2312" w:eastAsia="仿宋_GB2312"/>
          <w:sz w:val="32"/>
        </w:rPr>
        <w:t>（8）负责全县医疗保障经办管理体系和公共服务体系建设。组织实施异地就医管理和费用结算政策。落实医疗保障关系转移接续制度。监督管理全县医保经办服务工作。开展医疗保障领域对外合作交流。</w:t>
      </w:r>
    </w:p>
    <w:p>
      <w:pPr>
        <w:spacing w:line="580" w:lineRule="exact"/>
        <w:ind w:firstLine="640"/>
        <w:jc w:val="both"/>
      </w:pPr>
      <w:r>
        <w:rPr>
          <w:rFonts w:ascii="仿宋_GB2312" w:hAnsi="仿宋_GB2312" w:eastAsia="仿宋_GB2312"/>
          <w:sz w:val="32"/>
        </w:rPr>
        <w:t>（9）负责规划实施全县医疗保障信息化建设。组织开展医疗保障大数据管理和应用。</w:t>
      </w:r>
    </w:p>
    <w:p>
      <w:pPr>
        <w:spacing w:line="580" w:lineRule="exact"/>
        <w:ind w:firstLine="640"/>
        <w:jc w:val="both"/>
      </w:pPr>
      <w:r>
        <w:rPr>
          <w:rFonts w:ascii="仿宋_GB2312" w:hAnsi="仿宋_GB2312" w:eastAsia="仿宋_GB2312"/>
          <w:sz w:val="32"/>
        </w:rPr>
        <w:t>（10）负责职责范围内的安全生产、职业健康和生态环境保护等工作。</w:t>
      </w:r>
    </w:p>
    <w:p>
      <w:pPr>
        <w:spacing w:line="580" w:lineRule="exact"/>
        <w:ind w:firstLine="640"/>
        <w:jc w:val="both"/>
      </w:pPr>
      <w:r>
        <w:rPr>
          <w:rFonts w:ascii="仿宋_GB2312" w:hAnsi="仿宋_GB2312" w:eastAsia="仿宋_GB2312"/>
          <w:sz w:val="32"/>
        </w:rPr>
        <w:t>（11）完成县委、县政府交办的其他任务。</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伽师县医疗保障局2024年度，实有人数18人，其中：在职人员13人，增加0人；离休人员0人，增加0人；退休人员5人,增加1人。</w:t>
      </w:r>
    </w:p>
    <w:p>
      <w:pPr>
        <w:spacing w:line="580" w:lineRule="exact"/>
        <w:ind w:firstLine="640"/>
        <w:jc w:val="both"/>
      </w:pPr>
      <w:r>
        <w:rPr>
          <w:rFonts w:ascii="仿宋_GB2312" w:hAnsi="仿宋_GB2312" w:eastAsia="仿宋_GB2312"/>
          <w:sz w:val="32"/>
        </w:rPr>
        <w:t>伽师县医疗保障局无下属预算单位，下设1个科室，分别是：综合办公室。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2024年度收入总计299.40万元，</w:t>
      </w:r>
      <w:r>
        <w:rPr>
          <w:rFonts w:ascii="仿宋_GB2312" w:hAnsi="仿宋_GB2312" w:eastAsia="仿宋_GB2312"/>
          <w:b w:val="0"/>
          <w:sz w:val="32"/>
        </w:rPr>
        <w:t>其中：本年收入合计299.40万元，使用非财政拨款结余（含专用结余）0.00万元，年初结转和结余0.00万元。</w:t>
      </w:r>
    </w:p>
    <w:p>
      <w:pPr>
        <w:spacing w:line="580" w:lineRule="exact"/>
        <w:ind w:firstLine="640"/>
        <w:jc w:val="both"/>
      </w:pPr>
      <w:r>
        <w:rPr>
          <w:rFonts w:ascii="仿宋_GB2312" w:hAnsi="仿宋_GB2312" w:eastAsia="仿宋_GB2312"/>
          <w:b/>
          <w:sz w:val="32"/>
        </w:rPr>
        <w:t>2024年度支出总计299.40万元，</w:t>
      </w:r>
      <w:r>
        <w:rPr>
          <w:rFonts w:ascii="仿宋_GB2312" w:hAnsi="仿宋_GB2312" w:eastAsia="仿宋_GB2312"/>
          <w:b w:val="0"/>
          <w:sz w:val="32"/>
        </w:rPr>
        <w:t>其中：本年支出合计299.40万元，结余分配0.00万元，年末结转和结余0.00万元。</w:t>
      </w:r>
    </w:p>
    <w:p>
      <w:pPr>
        <w:spacing w:line="580" w:lineRule="exact"/>
        <w:ind w:firstLine="640"/>
        <w:jc w:val="both"/>
      </w:pPr>
      <w:r>
        <w:rPr>
          <w:rFonts w:ascii="仿宋_GB2312" w:hAnsi="仿宋_GB2312" w:eastAsia="仿宋_GB2312"/>
          <w:b w:val="0"/>
          <w:sz w:val="32"/>
        </w:rPr>
        <w:t>收入支出总体与上年相比，减少160.04万元，下降34.83%，主要原因是：本年减少中央财政医疗服务与保障能力提升补助资金项目、疫情防控物资费和物资库房租赁费、自治区财政全民参保补助资金项目和离休人员医疗费项目等导致经费较上年减少。</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本年收入299.40万元，</w:t>
      </w:r>
      <w:r>
        <w:rPr>
          <w:rFonts w:ascii="仿宋_GB2312" w:hAnsi="仿宋_GB2312" w:eastAsia="仿宋_GB2312"/>
          <w:b w:val="0"/>
          <w:sz w:val="32"/>
        </w:rPr>
        <w:t>其中：财政拨款收入267.82万元，占89.45%；上级补助收入0.00万元，占0.00%；事业收入0.00万元，占0.00%；经营收入0.00万元，占0.00%；附属单位上缴收入0.00万元，占0.00%；其他收入31.58万元，占10.55%。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本年支出299.40万元，</w:t>
      </w:r>
      <w:r>
        <w:rPr>
          <w:rFonts w:ascii="仿宋_GB2312" w:hAnsi="仿宋_GB2312" w:eastAsia="仿宋_GB2312"/>
          <w:b w:val="0"/>
          <w:sz w:val="32"/>
        </w:rPr>
        <w:t>其中：基本支出259.53万元，占86.68%；项目支出39.87万元，占13.32%；上缴上级支出0.00万元，占0.00%；经营支出0.00万元，占0.00%；对附属单位补助支出0.00万元，占0.00%。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2024年度财政拨款收入总计267.82万元，</w:t>
      </w:r>
      <w:r>
        <w:rPr>
          <w:rFonts w:ascii="仿宋_GB2312" w:hAnsi="仿宋_GB2312" w:eastAsia="仿宋_GB2312"/>
          <w:b w:val="0"/>
          <w:sz w:val="32"/>
        </w:rPr>
        <w:t>其中：年初财政拨款结转和结余0.00万元，本年财政拨款收入267.82万元。</w:t>
      </w:r>
      <w:r>
        <w:rPr>
          <w:rFonts w:ascii="仿宋_GB2312" w:hAnsi="仿宋_GB2312" w:eastAsia="仿宋_GB2312"/>
          <w:b/>
          <w:sz w:val="32"/>
        </w:rPr>
        <w:t>财政拨款支出总计267.82万元，</w:t>
      </w:r>
      <w:r>
        <w:rPr>
          <w:rFonts w:ascii="仿宋_GB2312" w:hAnsi="仿宋_GB2312" w:eastAsia="仿宋_GB2312"/>
          <w:b w:val="0"/>
          <w:sz w:val="32"/>
        </w:rPr>
        <w:t>其中：年末财政拨款结转和结余0.00万元，本年财政拨款支出267.82万元。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减少79.00万元，下降22.78%，主要原因是：本年减少中央财政医疗服务与保障能力提升补助资金项目，自治区财政全民参保补助资金项目和离休人员医疗费项目经费较上年减少，导致经费较上年减少。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年初预算数247.38万元，决算数267.82万元，预决算差异率8.26%，主要原因是：年中追加人员经费及人员工资、社保、公积金基数调增部分资金，导致预决算存在差异。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2024年度一般公共预算财政拨款支出267.82万元，</w:t>
      </w:r>
      <w:r>
        <w:rPr>
          <w:rFonts w:ascii="仿宋_GB2312" w:hAnsi="仿宋_GB2312" w:eastAsia="仿宋_GB2312"/>
          <w:b w:val="0"/>
          <w:sz w:val="32"/>
        </w:rPr>
        <w:t>占本年支出合计的89.45%。</w:t>
      </w:r>
      <w:r>
        <w:rPr>
          <w:rFonts w:ascii="仿宋_GB2312" w:hAnsi="仿宋_GB2312" w:eastAsia="仿宋_GB2312"/>
          <w:b/>
          <w:sz w:val="32"/>
        </w:rPr>
        <w:t>与上年相比，</w:t>
      </w:r>
      <w:r>
        <w:rPr>
          <w:rFonts w:ascii="仿宋_GB2312" w:hAnsi="仿宋_GB2312" w:eastAsia="仿宋_GB2312"/>
          <w:b w:val="0"/>
          <w:sz w:val="32"/>
        </w:rPr>
        <w:t>减少79.00万元，下降22.78%，主要原因是：本年减少中央财政医疗服务与保障能力提升补助资金项目，自治区财政全民参保补助资金项目和离休人员医疗费项目经费较上年减少，导致经费较上年减少。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年初预算数247.38万元，决算数267.82万元，预决算差异率8.26%，主要原因是：年中追加人员经费及人员工资、社保、公积金基数调增部分资金，导致预决算存在差异。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1.社会保障和就业支出(类)27.72万元,占10.35%。</w:t>
      </w:r>
    </w:p>
    <w:p>
      <w:pPr>
        <w:spacing w:line="580" w:lineRule="exact"/>
        <w:ind w:firstLine="640"/>
        <w:jc w:val="both"/>
      </w:pPr>
      <w:r>
        <w:rPr>
          <w:rFonts w:ascii="仿宋_GB2312" w:hAnsi="仿宋_GB2312" w:eastAsia="仿宋_GB2312"/>
          <w:b w:val="0"/>
          <w:sz w:val="32"/>
        </w:rPr>
        <w:t>2.卫生健康支出(类)221.19万元,占82.59%。</w:t>
      </w:r>
    </w:p>
    <w:p>
      <w:pPr>
        <w:spacing w:line="580" w:lineRule="exact"/>
        <w:ind w:firstLine="640"/>
        <w:jc w:val="both"/>
      </w:pPr>
      <w:r>
        <w:rPr>
          <w:rFonts w:ascii="仿宋_GB2312" w:hAnsi="仿宋_GB2312" w:eastAsia="仿宋_GB2312"/>
          <w:b w:val="0"/>
          <w:sz w:val="32"/>
        </w:rPr>
        <w:t>3.住房保障支出(类)18.91万元,占7.06%。</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1.社会保障和就业支出(类)行政事业单位养老支出(款)行政单位离退休(项):支出决算数为4.71万元，比上年决算增加0.95万元，增长25.27%,主要原因是：本年退休人员增加，退休人员基础绩效奖，退休费支出增加。</w:t>
      </w:r>
    </w:p>
    <w:p>
      <w:pPr>
        <w:spacing w:line="580" w:lineRule="exact"/>
        <w:ind w:firstLine="640"/>
        <w:jc w:val="both"/>
      </w:pPr>
      <w:r>
        <w:rPr>
          <w:rFonts w:ascii="仿宋_GB2312" w:hAnsi="仿宋_GB2312" w:eastAsia="仿宋_GB2312"/>
          <w:b w:val="0"/>
          <w:sz w:val="32"/>
        </w:rPr>
        <w:t>2.社会保障和就业支出(类)行政事业单位养老支出(款)机关事业单位基本养老保险缴费支出(项):支出决算数为23.01万元，比上年决算增加3.24万元，增长16.39%,主要原因是：本年在职人员工资基数调增，养老缴费基数上涨，相应支出增加。</w:t>
      </w:r>
    </w:p>
    <w:p>
      <w:pPr>
        <w:spacing w:line="580" w:lineRule="exact"/>
        <w:ind w:firstLine="640"/>
        <w:jc w:val="both"/>
      </w:pPr>
      <w:r>
        <w:rPr>
          <w:rFonts w:ascii="仿宋_GB2312" w:hAnsi="仿宋_GB2312" w:eastAsia="仿宋_GB2312"/>
          <w:b w:val="0"/>
          <w:sz w:val="32"/>
        </w:rPr>
        <w:t>3.卫生健康支出(类)行政事业单位医疗(款)行政单位医疗(项):支出决算数为9.84万元，比上年决算增加1.68万元，增长20.59%,主要原因是：本年在职人员工资基数调增，医疗缴费基数上涨，相应支出增加。</w:t>
      </w:r>
    </w:p>
    <w:p>
      <w:pPr>
        <w:spacing w:line="580" w:lineRule="exact"/>
        <w:ind w:firstLine="640"/>
        <w:jc w:val="both"/>
      </w:pPr>
      <w:r>
        <w:rPr>
          <w:rFonts w:ascii="仿宋_GB2312" w:hAnsi="仿宋_GB2312" w:eastAsia="仿宋_GB2312"/>
          <w:b w:val="0"/>
          <w:sz w:val="32"/>
        </w:rPr>
        <w:t>4.卫生健康支出(类)行政事业单位医疗(款)公务员医疗补助(项):支出决算数为1.00万元，比上年决算增加0.20万元，增长25.00%,主要原因是：本年在职人员工资基数调增，公务员医疗缴费基数上涨，相应支出增加。</w:t>
      </w:r>
    </w:p>
    <w:p>
      <w:pPr>
        <w:spacing w:line="580" w:lineRule="exact"/>
        <w:ind w:firstLine="640"/>
        <w:jc w:val="both"/>
      </w:pPr>
      <w:r>
        <w:rPr>
          <w:rFonts w:ascii="仿宋_GB2312" w:hAnsi="仿宋_GB2312" w:eastAsia="仿宋_GB2312"/>
          <w:b w:val="0"/>
          <w:sz w:val="32"/>
        </w:rPr>
        <w:t>5.卫生健康支出(类)医疗保障管理事务(款)行政运行(项):支出决算数为202.06万元，比上年决算增加15.03万元，增长8.04%,主要原因是：本年在职人员工资调增，导致相关人员经费较上年有所增加。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6.卫生健康支出(类)医疗保障管理事务(款)信息化建设(项):支出决算数为0.00万元，比上年决算减少20.00万元，下降100.00%,主要原因是：本年减少中央财政医疗服务与保障能力提升补助资金项目。</w:t>
      </w:r>
    </w:p>
    <w:p>
      <w:pPr>
        <w:spacing w:line="580" w:lineRule="exact"/>
        <w:ind w:firstLine="640"/>
        <w:jc w:val="both"/>
      </w:pPr>
      <w:r>
        <w:rPr>
          <w:rFonts w:ascii="仿宋_GB2312" w:hAnsi="仿宋_GB2312" w:eastAsia="仿宋_GB2312"/>
          <w:b w:val="0"/>
          <w:sz w:val="32"/>
        </w:rPr>
        <w:t>7.卫生健康支出(类)医疗保障管理事务(款)医疗保障经办事务(项):支出决算数为0.00万元，比上年决算减少8.51万元，下降100.00%,主要原因是：本年功能科目调整，自治区财政全民参保补助资金项目经费上年度在本科目列支，本年度调整至其他医疗保障管理事务支出，导致经费较上年减少。</w:t>
      </w:r>
    </w:p>
    <w:p>
      <w:pPr>
        <w:spacing w:line="580" w:lineRule="exact"/>
        <w:ind w:firstLine="640"/>
        <w:jc w:val="both"/>
      </w:pPr>
      <w:r>
        <w:rPr>
          <w:rFonts w:ascii="仿宋_GB2312" w:hAnsi="仿宋_GB2312" w:eastAsia="仿宋_GB2312"/>
          <w:b w:val="0"/>
          <w:sz w:val="32"/>
        </w:rPr>
        <w:t>8.卫生健康支出(类)医疗保障管理事务(款)其他医疗保障管理事务支出(项):支出决算数为8.29万元，比上年决算减少75.32万元，下降90.08%,主要原因是：本年自治区财政全民参保补助资金项目和离休人员医疗费项目经费减少。</w:t>
      </w:r>
    </w:p>
    <w:p>
      <w:pPr>
        <w:spacing w:line="580" w:lineRule="exact"/>
        <w:ind w:firstLine="640"/>
        <w:jc w:val="both"/>
      </w:pPr>
      <w:r>
        <w:rPr>
          <w:rFonts w:ascii="仿宋_GB2312" w:hAnsi="仿宋_GB2312" w:eastAsia="仿宋_GB2312"/>
          <w:b w:val="0"/>
          <w:sz w:val="32"/>
        </w:rPr>
        <w:t>9.住房保障支出(类)住房改革支出(款)住房公积金(项):支出决算数为18.91万元，比上年决算增加3.72万元，增长24.49%,主要原因是：本年在职人员工资基数调增，公积金缴费基数上涨，相应支出增加。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2024年度一般公共预算财政拨款基本支出259.53万元，其中：</w:t>
      </w:r>
      <w:r>
        <w:rPr>
          <w:rFonts w:ascii="仿宋_GB2312" w:hAnsi="仿宋_GB2312" w:eastAsia="仿宋_GB2312"/>
          <w:b/>
          <w:sz w:val="32"/>
        </w:rPr>
        <w:t>人员经费252.55万元，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包括：基本工资、津贴补贴、奖金、机关事业单位基本养老保险缴费、职工基本医疗保险缴费、公务员医疗补助缴费、其他社会保障缴费、住房公积金、其他工资福利支出、退休费、生活补助。</w:t>
      </w:r>
    </w:p>
    <w:p>
      <w:pPr>
        <w:spacing w:line="580" w:lineRule="exact"/>
        <w:ind w:firstLine="640"/>
        <w:jc w:val="both"/>
      </w:pPr>
      <w:r>
        <w:rPr>
          <w:rFonts w:ascii="仿宋_GB2312" w:hAnsi="仿宋_GB2312" w:eastAsia="仿宋_GB2312"/>
          <w:b/>
          <w:sz w:val="32"/>
        </w:rPr>
        <w:t>公用经费6.98万元，</w:t>
      </w:r>
      <w:r>
        <w:rPr>
          <w:rFonts w:ascii="仿宋_GB2312" w:hAnsi="仿宋_GB2312" w:eastAsia="仿宋_GB2312"/>
          <w:b w:val="0"/>
          <w:sz w:val="32"/>
        </w:rPr>
        <w:t>包括：办公费、印刷费、水费、电费、邮电费、公务接待费、公务用车运行维护费。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2024年度财政拨款“三公”经费支出2.22万元，</w:t>
      </w:r>
      <w:r>
        <w:rPr>
          <w:rFonts w:ascii="仿宋_GB2312" w:hAnsi="仿宋_GB2312" w:eastAsia="仿宋_GB2312"/>
          <w:b w:val="0"/>
          <w:sz w:val="32"/>
        </w:rPr>
        <w:t>比上年减少0.01万元，下降0.45%，主要原因是：严格落实中央八项规定精神，厉行节约，减少公务接待费。其中：因公出国（境）费支出0.00万元，占0.00%，比上年增加0.00万元，增长0.00%，主要原因是：2023年与2024年均未安排因公出国（境）费支出。公务用车购置及运行维护费支出2.10万元，占94.59%，比上年增加0.00万元，增长0.00%，主要原因是：本单位公务用车运行维护费与上年一致无变化。公务接待费支出0.12万元，占5.41%，比上年减少0.01万元，下降7.69%，主要原因是：严格落实中央八项规定精神，厉行节约，减少公务接待费。</w:t>
      </w:r>
    </w:p>
    <w:p>
      <w:pPr>
        <w:spacing w:line="580" w:lineRule="exact"/>
        <w:ind w:firstLine="640"/>
        <w:jc w:val="both"/>
      </w:pPr>
      <w:bookmarkStart w:id="0" w:name="_GoBack"/>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2.10万元，其中：公务用车购置费0.00万元，公务用车运行维护费2.10万元。公务用车运行维护费开支内容包括车辆加油费、维修费、保险费、审车费等。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公务接待费0.12万元，开支内容包括接待自治区及地区领导的就餐费。单位全年安排的国内公务接待3批次，32人次。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2.22万元，决算数2.22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2.10万元，决算数2.10万元，预决算差异率0.00%，主要原因是：严格按照预算执行，预决算无差异。公务接待费全年预算数0.12万元，决算数0.12万元，预决算差异率0.00%，主要原因是：严格按照预算执行，预决算无差异。</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2024年度伽师县医疗保障局（行政单位和参照公务员法管理事业单位）机关运行经费支出6.98万元，比上年增加2.36万元，增长51.08%，主要原因是：本年更新、维护补充办公用品，导致机关运行经费较上年增加。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2024年度政府采购支出总额1.11万元，其中：政府采购货物支出0.00万元、政府采购工程支出0.00万元、政府采购服务支出1.11万元。</w:t>
      </w:r>
    </w:p>
    <w:p>
      <w:pPr>
        <w:spacing w:line="580" w:lineRule="exact"/>
        <w:ind w:firstLine="640"/>
        <w:jc w:val="both"/>
      </w:pPr>
      <w:r>
        <w:rPr>
          <w:rFonts w:ascii="仿宋_GB2312" w:hAnsi="仿宋_GB2312" w:eastAsia="仿宋_GB2312"/>
          <w:b w:val="0"/>
          <w:sz w:val="32"/>
        </w:rPr>
        <w:t>授予中小企业合同金额0.90万元，占政府采购支出总额的81.08%，其中：授予小微企业合同金额0.90万元，占政府采购支出总额的81.08%。</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14.00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299.40万元，实际执行总额299.40万元；预算绩效评价项目2个，全年预算数37.54万元，全年执行数37.54万元。预算绩效管理取得的成效：一是有效减轻参保人员就医经济负担，缓解社会矛盾；二是提高了社会保险经办机构服务水平，基本医疗保险参保群众满意度达95%以上；三是有效提高两定机构医疗保险服务质量，医疗服务行为进一步提高。发现的问题及原因：一是绩效评价制度体系有待完善。因我局成立时间</w:t>
      </w:r>
      <w:r>
        <w:rPr>
          <w:rFonts w:hint="eastAsia" w:ascii="仿宋_GB2312" w:hAnsi="仿宋_GB2312" w:eastAsia="仿宋_GB2312"/>
          <w:b w:val="0"/>
          <w:sz w:val="32"/>
          <w:lang w:eastAsia="zh-CN"/>
        </w:rPr>
        <w:t>短</w:t>
      </w:r>
      <w:r>
        <w:rPr>
          <w:rFonts w:ascii="仿宋_GB2312" w:hAnsi="仿宋_GB2312" w:eastAsia="仿宋_GB2312"/>
          <w:b w:val="0"/>
          <w:sz w:val="32"/>
        </w:rPr>
        <w:t>，缺乏相关绩效评价的知识储备和工作经验，需进一步完善的绩效评价制度体系，相关工作仍在进一步探索中；二是现有人员对绩效指标设置不到位、绩效评价工作流程不太熟悉，加上医保政策理解不到位，绩效评价工作进程慢、评价效果不理想。下一步改进措施：一是加强预算绩效管理。进一步加强预算资金管理，对预算的事前、事中、事后进行全过程控制，加大对预算编制与执行的监督管理力度，提高预算资金使用效率。同时，提高各单位人员对预算资金使用效益的认识，把预算资金是否发挥使用效益与各岗位是否履职尽责相结合，将预算资金使用的效率和效益作为对各岗位人员工作考核评价的重要内容之一。对经费严格落实“收支两条线”要求，精细测算支出额度，把需求核准核实，充分发挥财政资金的效益。二是加强医保业务政策知识的学习力度，加大绩效工作宣传力度，定期组织宣讲、考核，强化医保政策了解程度，强化绩效理念，提高经办业务管理水平。具体附整体支出绩效自评表，项目支出绩效自评表和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伽师县医疗保障局</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247.36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299.40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239.07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259.50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坚持不懈加强政策宣传，进一步提高群众对医保政策的知晓率。不断加大筹资力度，确保参保率稳固提升，全力配合税务部门做好2024年城乡居民基本医疗保险参保率达到95%以上，充分发挥乡镇，村和社区在参保费</w:t>
            </w:r>
            <w:r>
              <w:rPr>
                <w:rFonts w:hint="eastAsia" w:ascii="宋体" w:hAnsi="宋体"/>
                <w:sz w:val="16"/>
                <w:lang w:eastAsia="zh-CN"/>
              </w:rPr>
              <w:t>征缴</w:t>
            </w:r>
            <w:r>
              <w:rPr>
                <w:rFonts w:ascii="宋体" w:hAnsi="宋体" w:eastAsia="宋体"/>
                <w:sz w:val="16"/>
              </w:rPr>
              <w:t>工作中的重要作用，县乡村协调联动形成工作合力，引导城乡居民积极参保，及时落实特困人员参保缴费全额资助，对未纳入监测范围的脱贫人口给予差额资助，进一步减轻困难群体个人缴费负担，确保法定人口应保尽保，应资助尽资助，稳步提高城乡居民参保率；2024年计划完成：居民医疗保险参保人数不低于41.06万人；职工医疗保险参保人数不低于2.50万人。</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按照《关于做好全县2024年度城乡居民基本医疗保险费征缴工作的通知》喀地医保发</w:t>
            </w:r>
            <w:r>
              <w:rPr>
                <w:rFonts w:hint="eastAsia" w:ascii="宋体" w:hAnsi="宋体"/>
                <w:sz w:val="16"/>
                <w:lang w:eastAsia="zh-CN"/>
              </w:rPr>
              <w:t>〔2023〕52号</w:t>
            </w:r>
            <w:r>
              <w:rPr>
                <w:rFonts w:ascii="宋体" w:hAnsi="宋体" w:eastAsia="宋体"/>
                <w:sz w:val="16"/>
              </w:rPr>
              <w:t>文件要求，确保我县城乡居民应保尽保，与农业农村、民政、人社、公安、残联、财政、卫健等部门开展参保动员部署工作，安排专人负责做好医疗保险参保工作，稳步提高</w:t>
            </w:r>
            <w:r>
              <w:rPr>
                <w:rFonts w:hint="eastAsia" w:ascii="宋体" w:hAnsi="宋体"/>
                <w:sz w:val="16"/>
                <w:lang w:eastAsia="zh-CN"/>
              </w:rPr>
              <w:t>城乡居民基本医疗保险</w:t>
            </w:r>
            <w:r>
              <w:rPr>
                <w:rFonts w:ascii="宋体" w:hAnsi="宋体" w:eastAsia="宋体"/>
                <w:sz w:val="16"/>
              </w:rPr>
              <w:t>参保率。截至目前，我县参加基本医疗保险缴费45.06万人，参保率达到99.92%以上，其中在伽师参加</w:t>
            </w:r>
            <w:r>
              <w:rPr>
                <w:rFonts w:hint="eastAsia" w:ascii="宋体" w:hAnsi="宋体"/>
                <w:sz w:val="16"/>
                <w:lang w:eastAsia="zh-CN"/>
              </w:rPr>
              <w:t>城乡居民基本医疗保险</w:t>
            </w:r>
            <w:r>
              <w:rPr>
                <w:rFonts w:ascii="宋体" w:hAnsi="宋体" w:eastAsia="宋体"/>
                <w:sz w:val="16"/>
              </w:rPr>
              <w:t>参保缴费41.47万人，参加职工基本医疗保险2.66万人，2024年度困难群体参保22.75万人，参保率100%；引导我县群众在集中缴费期内预缴下一年度医保费用，现已参保40.85万人，参保率98.53%。</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喀什地区医疗保障</w:t>
            </w:r>
            <w:r>
              <w:rPr>
                <w:rFonts w:hint="eastAsia" w:ascii="宋体" w:hAnsi="宋体"/>
                <w:sz w:val="16"/>
                <w:lang w:eastAsia="zh-CN"/>
              </w:rPr>
              <w:t>“十四五”规划</w:t>
            </w:r>
            <w:r>
              <w:rPr>
                <w:rFonts w:ascii="宋体" w:hAnsi="宋体" w:eastAsia="宋体"/>
                <w:sz w:val="16"/>
              </w:rPr>
              <w:t>政策、伽师县医疗保障局2024年工作计划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104.2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居民医疗保险参保人数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&gt;=41.06万人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喀什地区医疗保障</w:t>
            </w:r>
            <w:r>
              <w:rPr>
                <w:rFonts w:hint="eastAsia" w:ascii="宋体" w:hAnsi="宋体"/>
                <w:sz w:val="16"/>
                <w:lang w:eastAsia="zh-CN"/>
              </w:rPr>
              <w:t>“十四五”规划</w:t>
            </w:r>
            <w:r>
              <w:rPr>
                <w:rFonts w:ascii="宋体" w:hAnsi="宋体" w:eastAsia="宋体"/>
                <w:sz w:val="16"/>
              </w:rPr>
              <w:t>政策、伽师县医疗保障局2024年工作计划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41.47万人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职工医疗保险参保人数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&gt;=2.50万人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喀什地区医疗保障</w:t>
            </w:r>
            <w:r>
              <w:rPr>
                <w:rFonts w:hint="eastAsia" w:ascii="宋体" w:hAnsi="宋体"/>
                <w:sz w:val="16"/>
                <w:lang w:eastAsia="zh-CN"/>
              </w:rPr>
              <w:t>“十四五”规划</w:t>
            </w:r>
            <w:r>
              <w:rPr>
                <w:rFonts w:ascii="宋体" w:hAnsi="宋体" w:eastAsia="宋体"/>
                <w:sz w:val="16"/>
              </w:rPr>
              <w:t>政策、伽师县医疗保障局2024年工作计划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2.66万人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106.4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跟班学习覆盖率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喀什地区医疗保障</w:t>
            </w:r>
            <w:r>
              <w:rPr>
                <w:rFonts w:hint="eastAsia" w:ascii="宋体" w:hAnsi="宋体"/>
                <w:sz w:val="16"/>
                <w:lang w:eastAsia="zh-CN"/>
              </w:rPr>
              <w:t>“十四五”规划</w:t>
            </w:r>
            <w:r>
              <w:rPr>
                <w:rFonts w:ascii="宋体" w:hAnsi="宋体" w:eastAsia="宋体"/>
                <w:sz w:val="16"/>
              </w:rPr>
              <w:t>政策、伽师县医疗保障局2024年工作计划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医保政策宣传率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喀什地区医疗保障</w:t>
            </w:r>
            <w:r>
              <w:rPr>
                <w:rFonts w:hint="eastAsia" w:ascii="宋体" w:hAnsi="宋体"/>
                <w:sz w:val="16"/>
                <w:lang w:eastAsia="zh-CN"/>
              </w:rPr>
              <w:t>“十四五”规划</w:t>
            </w:r>
            <w:r>
              <w:rPr>
                <w:rFonts w:ascii="宋体" w:hAnsi="宋体" w:eastAsia="宋体"/>
                <w:sz w:val="16"/>
              </w:rPr>
              <w:t>政策、伽师县医疗保障局2024年工作计划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伽师县医保局2024年离休人员医疗费项目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伽师县医疗保障局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29.25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伽师县医保局2024年离休人员医疗费项目下发本级财政预算资金29.25万元，主要用于保障1名离休人员医疗费用，确保全县离休干部的医疗保障待遇得到贯彻落实，不断健全完善医疗保障体系。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该项目预算资金29.25万元，</w:t>
            </w:r>
            <w:r>
              <w:rPr>
                <w:rFonts w:hint="eastAsia" w:ascii="宋体" w:hAnsi="宋体"/>
                <w:sz w:val="16"/>
                <w:lang w:eastAsia="zh-CN"/>
              </w:rPr>
              <w:t>截至</w:t>
            </w:r>
            <w:r>
              <w:rPr>
                <w:rFonts w:ascii="宋体" w:hAnsi="宋体" w:eastAsia="宋体"/>
                <w:sz w:val="16"/>
              </w:rPr>
              <w:t>2024年7月31日，已支付资金29.25万元执行率100%。项目资金的支出主要为离休人员的医疗提供了保障，通过项目的实施，离休干部的医疗保障待遇得到贯彻落实，有力促进了医疗保障体系的健全完善。</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医疗待遇人数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资金支出合规性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政策范围内住院报销率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=2024年5月31日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预算成本控制率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离休人员医疗费用保障稳定程度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持续稳定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离休干部满意度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728"/>
        <w:gridCol w:w="600"/>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伽师县医保局2024年自治区财政全民参保补助及医疗服务经费资金项目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伽师县医疗保障局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伽师县医疗保障局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8.29万元，主要用于人员的基本医疗保险参保，通过本项目的实施，实现医保业务档案全面数字化，提高两定机构医疗保险服务质量、规范医疗服务行为，保障参保人员权益、提升基金使用效率、规范协议管理，提高医疗保险经办机构服务水平，提高群众的参保自觉性，进一步推进全民参保的实现。</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该项目预算资金8.29万元，</w:t>
            </w:r>
            <w:r>
              <w:rPr>
                <w:rFonts w:hint="eastAsia" w:ascii="宋体" w:hAnsi="宋体"/>
                <w:sz w:val="16"/>
                <w:lang w:eastAsia="zh-CN"/>
              </w:rPr>
              <w:t>截至</w:t>
            </w:r>
            <w:r>
              <w:rPr>
                <w:rFonts w:ascii="宋体" w:hAnsi="宋体" w:eastAsia="宋体"/>
                <w:sz w:val="16"/>
              </w:rPr>
              <w:t>2024年12月30日，项目已支付资金8.29万元，预算执行率100%。用于支付41.4万名参保人员的基本医疗保险资金支出，为医保业务档案全面数字化提供了保障，通过项目的实施，两定机构医疗保险服务质量得到提高，医疗服务行为进一步规范，群众的参保自觉性明显增强，全民参保得以实现。</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基本医疗保险参保人数</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&gt;=41万人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=41.4万人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重复参保率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全民参保率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按时报送各项医疗保险基金季报数据及分析</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每季度结束后，25日内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每季度结束后，25日内</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基本医疗保险办公运行经费数</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基本医疗保险政策宣传经费数</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减轻参保人员经济负担，缓解社会矛盾</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有效减轻</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政策知晓率</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基本医疗保险参保群众满意度</w:t>
            </w:r>
          </w:p>
        </w:tc>
        <w:tc>
          <w:tcPr>
            <w:tcW w:w="60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bookmarkEnd w:id="0"/>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1742CAD"/>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F0537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6646</Words>
  <Characters>7554</Characters>
  <Lines>0</Lines>
  <Paragraphs>0</Paragraphs>
  <TotalTime>11</TotalTime>
  <ScaleCrop>false</ScaleCrop>
  <LinksUpToDate>false</LinksUpToDate>
  <CharactersWithSpaces>7565</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ZFB</cp:lastModifiedBy>
  <cp:lastPrinted>2024-07-22T11:58:00Z</cp:lastPrinted>
  <dcterms:modified xsi:type="dcterms:W3CDTF">2025-10-21T09:53:33Z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