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伽师县古勒鲁克乡卫生院2024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8F46E8">
      <w:r>
        <w:br w:type="page"/>
      </w:r>
    </w:p>
    <w:p w14:paraId="7D217A67">
      <w:pPr>
        <w:spacing w:line="640" w:lineRule="exact"/>
        <w:jc w:val="center"/>
        <w:outlineLvl w:val="1"/>
      </w:pPr>
      <w:r>
        <w:rPr>
          <w:rFonts w:ascii="黑体" w:hAnsi="黑体" w:eastAsia="黑体"/>
          <w:sz w:val="32"/>
        </w:rPr>
        <w:t>第一部分 单位概况</w:t>
      </w:r>
    </w:p>
    <w:p w14:paraId="3F04EED8">
      <w:pPr>
        <w:spacing w:line="640" w:lineRule="exact"/>
        <w:ind w:firstLine="640"/>
        <w:jc w:val="both"/>
        <w:outlineLvl w:val="2"/>
      </w:pPr>
      <w:r>
        <w:rPr>
          <w:rFonts w:ascii="黑体" w:hAnsi="黑体" w:eastAsia="黑体"/>
          <w:sz w:val="32"/>
        </w:rPr>
        <w:t>一、主要职能</w:t>
      </w:r>
    </w:p>
    <w:p w14:paraId="0E11DA10">
      <w:pPr>
        <w:spacing w:line="580" w:lineRule="exact"/>
        <w:ind w:firstLine="640"/>
        <w:jc w:val="both"/>
      </w:pPr>
      <w:r>
        <w:rPr>
          <w:rFonts w:ascii="仿宋_GB2312" w:hAnsi="仿宋_GB2312" w:eastAsia="仿宋_GB2312"/>
          <w:sz w:val="32"/>
        </w:rPr>
        <w:t>（1）伽师县古勒鲁克乡卫生院2024年以公共卫生服务为主，综合提供预防、保健和基本医疗等服务。</w:t>
      </w:r>
    </w:p>
    <w:p w14:paraId="666F683C">
      <w:pPr>
        <w:spacing w:line="580" w:lineRule="exact"/>
        <w:ind w:firstLine="640"/>
        <w:jc w:val="both"/>
        <w:rPr>
          <w:rFonts w:ascii="仿宋_GB2312" w:hAnsi="仿宋_GB2312" w:eastAsia="仿宋_GB2312"/>
          <w:sz w:val="32"/>
        </w:rPr>
      </w:pPr>
      <w:r>
        <w:rPr>
          <w:rFonts w:ascii="仿宋_GB2312" w:hAnsi="仿宋_GB2312" w:eastAsia="仿宋_GB2312"/>
          <w:sz w:val="32"/>
        </w:rPr>
        <w:t>（2）加强农村疾病预防控制，做好传染病、地方病防治和</w:t>
      </w:r>
      <w:bookmarkStart w:id="0" w:name="_GoBack"/>
      <w:r>
        <w:rPr>
          <w:rFonts w:hint="eastAsia" w:ascii="仿宋_GB2312" w:hAnsi="仿宋_GB2312" w:eastAsia="仿宋_GB2312"/>
          <w:sz w:val="32"/>
          <w:lang w:eastAsia="zh-CN"/>
        </w:rPr>
        <w:t>YQ</w:t>
      </w:r>
      <w:bookmarkEnd w:id="0"/>
      <w:r>
        <w:rPr>
          <w:rFonts w:ascii="仿宋_GB2312" w:hAnsi="仿宋_GB2312" w:eastAsia="仿宋_GB2312"/>
          <w:sz w:val="32"/>
        </w:rPr>
        <w:t>等农村突发公共卫生事件报告工作，重点控制严重危害农民身体健康的传染病、地方病、职业病和寄生虫病等重大疾病；</w:t>
      </w:r>
    </w:p>
    <w:p w14:paraId="691D6B0F">
      <w:pPr>
        <w:spacing w:line="580" w:lineRule="exact"/>
        <w:ind w:firstLine="640"/>
        <w:jc w:val="both"/>
      </w:pPr>
      <w:r>
        <w:rPr>
          <w:rFonts w:ascii="仿宋_GB2312" w:hAnsi="仿宋_GB2312" w:eastAsia="仿宋_GB2312"/>
          <w:sz w:val="32"/>
        </w:rPr>
        <w:t>（3）认真执行儿童计划免疫。积极开展慢性非传染性疾病的防治工作。</w:t>
      </w:r>
    </w:p>
    <w:p w14:paraId="27147CA0">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69B568A5">
      <w:pPr>
        <w:spacing w:line="580" w:lineRule="exact"/>
        <w:ind w:firstLine="640"/>
        <w:jc w:val="both"/>
      </w:pPr>
      <w:r>
        <w:rPr>
          <w:rFonts w:ascii="仿宋_GB2312" w:hAnsi="仿宋_GB2312" w:eastAsia="仿宋_GB2312"/>
          <w:sz w:val="32"/>
        </w:rPr>
        <w:t>（5）开展爱国卫生运动，普及疾病预防和卫生保健知识，指导群众改善居住、饮食、饮水和环境卫生条件，引导和帮助农民建立良好的卫生习惯。</w:t>
      </w:r>
    </w:p>
    <w:p w14:paraId="21BA99B3">
      <w:pPr>
        <w:spacing w:line="640" w:lineRule="exact"/>
        <w:ind w:firstLine="640"/>
        <w:jc w:val="both"/>
        <w:outlineLvl w:val="2"/>
      </w:pPr>
      <w:r>
        <w:rPr>
          <w:rFonts w:ascii="黑体" w:hAnsi="黑体" w:eastAsia="黑体"/>
          <w:sz w:val="32"/>
        </w:rPr>
        <w:t>二、机构设置及人员情况</w:t>
      </w:r>
    </w:p>
    <w:p w14:paraId="21261A8E">
      <w:pPr>
        <w:spacing w:line="580" w:lineRule="exact"/>
        <w:ind w:firstLine="640"/>
        <w:jc w:val="both"/>
      </w:pPr>
      <w:r>
        <w:rPr>
          <w:rFonts w:ascii="仿宋_GB2312" w:hAnsi="仿宋_GB2312" w:eastAsia="仿宋_GB2312"/>
          <w:sz w:val="32"/>
        </w:rPr>
        <w:t>伽师县古勒鲁克乡卫生院2024年度，实有人数35人，其中：在职人员29人，增加1人；离休人员0人，增加0人；退休人员6人,减少2人。</w:t>
      </w:r>
    </w:p>
    <w:p w14:paraId="1A3A1409">
      <w:pPr>
        <w:spacing w:line="580" w:lineRule="exact"/>
        <w:ind w:firstLine="640"/>
        <w:jc w:val="both"/>
      </w:pPr>
      <w:r>
        <w:rPr>
          <w:rFonts w:ascii="仿宋_GB2312" w:hAnsi="仿宋_GB2312" w:eastAsia="仿宋_GB2312"/>
          <w:sz w:val="32"/>
        </w:rPr>
        <w:t>伽师县古勒鲁克乡卫生院无下属预算单位，下设7个科室，分别是：财务室、公卫科、预防保健科、中医科、门诊部、住院部、</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14:paraId="6A8EE360">
      <w:r>
        <w:br w:type="page"/>
      </w:r>
    </w:p>
    <w:p w14:paraId="4A5F5B19">
      <w:pPr>
        <w:spacing w:line="240" w:lineRule="auto"/>
        <w:jc w:val="center"/>
        <w:outlineLvl w:val="1"/>
      </w:pPr>
      <w:r>
        <w:rPr>
          <w:rFonts w:ascii="黑体" w:hAnsi="黑体" w:eastAsia="黑体"/>
          <w:sz w:val="32"/>
        </w:rPr>
        <w:t>第二部分 部门决算情况说明</w:t>
      </w:r>
    </w:p>
    <w:p w14:paraId="7FD7DFF3">
      <w:pPr>
        <w:spacing w:line="640" w:lineRule="exact"/>
        <w:ind w:firstLine="640"/>
        <w:jc w:val="both"/>
        <w:outlineLvl w:val="2"/>
      </w:pPr>
      <w:r>
        <w:rPr>
          <w:rFonts w:ascii="黑体" w:hAnsi="黑体" w:eastAsia="黑体"/>
          <w:sz w:val="32"/>
        </w:rPr>
        <w:t>一、收入支出决算总体情况说明</w:t>
      </w:r>
    </w:p>
    <w:p w14:paraId="29F02CE7">
      <w:pPr>
        <w:spacing w:line="580" w:lineRule="exact"/>
        <w:ind w:firstLine="640"/>
        <w:jc w:val="both"/>
      </w:pPr>
      <w:r>
        <w:rPr>
          <w:rFonts w:ascii="仿宋_GB2312" w:hAnsi="仿宋_GB2312" w:eastAsia="仿宋_GB2312"/>
          <w:b/>
          <w:sz w:val="32"/>
        </w:rPr>
        <w:t>2024年度收入总计1,338.77万元，</w:t>
      </w:r>
      <w:r>
        <w:rPr>
          <w:rFonts w:ascii="仿宋_GB2312" w:hAnsi="仿宋_GB2312" w:eastAsia="仿宋_GB2312"/>
          <w:b w:val="0"/>
          <w:sz w:val="32"/>
        </w:rPr>
        <w:t>其中：本年收入合计1,305.38万元，使用非财政拨款结余（含专用结余）33.39万元，年初结转和结余0.00万元。</w:t>
      </w:r>
    </w:p>
    <w:p w14:paraId="0A742746">
      <w:pPr>
        <w:spacing w:line="580" w:lineRule="exact"/>
        <w:ind w:firstLine="640"/>
        <w:jc w:val="both"/>
      </w:pPr>
      <w:r>
        <w:rPr>
          <w:rFonts w:ascii="仿宋_GB2312" w:hAnsi="仿宋_GB2312" w:eastAsia="仿宋_GB2312"/>
          <w:b/>
          <w:sz w:val="32"/>
        </w:rPr>
        <w:t>2024年度支出总计1,338.77万元，</w:t>
      </w:r>
      <w:r>
        <w:rPr>
          <w:rFonts w:ascii="仿宋_GB2312" w:hAnsi="仿宋_GB2312" w:eastAsia="仿宋_GB2312"/>
          <w:b w:val="0"/>
          <w:sz w:val="32"/>
        </w:rPr>
        <w:t>其中：本年支出合计1,338.77万元，结余分配0.00万元，年末结转和结余0.00万元。</w:t>
      </w:r>
    </w:p>
    <w:p w14:paraId="70426900">
      <w:pPr>
        <w:spacing w:line="580" w:lineRule="exact"/>
        <w:ind w:firstLine="640"/>
        <w:jc w:val="both"/>
      </w:pPr>
      <w:r>
        <w:rPr>
          <w:rFonts w:ascii="仿宋_GB2312" w:hAnsi="仿宋_GB2312" w:eastAsia="仿宋_GB2312"/>
          <w:b w:val="0"/>
          <w:sz w:val="32"/>
        </w:rPr>
        <w:t>收入支出总体与上年相比，增加51.31万元，增长3.99%，主要原因是：本年门诊、住院人数增加、村卫生室事业收入增加，导致经费较上年增加。</w:t>
      </w:r>
    </w:p>
    <w:p w14:paraId="774DBF65">
      <w:pPr>
        <w:spacing w:line="640" w:lineRule="exact"/>
        <w:ind w:firstLine="640"/>
        <w:jc w:val="both"/>
        <w:outlineLvl w:val="2"/>
      </w:pPr>
      <w:r>
        <w:rPr>
          <w:rFonts w:ascii="黑体" w:hAnsi="黑体" w:eastAsia="黑体"/>
          <w:sz w:val="32"/>
        </w:rPr>
        <w:t>二、收入决算情况说明</w:t>
      </w:r>
    </w:p>
    <w:p w14:paraId="230D91E9">
      <w:pPr>
        <w:spacing w:line="580" w:lineRule="exact"/>
        <w:ind w:firstLine="640"/>
        <w:jc w:val="both"/>
      </w:pPr>
      <w:r>
        <w:rPr>
          <w:rFonts w:ascii="仿宋_GB2312" w:hAnsi="仿宋_GB2312" w:eastAsia="仿宋_GB2312"/>
          <w:b/>
          <w:sz w:val="32"/>
        </w:rPr>
        <w:t>本年收入1,305.38万元，</w:t>
      </w:r>
      <w:r>
        <w:rPr>
          <w:rFonts w:ascii="仿宋_GB2312" w:hAnsi="仿宋_GB2312" w:eastAsia="仿宋_GB2312"/>
          <w:b w:val="0"/>
          <w:sz w:val="32"/>
        </w:rPr>
        <w:t>其中：财政拨款收入860.26万元，占65.90%；上级补助收入0.00万元，占0.00%；事业收入369.34万元，占28.29%；经营收入0.00万元，占0.00%；附属单位上缴收入0.00万元，占0.00%；其他收入75.78万元，占5.81%。</w:t>
      </w:r>
    </w:p>
    <w:p w14:paraId="4D55A0A6">
      <w:pPr>
        <w:spacing w:line="640" w:lineRule="exact"/>
        <w:ind w:firstLine="640"/>
        <w:jc w:val="both"/>
        <w:outlineLvl w:val="2"/>
      </w:pPr>
      <w:r>
        <w:rPr>
          <w:rFonts w:ascii="黑体" w:hAnsi="黑体" w:eastAsia="黑体"/>
          <w:sz w:val="32"/>
        </w:rPr>
        <w:t>三、支出决算情况说明</w:t>
      </w:r>
    </w:p>
    <w:p w14:paraId="04A349C7">
      <w:pPr>
        <w:spacing w:line="580" w:lineRule="exact"/>
        <w:ind w:firstLine="640"/>
        <w:jc w:val="both"/>
      </w:pPr>
      <w:r>
        <w:rPr>
          <w:rFonts w:ascii="仿宋_GB2312" w:hAnsi="仿宋_GB2312" w:eastAsia="仿宋_GB2312"/>
          <w:b/>
          <w:sz w:val="32"/>
        </w:rPr>
        <w:t>本年支出1,338.77万元，</w:t>
      </w:r>
      <w:r>
        <w:rPr>
          <w:rFonts w:ascii="仿宋_GB2312" w:hAnsi="仿宋_GB2312" w:eastAsia="仿宋_GB2312"/>
          <w:b w:val="0"/>
          <w:sz w:val="32"/>
        </w:rPr>
        <w:t>其中：基本支出941.94万元，占70.36%；项目支出396.83万元，占29.64%；上缴上级支出0.00万元，占0.00%；经营支出0.00万元，占0.00%；对附属单位补助支出0.00万元，占0.00%。</w:t>
      </w:r>
    </w:p>
    <w:p w14:paraId="395EB700">
      <w:pPr>
        <w:spacing w:line="640" w:lineRule="exact"/>
        <w:ind w:firstLine="640"/>
        <w:jc w:val="both"/>
        <w:outlineLvl w:val="2"/>
      </w:pPr>
      <w:r>
        <w:rPr>
          <w:rFonts w:ascii="黑体" w:hAnsi="黑体" w:eastAsia="黑体"/>
          <w:sz w:val="32"/>
        </w:rPr>
        <w:t>四、财政拨款收入支出决算总体情况说明</w:t>
      </w:r>
    </w:p>
    <w:p w14:paraId="0BCBF06A">
      <w:pPr>
        <w:spacing w:line="580" w:lineRule="exact"/>
        <w:ind w:firstLine="640"/>
        <w:jc w:val="both"/>
      </w:pPr>
      <w:r>
        <w:rPr>
          <w:rFonts w:ascii="仿宋_GB2312" w:hAnsi="仿宋_GB2312" w:eastAsia="仿宋_GB2312"/>
          <w:b/>
          <w:sz w:val="32"/>
        </w:rPr>
        <w:t>2024年度财政拨款收入总计860.26万元，</w:t>
      </w:r>
      <w:r>
        <w:rPr>
          <w:rFonts w:ascii="仿宋_GB2312" w:hAnsi="仿宋_GB2312" w:eastAsia="仿宋_GB2312"/>
          <w:b w:val="0"/>
          <w:sz w:val="32"/>
        </w:rPr>
        <w:t>其中：年初财政拨款结转和结余0.00万元，本年财政拨款收入860.26万元。</w:t>
      </w:r>
      <w:r>
        <w:rPr>
          <w:rFonts w:ascii="仿宋_GB2312" w:hAnsi="仿宋_GB2312" w:eastAsia="仿宋_GB2312"/>
          <w:b/>
          <w:sz w:val="32"/>
        </w:rPr>
        <w:t>财政拨款支出总计860.26万元，</w:t>
      </w:r>
      <w:r>
        <w:rPr>
          <w:rFonts w:ascii="仿宋_GB2312" w:hAnsi="仿宋_GB2312" w:eastAsia="仿宋_GB2312"/>
          <w:b w:val="0"/>
          <w:sz w:val="32"/>
        </w:rPr>
        <w:t>其中：年末财政拨款结转和结余0.00万元，本年财政拨款支出860.26万元。</w:t>
      </w:r>
    </w:p>
    <w:p w14:paraId="192B47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减少44.48万元，下降4.92%，主要原因是：本年度伽师县卫健委2024年中央基本药物制度补助项目资金减少。</w:t>
      </w:r>
      <w:r>
        <w:rPr>
          <w:rFonts w:ascii="仿宋_GB2312" w:hAnsi="仿宋_GB2312" w:eastAsia="仿宋_GB2312"/>
          <w:b/>
          <w:sz w:val="32"/>
        </w:rPr>
        <w:t>与年初预算相比，</w:t>
      </w:r>
      <w:r>
        <w:rPr>
          <w:rFonts w:ascii="仿宋_GB2312" w:hAnsi="仿宋_GB2312" w:eastAsia="仿宋_GB2312"/>
          <w:b w:val="0"/>
          <w:sz w:val="32"/>
        </w:rPr>
        <w:t>年初预算数823.26万元，决算数860.26万元，预决算差异率4.49%，主要原因是：年中追加人员工资、社保、公积金基数调增部分资金，年中追加伽师县卫健委2024年基本药物补助项目资金，导致预决算存在差异。</w:t>
      </w:r>
    </w:p>
    <w:p w14:paraId="60A9D2B6">
      <w:pPr>
        <w:spacing w:line="640" w:lineRule="exact"/>
        <w:ind w:firstLine="640"/>
        <w:jc w:val="both"/>
        <w:outlineLvl w:val="2"/>
      </w:pPr>
      <w:r>
        <w:rPr>
          <w:rFonts w:ascii="黑体" w:hAnsi="黑体" w:eastAsia="黑体"/>
          <w:sz w:val="32"/>
        </w:rPr>
        <w:t>五、一般公共预算财政拨款支出决算情况说明</w:t>
      </w:r>
    </w:p>
    <w:p w14:paraId="296034A7">
      <w:pPr>
        <w:spacing w:line="640" w:lineRule="exact"/>
        <w:ind w:firstLine="640"/>
        <w:jc w:val="both"/>
        <w:outlineLvl w:val="3"/>
      </w:pPr>
      <w:r>
        <w:rPr>
          <w:rFonts w:ascii="楷体_GB2312" w:hAnsi="楷体_GB2312" w:eastAsia="楷体_GB2312"/>
          <w:b/>
          <w:sz w:val="32"/>
        </w:rPr>
        <w:t>（一）一般公共预算财政拨款支出决算总体情况</w:t>
      </w:r>
    </w:p>
    <w:p w14:paraId="608BB71C">
      <w:pPr>
        <w:spacing w:line="580" w:lineRule="exact"/>
        <w:ind w:firstLine="640"/>
        <w:jc w:val="both"/>
      </w:pPr>
      <w:r>
        <w:rPr>
          <w:rFonts w:ascii="仿宋_GB2312" w:hAnsi="仿宋_GB2312" w:eastAsia="仿宋_GB2312"/>
          <w:b/>
          <w:sz w:val="32"/>
        </w:rPr>
        <w:t>2024年度一般公共预算财政拨款支出860.12万元，</w:t>
      </w:r>
      <w:r>
        <w:rPr>
          <w:rFonts w:ascii="仿宋_GB2312" w:hAnsi="仿宋_GB2312" w:eastAsia="仿宋_GB2312"/>
          <w:b w:val="0"/>
          <w:sz w:val="32"/>
        </w:rPr>
        <w:t>占本年支出合计的64.25%。</w:t>
      </w:r>
      <w:r>
        <w:rPr>
          <w:rFonts w:ascii="仿宋_GB2312" w:hAnsi="仿宋_GB2312" w:eastAsia="仿宋_GB2312"/>
          <w:b/>
          <w:sz w:val="32"/>
        </w:rPr>
        <w:t>与上年相比，</w:t>
      </w:r>
      <w:r>
        <w:rPr>
          <w:rFonts w:ascii="仿宋_GB2312" w:hAnsi="仿宋_GB2312" w:eastAsia="仿宋_GB2312"/>
          <w:b w:val="0"/>
          <w:sz w:val="32"/>
        </w:rPr>
        <w:t>减少44.62万元，下降4.93%，主要原因是：本年度伽师县卫健委2024年中央基本药物制度补助项目资金减少。</w:t>
      </w:r>
      <w:r>
        <w:rPr>
          <w:rFonts w:ascii="仿宋_GB2312" w:hAnsi="仿宋_GB2312" w:eastAsia="仿宋_GB2312"/>
          <w:b/>
          <w:sz w:val="32"/>
        </w:rPr>
        <w:t>与年初预算相比,</w:t>
      </w:r>
      <w:r>
        <w:rPr>
          <w:rFonts w:ascii="仿宋_GB2312" w:hAnsi="仿宋_GB2312" w:eastAsia="仿宋_GB2312"/>
          <w:b w:val="0"/>
          <w:sz w:val="32"/>
        </w:rPr>
        <w:t>年初预算数823.12万元，决算数860.12万元，预决算差异率4.50%，主要原因是：年中追加人员工资、社保、公积金基数调增部分资金，年中追加伽师县卫健委2024年基本药物补助项目资金，导致预决算存在差异。</w:t>
      </w:r>
    </w:p>
    <w:p w14:paraId="19AF2F51">
      <w:pPr>
        <w:spacing w:line="640" w:lineRule="exact"/>
        <w:ind w:firstLine="640"/>
        <w:jc w:val="both"/>
        <w:outlineLvl w:val="3"/>
      </w:pPr>
      <w:r>
        <w:rPr>
          <w:rFonts w:ascii="楷体_GB2312" w:hAnsi="楷体_GB2312" w:eastAsia="楷体_GB2312"/>
          <w:b/>
          <w:sz w:val="32"/>
        </w:rPr>
        <w:t>（二）一般公共预算财政拨款支出决算结构情况</w:t>
      </w:r>
    </w:p>
    <w:p w14:paraId="11BD5DB7">
      <w:pPr>
        <w:spacing w:line="580" w:lineRule="exact"/>
        <w:ind w:firstLine="640"/>
        <w:jc w:val="both"/>
      </w:pPr>
      <w:r>
        <w:rPr>
          <w:rFonts w:ascii="仿宋_GB2312" w:hAnsi="仿宋_GB2312" w:eastAsia="仿宋_GB2312"/>
          <w:b w:val="0"/>
          <w:sz w:val="32"/>
        </w:rPr>
        <w:t>1.社会保障和就业支出(类)64.39万元,占7.49%。</w:t>
      </w:r>
    </w:p>
    <w:p w14:paraId="3BF0B6D3">
      <w:pPr>
        <w:spacing w:line="580" w:lineRule="exact"/>
        <w:ind w:firstLine="640"/>
        <w:jc w:val="both"/>
      </w:pPr>
      <w:r>
        <w:rPr>
          <w:rFonts w:ascii="仿宋_GB2312" w:hAnsi="仿宋_GB2312" w:eastAsia="仿宋_GB2312"/>
          <w:b w:val="0"/>
          <w:sz w:val="32"/>
        </w:rPr>
        <w:t>2.卫生健康支出(类)758.56万元,占88.19%。</w:t>
      </w:r>
    </w:p>
    <w:p w14:paraId="37F4A29A">
      <w:pPr>
        <w:spacing w:line="580" w:lineRule="exact"/>
        <w:ind w:firstLine="640"/>
        <w:jc w:val="both"/>
      </w:pPr>
      <w:r>
        <w:rPr>
          <w:rFonts w:ascii="仿宋_GB2312" w:hAnsi="仿宋_GB2312" w:eastAsia="仿宋_GB2312"/>
          <w:b w:val="0"/>
          <w:sz w:val="32"/>
        </w:rPr>
        <w:t>3.住房保障支出(类)37.17万元,占4.32%。</w:t>
      </w:r>
    </w:p>
    <w:p w14:paraId="6B45743D">
      <w:pPr>
        <w:spacing w:line="640" w:lineRule="exact"/>
        <w:ind w:firstLine="640"/>
        <w:jc w:val="both"/>
        <w:outlineLvl w:val="3"/>
      </w:pPr>
      <w:r>
        <w:rPr>
          <w:rFonts w:ascii="楷体_GB2312" w:hAnsi="楷体_GB2312" w:eastAsia="楷体_GB2312"/>
          <w:b/>
          <w:sz w:val="32"/>
        </w:rPr>
        <w:t>（三）一般公共预算财政拨款支出决算具体情况</w:t>
      </w:r>
    </w:p>
    <w:p w14:paraId="6F2D273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1.社会保障和就业支出(类)行政事业单位养老支出(款)事业单位离退休(项):支出决算数为8.90万元，比上年决算增加1.72万元，增长23.96%,主要原因是：本年增加退休人员基础绩效奖，退休费支出增加。</w:t>
      </w:r>
    </w:p>
    <w:p w14:paraId="74A2C42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43.72万元，比上年决算减少1.97万元，下降4.31%,主要原因是：本年在职人员变动，年初人员减少，年末人员增加，导致养老保险缴费较上年减少。</w:t>
      </w:r>
    </w:p>
    <w:p w14:paraId="37C5941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11.77万元，比上年决算增加11.77万元，增长100.00%,主要原因是：本年新增退休人员，退休人员去世，职业年金缴费支出增加。</w:t>
      </w:r>
    </w:p>
    <w:p w14:paraId="5330FF68">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34.13万元，比上年决算增加34.13万元，增长100.00%,主要原因是：本年功能科目调整，伽师县卫健委2024年村医补助项目支出上年度在其他公共卫生支出科目列支，本年单独列支，导致经费较上年增加。</w:t>
      </w:r>
    </w:p>
    <w:p w14:paraId="2DD919B9">
      <w:pPr>
        <w:spacing w:line="580" w:lineRule="exact"/>
        <w:ind w:firstLine="640"/>
        <w:jc w:val="both"/>
      </w:pPr>
      <w:r>
        <w:rPr>
          <w:rFonts w:ascii="仿宋_GB2312" w:hAnsi="仿宋_GB2312" w:eastAsia="仿宋_GB2312"/>
          <w:b w:val="0"/>
          <w:sz w:val="32"/>
        </w:rPr>
        <w:t>5.卫生健康支出(类)基层医疗卫生机构(款)乡镇卫生院(项):支出决算数为347.74万元，比上年决算减少49.97万元，下降12.56%,主要原因是：本年在职人员变动，年初人员减少，年末人员增加，相应人员经费减少。</w:t>
      </w:r>
    </w:p>
    <w:p w14:paraId="10447482">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6.卫生健康支出(类)基层医疗卫生机构(款)其他基层医疗卫生机构支出(项):支出决算数为26.50万元，比上年决算减少2.52万元，下降8.68%,主要原因是：本年伽师县卫健委2024年中央基本药物制度补助</w:t>
      </w:r>
      <w:r>
        <w:rPr>
          <w:rFonts w:hint="eastAsia" w:ascii="仿宋_GB2312" w:hAnsi="仿宋_GB2312" w:eastAsia="仿宋_GB2312"/>
          <w:b w:val="0"/>
          <w:sz w:val="32"/>
          <w:lang w:eastAsia="zh-CN"/>
        </w:rPr>
        <w:t>项目</w:t>
      </w:r>
      <w:r>
        <w:rPr>
          <w:rFonts w:ascii="仿宋_GB2312" w:hAnsi="仿宋_GB2312" w:eastAsia="仿宋_GB2312"/>
          <w:b w:val="0"/>
          <w:sz w:val="32"/>
        </w:rPr>
        <w:t>等项目资金较上年减少。</w:t>
      </w:r>
    </w:p>
    <w:p w14:paraId="5BC7F2B2">
      <w:pPr>
        <w:spacing w:line="580" w:lineRule="exact"/>
        <w:ind w:firstLine="640"/>
        <w:jc w:val="both"/>
      </w:pPr>
      <w:r>
        <w:rPr>
          <w:rFonts w:ascii="仿宋_GB2312" w:hAnsi="仿宋_GB2312" w:eastAsia="仿宋_GB2312"/>
          <w:b w:val="0"/>
          <w:sz w:val="32"/>
        </w:rPr>
        <w:t>7.卫生健康支出(类)公共卫生(款)基本公共卫生服务(项):支出决算数为208.96万元，比上年决算增加7.53万元，增长3.74%,主要原因是：伽师县卫健委2024年基本公共卫生服务补助项目较上年增加。</w:t>
      </w:r>
    </w:p>
    <w:p w14:paraId="0EF170AB">
      <w:pPr>
        <w:spacing w:line="580" w:lineRule="exact"/>
        <w:ind w:firstLine="640"/>
        <w:jc w:val="both"/>
      </w:pPr>
      <w:r>
        <w:rPr>
          <w:rFonts w:ascii="仿宋_GB2312" w:hAnsi="仿宋_GB2312" w:eastAsia="仿宋_GB2312"/>
          <w:b w:val="0"/>
          <w:sz w:val="32"/>
        </w:rPr>
        <w:t>8.卫生健康支出(类)公共卫生(款)其他公共卫生支出(项):支出决算数为122.66万元，比上年决算减少44.67万元，下降26.70%,主要原因是：本年功能科目调整，伽师县卫健委2024年村医补助项目支出上年度在本科目列支，本年调整至其他卫生健康管理事务支出科目列支，导致经费较上年减少。</w:t>
      </w:r>
    </w:p>
    <w:p w14:paraId="487E0A1C">
      <w:pPr>
        <w:spacing w:line="580" w:lineRule="exact"/>
        <w:ind w:firstLine="640"/>
        <w:jc w:val="both"/>
      </w:pPr>
      <w:r>
        <w:rPr>
          <w:rFonts w:ascii="仿宋_GB2312" w:hAnsi="仿宋_GB2312" w:eastAsia="仿宋_GB2312"/>
          <w:b w:val="0"/>
          <w:sz w:val="32"/>
        </w:rPr>
        <w:t>9.卫生健康支出(类)行政事业单位医疗(款)事业单位医疗(项):支出决算数为18.58万元，比上年决算减少0.72万元，下降3.73%,主要原因是：本年在职人员变动，年初人员减少，年末人员增加，导致事业单位医疗较上年减少。</w:t>
      </w:r>
    </w:p>
    <w:p w14:paraId="648F9E4D">
      <w:pPr>
        <w:spacing w:line="580" w:lineRule="exact"/>
        <w:ind w:firstLine="640"/>
        <w:jc w:val="both"/>
      </w:pPr>
      <w:r>
        <w:rPr>
          <w:rFonts w:ascii="仿宋_GB2312" w:hAnsi="仿宋_GB2312" w:eastAsia="仿宋_GB2312"/>
          <w:b w:val="0"/>
          <w:sz w:val="32"/>
        </w:rPr>
        <w:t>10.住房保障支出(类)住房改革支出(款)住房公积金(项):支出决算数为37.17万元，比上年决算增加0.09万元，增长0.24%,主要原因是：本年在职人员工资基数调增，公积金缴费基数上涨，相应支出增加。</w:t>
      </w:r>
    </w:p>
    <w:p w14:paraId="23C0864C">
      <w:pPr>
        <w:spacing w:line="640" w:lineRule="exact"/>
        <w:ind w:firstLine="640"/>
        <w:jc w:val="both"/>
        <w:outlineLvl w:val="2"/>
      </w:pPr>
      <w:r>
        <w:rPr>
          <w:rFonts w:ascii="黑体" w:hAnsi="黑体" w:eastAsia="黑体"/>
          <w:sz w:val="32"/>
        </w:rPr>
        <w:t>六、一般公共预算财政拨款基本支出决算情况说明</w:t>
      </w:r>
    </w:p>
    <w:p w14:paraId="60096D36">
      <w:pPr>
        <w:spacing w:line="580" w:lineRule="exact"/>
        <w:ind w:firstLine="640"/>
        <w:jc w:val="both"/>
      </w:pPr>
      <w:r>
        <w:rPr>
          <w:rFonts w:ascii="仿宋_GB2312" w:hAnsi="仿宋_GB2312" w:eastAsia="仿宋_GB2312"/>
          <w:b w:val="0"/>
          <w:sz w:val="32"/>
        </w:rPr>
        <w:t>2024年度一般公共预算财政拨款基本支出467.88万元，其中：</w:t>
      </w:r>
      <w:r>
        <w:rPr>
          <w:rFonts w:ascii="仿宋_GB2312" w:hAnsi="仿宋_GB2312" w:eastAsia="仿宋_GB2312"/>
          <w:b/>
          <w:sz w:val="32"/>
        </w:rPr>
        <w:t>人员经费467.88万元，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w:t>
      </w:r>
    </w:p>
    <w:p w14:paraId="51F8B02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E6FB587">
      <w:pPr>
        <w:spacing w:line="640" w:lineRule="exact"/>
        <w:ind w:firstLine="640"/>
        <w:jc w:val="both"/>
        <w:outlineLvl w:val="2"/>
      </w:pPr>
      <w:r>
        <w:rPr>
          <w:rFonts w:ascii="黑体" w:hAnsi="黑体" w:eastAsia="黑体"/>
          <w:sz w:val="32"/>
        </w:rPr>
        <w:t>七、政府性基金预算财政拨款收入支出决算情况说明</w:t>
      </w:r>
    </w:p>
    <w:p w14:paraId="3B3DB393">
      <w:pPr>
        <w:spacing w:line="580" w:lineRule="exact"/>
        <w:ind w:firstLine="640"/>
        <w:jc w:val="both"/>
      </w:pPr>
      <w:r>
        <w:rPr>
          <w:rFonts w:ascii="仿宋_GB2312" w:hAnsi="仿宋_GB2312" w:eastAsia="仿宋_GB2312"/>
          <w:b/>
          <w:sz w:val="32"/>
        </w:rPr>
        <w:t>2024年度政府性基金预算财政拨款收入总计0.14万元，</w:t>
      </w:r>
      <w:r>
        <w:rPr>
          <w:rFonts w:ascii="仿宋_GB2312" w:hAnsi="仿宋_GB2312" w:eastAsia="仿宋_GB2312"/>
          <w:b w:val="0"/>
          <w:sz w:val="32"/>
        </w:rPr>
        <w:t>其中：年初结转和结余0.00万元，本年收入0.14万元。</w:t>
      </w:r>
      <w:r>
        <w:rPr>
          <w:rFonts w:ascii="仿宋_GB2312" w:hAnsi="仿宋_GB2312" w:eastAsia="仿宋_GB2312"/>
          <w:b/>
          <w:sz w:val="32"/>
        </w:rPr>
        <w:t>政府性基金预算财政拨款支出总计0.14万元，</w:t>
      </w:r>
      <w:r>
        <w:rPr>
          <w:rFonts w:ascii="仿宋_GB2312" w:hAnsi="仿宋_GB2312" w:eastAsia="仿宋_GB2312"/>
          <w:b w:val="0"/>
          <w:sz w:val="32"/>
        </w:rPr>
        <w:t>其中：年末结转和结余0.00万元，本年支出0.14万元。</w:t>
      </w:r>
    </w:p>
    <w:p w14:paraId="47E32F8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增加0.14万元，增长100.00%，主要原因是：本年增加2024年中央专项彩票公益金（喀什地区老年健康与医养结合服务项目资金）。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年初预算数0.14万元，决算数0.14万元，预决算差异率0.00%，主要原因是：严格按照预算执行，预决算无差异。</w:t>
      </w:r>
    </w:p>
    <w:p w14:paraId="06ECE471">
      <w:pPr>
        <w:spacing w:line="580" w:lineRule="exact"/>
        <w:ind w:firstLine="640"/>
        <w:jc w:val="both"/>
      </w:pPr>
      <w:r>
        <w:rPr>
          <w:rFonts w:ascii="仿宋_GB2312" w:hAnsi="仿宋_GB2312" w:eastAsia="仿宋_GB2312"/>
          <w:b w:val="0"/>
          <w:sz w:val="32"/>
        </w:rPr>
        <w:t>政府性基金预算财政拨款支出0.14万元。</w:t>
      </w:r>
    </w:p>
    <w:p w14:paraId="50DEA698">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0.14万元，比上年决算增加0.14万元，增长100.00%,主要原因是：本年增加2024年中央专项彩票公益金（喀什地区老年健康与医养结合服务项目资金）。</w:t>
      </w:r>
    </w:p>
    <w:p w14:paraId="61EB2365">
      <w:pPr>
        <w:spacing w:line="640" w:lineRule="exact"/>
        <w:ind w:firstLine="640"/>
        <w:jc w:val="both"/>
        <w:outlineLvl w:val="2"/>
      </w:pPr>
      <w:r>
        <w:rPr>
          <w:rFonts w:ascii="黑体" w:hAnsi="黑体" w:eastAsia="黑体"/>
          <w:sz w:val="32"/>
        </w:rPr>
        <w:t>八、国有资本经营预算财政拨款收入支出决算情况说明</w:t>
      </w:r>
    </w:p>
    <w:p w14:paraId="49D40EB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62C60F">
      <w:pPr>
        <w:spacing w:line="640" w:lineRule="exact"/>
        <w:ind w:firstLine="640"/>
        <w:jc w:val="both"/>
        <w:outlineLvl w:val="2"/>
      </w:pPr>
      <w:r>
        <w:rPr>
          <w:rFonts w:ascii="黑体" w:hAnsi="黑体" w:eastAsia="黑体"/>
          <w:sz w:val="32"/>
        </w:rPr>
        <w:t>九、财政拨款“三公”经费支出决算情况说明</w:t>
      </w:r>
    </w:p>
    <w:p w14:paraId="4B6C2B8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B147696">
      <w:pPr>
        <w:spacing w:line="580" w:lineRule="exact"/>
        <w:ind w:firstLine="640"/>
        <w:jc w:val="both"/>
      </w:pPr>
      <w:r>
        <w:rPr>
          <w:rFonts w:ascii="仿宋_GB2312" w:hAnsi="仿宋_GB2312" w:eastAsia="仿宋_GB2312"/>
          <w:b/>
          <w:sz w:val="32"/>
        </w:rPr>
        <w:t>具体情况如下：</w:t>
      </w:r>
    </w:p>
    <w:p w14:paraId="01A88FD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B092E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本单位救护车，预算未安排公务用车运行维护费。</w:t>
      </w:r>
    </w:p>
    <w:p w14:paraId="1F269D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BD78D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BE6D5E4">
      <w:pPr>
        <w:spacing w:line="640" w:lineRule="exact"/>
        <w:ind w:firstLine="640"/>
        <w:jc w:val="both"/>
        <w:outlineLvl w:val="2"/>
      </w:pPr>
      <w:r>
        <w:rPr>
          <w:rFonts w:ascii="黑体" w:hAnsi="黑体" w:eastAsia="黑体"/>
          <w:sz w:val="32"/>
        </w:rPr>
        <w:t>十、其他重要事项的情况说明</w:t>
      </w:r>
    </w:p>
    <w:p w14:paraId="0604BAEF">
      <w:pPr>
        <w:spacing w:line="640" w:lineRule="exact"/>
        <w:ind w:firstLine="640"/>
        <w:jc w:val="both"/>
        <w:outlineLvl w:val="3"/>
      </w:pPr>
      <w:r>
        <w:rPr>
          <w:rFonts w:ascii="楷体_GB2312" w:hAnsi="楷体_GB2312" w:eastAsia="楷体_GB2312"/>
          <w:b/>
          <w:sz w:val="32"/>
        </w:rPr>
        <w:t>（一）机关运行经费及公用经费支出情况</w:t>
      </w:r>
    </w:p>
    <w:p w14:paraId="25F581A4">
      <w:pPr>
        <w:spacing w:line="580" w:lineRule="exact"/>
        <w:ind w:firstLine="640"/>
        <w:jc w:val="both"/>
      </w:pPr>
      <w:r>
        <w:rPr>
          <w:rFonts w:ascii="仿宋_GB2312" w:hAnsi="仿宋_GB2312" w:eastAsia="仿宋_GB2312"/>
          <w:b w:val="0"/>
          <w:sz w:val="32"/>
        </w:rPr>
        <w:t>2024年度伽师县古勒鲁克乡卫生院（事业单位）公用经费支出0.00万元，比上年增加0.00万元，增长0.00%，主要原因是：2023年与2024年均未安排公用经费支出。</w:t>
      </w:r>
    </w:p>
    <w:p w14:paraId="442A4201">
      <w:pPr>
        <w:spacing w:line="640" w:lineRule="exact"/>
        <w:ind w:firstLine="640"/>
        <w:jc w:val="both"/>
        <w:outlineLvl w:val="3"/>
      </w:pPr>
      <w:r>
        <w:rPr>
          <w:rFonts w:ascii="楷体_GB2312" w:hAnsi="楷体_GB2312" w:eastAsia="楷体_GB2312"/>
          <w:b/>
          <w:sz w:val="32"/>
        </w:rPr>
        <w:t>（二）政府采购情况</w:t>
      </w:r>
    </w:p>
    <w:p w14:paraId="696384A5">
      <w:pPr>
        <w:spacing w:line="580" w:lineRule="exact"/>
        <w:ind w:firstLine="640"/>
        <w:jc w:val="both"/>
      </w:pPr>
      <w:r>
        <w:rPr>
          <w:rFonts w:ascii="仿宋_GB2312" w:hAnsi="仿宋_GB2312" w:eastAsia="仿宋_GB2312"/>
          <w:b w:val="0"/>
          <w:sz w:val="32"/>
        </w:rPr>
        <w:t>2024年度政府采购支出总额3.59万元，其中：政府采购货物支出1.22万元、政府采购工程支出0.10万元、政府采购服务支出2.28万元。</w:t>
      </w:r>
    </w:p>
    <w:p w14:paraId="204320B0">
      <w:pPr>
        <w:spacing w:line="580" w:lineRule="exact"/>
        <w:ind w:firstLine="640"/>
        <w:jc w:val="both"/>
      </w:pPr>
      <w:r>
        <w:rPr>
          <w:rFonts w:ascii="仿宋_GB2312" w:hAnsi="仿宋_GB2312" w:eastAsia="仿宋_GB2312"/>
          <w:b w:val="0"/>
          <w:sz w:val="32"/>
        </w:rPr>
        <w:t>授予中小企业合同金额2.46万元，占政府采购支出总额的68.52%，其中：授予小微企业合同金额2.46万元，占政府采购支出总额的68.52%。</w:t>
      </w:r>
    </w:p>
    <w:p w14:paraId="1BC0D41C">
      <w:pPr>
        <w:spacing w:line="640" w:lineRule="exact"/>
        <w:ind w:firstLine="640"/>
        <w:jc w:val="both"/>
        <w:outlineLvl w:val="3"/>
      </w:pPr>
      <w:r>
        <w:rPr>
          <w:rFonts w:ascii="楷体_GB2312" w:hAnsi="楷体_GB2312" w:eastAsia="楷体_GB2312"/>
          <w:b/>
          <w:sz w:val="32"/>
        </w:rPr>
        <w:t>（三）国有资产占用情况说明</w:t>
      </w:r>
    </w:p>
    <w:p w14:paraId="4C06114C">
      <w:pPr>
        <w:spacing w:line="580" w:lineRule="exact"/>
        <w:ind w:firstLine="640"/>
        <w:jc w:val="both"/>
      </w:pPr>
      <w:r>
        <w:rPr>
          <w:rFonts w:ascii="仿宋_GB2312" w:hAnsi="仿宋_GB2312" w:eastAsia="仿宋_GB2312"/>
          <w:b w:val="0"/>
          <w:sz w:val="32"/>
        </w:rPr>
        <w:t>截至2024年12月31日，房屋4,837.30平方米，价值852.07万元。车辆2辆，价值48.58万元，其中：副部（省）级及以上领导用车0辆、主要负责人用车0辆、机要通信用车0辆、应急保障用车0辆、执法执勤用车0辆、特种专业技术用车0辆、离退休干部服务用车0辆、其他用车2辆，其他用车主要是：单位救护车，用于开展医疗卫生的业务用车。单价100万元（含）以上设备（不含车辆）0台（套）。</w:t>
      </w:r>
    </w:p>
    <w:p w14:paraId="43A85C2F">
      <w:pPr>
        <w:spacing w:line="640" w:lineRule="exact"/>
        <w:ind w:firstLine="640"/>
        <w:jc w:val="both"/>
        <w:outlineLvl w:val="2"/>
      </w:pPr>
      <w:r>
        <w:rPr>
          <w:rFonts w:ascii="黑体" w:hAnsi="黑体" w:eastAsia="黑体"/>
          <w:sz w:val="32"/>
        </w:rPr>
        <w:t>十一、预算绩效的情况说明</w:t>
      </w:r>
    </w:p>
    <w:p w14:paraId="13626EF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B46499F">
      <w:r>
        <w:br w:type="page"/>
      </w:r>
    </w:p>
    <w:p w14:paraId="106267AF">
      <w:pPr>
        <w:spacing w:line="640" w:lineRule="exact"/>
        <w:ind w:firstLine="640"/>
        <w:jc w:val="both"/>
        <w:outlineLvl w:val="2"/>
      </w:pPr>
      <w:r>
        <w:rPr>
          <w:rFonts w:ascii="黑体" w:hAnsi="黑体" w:eastAsia="黑体"/>
          <w:sz w:val="32"/>
        </w:rPr>
        <w:t>十二、其他需说明的事项</w:t>
      </w:r>
    </w:p>
    <w:p w14:paraId="5A43BEAD">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3CD5D3CB">
      <w:r>
        <w:br w:type="page"/>
      </w:r>
    </w:p>
    <w:p w14:paraId="7E7770BB">
      <w:pPr>
        <w:spacing w:line="240" w:lineRule="auto"/>
        <w:jc w:val="center"/>
        <w:outlineLvl w:val="1"/>
      </w:pPr>
      <w:r>
        <w:rPr>
          <w:rFonts w:ascii="黑体" w:hAnsi="黑体" w:eastAsia="黑体"/>
          <w:sz w:val="32"/>
        </w:rPr>
        <w:t>第三部分 专业名词解释</w:t>
      </w:r>
    </w:p>
    <w:p w14:paraId="3D2B4AE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95C62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B3B5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32D90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EE29F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362E0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2244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288F95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8A7FD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8A51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B1F14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35517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F6EA1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7DEF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1CA689">
      <w:r>
        <w:br w:type="page"/>
      </w:r>
    </w:p>
    <w:p w14:paraId="309B5134">
      <w:pPr>
        <w:spacing w:line="240" w:lineRule="auto"/>
        <w:jc w:val="center"/>
        <w:outlineLvl w:val="1"/>
      </w:pPr>
      <w:r>
        <w:rPr>
          <w:rFonts w:ascii="黑体" w:hAnsi="黑体" w:eastAsia="黑体"/>
          <w:sz w:val="32"/>
        </w:rPr>
        <w:t>第四部分 部门决算报表（见附表）</w:t>
      </w:r>
    </w:p>
    <w:p w14:paraId="0EBE7E99">
      <w:pPr>
        <w:spacing w:line="240" w:lineRule="auto"/>
        <w:ind w:firstLine="640"/>
        <w:jc w:val="both"/>
      </w:pPr>
      <w:r>
        <w:rPr>
          <w:rFonts w:ascii="仿宋_GB2312" w:hAnsi="仿宋_GB2312" w:eastAsia="仿宋_GB2312"/>
          <w:b w:val="0"/>
          <w:sz w:val="32"/>
        </w:rPr>
        <w:t>一、《收入支出决算总表》</w:t>
      </w:r>
    </w:p>
    <w:p w14:paraId="18B7A392">
      <w:pPr>
        <w:spacing w:line="240" w:lineRule="auto"/>
        <w:ind w:firstLine="640"/>
        <w:jc w:val="both"/>
      </w:pPr>
      <w:r>
        <w:rPr>
          <w:rFonts w:ascii="仿宋_GB2312" w:hAnsi="仿宋_GB2312" w:eastAsia="仿宋_GB2312"/>
          <w:b w:val="0"/>
          <w:sz w:val="32"/>
        </w:rPr>
        <w:t>二、《收入决算表》</w:t>
      </w:r>
    </w:p>
    <w:p w14:paraId="1F36AFA3">
      <w:pPr>
        <w:spacing w:line="240" w:lineRule="auto"/>
        <w:ind w:firstLine="640"/>
        <w:jc w:val="both"/>
      </w:pPr>
      <w:r>
        <w:rPr>
          <w:rFonts w:ascii="仿宋_GB2312" w:hAnsi="仿宋_GB2312" w:eastAsia="仿宋_GB2312"/>
          <w:b w:val="0"/>
          <w:sz w:val="32"/>
        </w:rPr>
        <w:t>三、《支出决算表》</w:t>
      </w:r>
    </w:p>
    <w:p w14:paraId="7F5A9A11">
      <w:pPr>
        <w:spacing w:line="240" w:lineRule="auto"/>
        <w:ind w:firstLine="640"/>
        <w:jc w:val="both"/>
      </w:pPr>
      <w:r>
        <w:rPr>
          <w:rFonts w:ascii="仿宋_GB2312" w:hAnsi="仿宋_GB2312" w:eastAsia="仿宋_GB2312"/>
          <w:b w:val="0"/>
          <w:sz w:val="32"/>
        </w:rPr>
        <w:t>四、《财政拨款收入支出决算总表》</w:t>
      </w:r>
    </w:p>
    <w:p w14:paraId="0650BB61">
      <w:pPr>
        <w:spacing w:line="240" w:lineRule="auto"/>
        <w:ind w:firstLine="640"/>
        <w:jc w:val="both"/>
      </w:pPr>
      <w:r>
        <w:rPr>
          <w:rFonts w:ascii="仿宋_GB2312" w:hAnsi="仿宋_GB2312" w:eastAsia="仿宋_GB2312"/>
          <w:b w:val="0"/>
          <w:sz w:val="32"/>
        </w:rPr>
        <w:t>五、《一般公共预算财政拨款支出决算表》</w:t>
      </w:r>
    </w:p>
    <w:p w14:paraId="6D74C411">
      <w:pPr>
        <w:spacing w:line="240" w:lineRule="auto"/>
        <w:ind w:firstLine="640"/>
        <w:jc w:val="both"/>
      </w:pPr>
      <w:r>
        <w:rPr>
          <w:rFonts w:ascii="仿宋_GB2312" w:hAnsi="仿宋_GB2312" w:eastAsia="仿宋_GB2312"/>
          <w:b w:val="0"/>
          <w:sz w:val="32"/>
        </w:rPr>
        <w:t>六、《一般公共预算财政拨款基本支出决算表》</w:t>
      </w:r>
    </w:p>
    <w:p w14:paraId="7D80A1B4">
      <w:pPr>
        <w:spacing w:line="240" w:lineRule="auto"/>
        <w:ind w:firstLine="640"/>
        <w:jc w:val="both"/>
      </w:pPr>
      <w:r>
        <w:rPr>
          <w:rFonts w:ascii="仿宋_GB2312" w:hAnsi="仿宋_GB2312" w:eastAsia="仿宋_GB2312"/>
          <w:b w:val="0"/>
          <w:sz w:val="32"/>
        </w:rPr>
        <w:t>七、《政府性基金预算财政拨款收入支出决算表》</w:t>
      </w:r>
    </w:p>
    <w:p w14:paraId="03A242DE">
      <w:pPr>
        <w:spacing w:line="240" w:lineRule="auto"/>
        <w:ind w:firstLine="640"/>
        <w:jc w:val="both"/>
      </w:pPr>
      <w:r>
        <w:rPr>
          <w:rFonts w:ascii="仿宋_GB2312" w:hAnsi="仿宋_GB2312" w:eastAsia="仿宋_GB2312"/>
          <w:b w:val="0"/>
          <w:sz w:val="32"/>
        </w:rPr>
        <w:t>八、《国有资本经营预算财政拨款收入支出决算表》</w:t>
      </w:r>
    </w:p>
    <w:p w14:paraId="5793373D">
      <w:pPr>
        <w:spacing w:line="240" w:lineRule="auto"/>
        <w:ind w:firstLine="640"/>
        <w:jc w:val="both"/>
      </w:pPr>
      <w:r>
        <w:rPr>
          <w:rFonts w:ascii="仿宋_GB2312" w:hAnsi="仿宋_GB2312" w:eastAsia="仿宋_GB2312"/>
          <w:b w:val="0"/>
          <w:sz w:val="32"/>
        </w:rPr>
        <w:t>九、《财政拨款“三公”经费支出决算表》</w:t>
      </w:r>
    </w:p>
    <w:p w14:paraId="69C6753C">
      <w:pPr>
        <w:spacing w:line="240" w:lineRule="auto"/>
        <w:ind w:firstLine="640"/>
        <w:jc w:val="both"/>
      </w:pPr>
    </w:p>
    <w:p w14:paraId="616958D0">
      <w:pPr>
        <w:spacing w:line="240" w:lineRule="auto"/>
        <w:ind w:firstLine="640"/>
        <w:jc w:val="both"/>
      </w:pPr>
    </w:p>
    <w:p w14:paraId="65626FF1">
      <w:pPr>
        <w:spacing w:line="240" w:lineRule="auto"/>
        <w:ind w:firstLine="640"/>
        <w:jc w:val="both"/>
      </w:pPr>
    </w:p>
    <w:p w14:paraId="6E1A5627">
      <w:pPr>
        <w:spacing w:line="240" w:lineRule="auto"/>
        <w:ind w:firstLine="640"/>
        <w:jc w:val="both"/>
      </w:pPr>
    </w:p>
    <w:p w14:paraId="3E1CF6A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A5662F"/>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A10A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5828</Words>
  <Characters>6597</Characters>
  <Lines>0</Lines>
  <Paragraphs>0</Paragraphs>
  <TotalTime>7</TotalTime>
  <ScaleCrop>false</ScaleCrop>
  <LinksUpToDate>false</LinksUpToDate>
  <CharactersWithSpaces>6607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2025-09-17T11:41:43Z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