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伽师县江巴孜乡卫生院2024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6EA8539">
      <w:r>
        <w:br w:type="page"/>
      </w:r>
    </w:p>
    <w:p w14:paraId="7FA80170">
      <w:pPr>
        <w:spacing w:line="640" w:lineRule="exact"/>
        <w:jc w:val="center"/>
        <w:outlineLvl w:val="1"/>
      </w:pPr>
      <w:r>
        <w:rPr>
          <w:rFonts w:ascii="黑体" w:hAnsi="黑体" w:eastAsia="黑体"/>
          <w:sz w:val="32"/>
        </w:rPr>
        <w:t>第一部分 单位概况</w:t>
      </w:r>
    </w:p>
    <w:p w14:paraId="76E910B0">
      <w:pPr>
        <w:spacing w:line="640" w:lineRule="exact"/>
        <w:ind w:firstLine="640"/>
        <w:jc w:val="both"/>
        <w:outlineLvl w:val="2"/>
      </w:pPr>
      <w:r>
        <w:rPr>
          <w:rFonts w:ascii="黑体" w:hAnsi="黑体" w:eastAsia="黑体"/>
          <w:sz w:val="32"/>
        </w:rPr>
        <w:t>一、主要职能</w:t>
      </w:r>
    </w:p>
    <w:p w14:paraId="4F44B149">
      <w:pPr>
        <w:spacing w:line="580" w:lineRule="exact"/>
        <w:ind w:firstLine="640"/>
        <w:jc w:val="both"/>
      </w:pPr>
      <w:r>
        <w:rPr>
          <w:rFonts w:ascii="仿宋_GB2312" w:hAnsi="仿宋_GB2312" w:eastAsia="仿宋_GB2312"/>
          <w:sz w:val="32"/>
        </w:rPr>
        <w:t>（1）</w:t>
      </w:r>
      <w:r>
        <w:rPr>
          <w:rFonts w:hint="eastAsia" w:ascii="仿宋_GB2312" w:hAnsi="仿宋_GB2312" w:eastAsia="仿宋_GB2312"/>
          <w:sz w:val="32"/>
          <w:lang w:eastAsia="zh-CN"/>
        </w:rPr>
        <w:t>伽师县</w:t>
      </w:r>
      <w:r>
        <w:rPr>
          <w:rFonts w:ascii="仿宋_GB2312" w:hAnsi="仿宋_GB2312" w:eastAsia="仿宋_GB2312"/>
          <w:sz w:val="32"/>
        </w:rPr>
        <w:t>江巴孜乡卫生院位于新疆喀什地区伽师县江巴孜乡阿克江巴孜村1组，是一所集医疗、预防保健为一体的公益一类事业单位，主要以公共卫生服务为主，综合提供预防、保健和基本医疗等服务，开设了胸痛救治单元、中医馆，极大地改善了当地群众的就医环境，基本满足了当地群众的就医需求。</w:t>
      </w:r>
    </w:p>
    <w:p w14:paraId="6FF0D34A">
      <w:pPr>
        <w:spacing w:line="580" w:lineRule="exact"/>
        <w:ind w:firstLine="640"/>
        <w:jc w:val="both"/>
      </w:pPr>
      <w:r>
        <w:rPr>
          <w:rFonts w:ascii="仿宋_GB2312" w:hAnsi="仿宋_GB2312" w:eastAsia="仿宋_GB2312"/>
          <w:sz w:val="32"/>
        </w:rPr>
        <w:t>（2）为加强农村疾病预防控制，做好传染病、地方病防治和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314FDA8D">
      <w:pPr>
        <w:spacing w:line="580" w:lineRule="exact"/>
        <w:ind w:firstLine="640"/>
        <w:jc w:val="both"/>
      </w:pPr>
      <w:r>
        <w:rPr>
          <w:rFonts w:ascii="仿宋_GB2312" w:hAnsi="仿宋_GB2312" w:eastAsia="仿宋_GB2312"/>
          <w:sz w:val="32"/>
        </w:rPr>
        <w:t>（3）认真执行儿童计划免疫。积极开展慢性非传染性疾病的防治工作。</w:t>
      </w:r>
    </w:p>
    <w:p w14:paraId="7ADBB294">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7DA13C38">
      <w:pPr>
        <w:spacing w:line="580" w:lineRule="exact"/>
        <w:ind w:firstLine="640"/>
        <w:jc w:val="both"/>
      </w:pPr>
      <w:r>
        <w:rPr>
          <w:rFonts w:ascii="仿宋_GB2312" w:hAnsi="仿宋_GB2312" w:eastAsia="仿宋_GB2312"/>
          <w:sz w:val="32"/>
        </w:rPr>
        <w:t>（5）积极做好新型农村合作医疗的服务、</w:t>
      </w:r>
      <w:bookmarkStart w:id="0" w:name="_GoBack"/>
      <w:bookmarkEnd w:id="0"/>
      <w:r>
        <w:rPr>
          <w:rFonts w:ascii="仿宋_GB2312" w:hAnsi="仿宋_GB2312" w:eastAsia="仿宋_GB2312"/>
          <w:sz w:val="32"/>
        </w:rPr>
        <w:t>技术指导、康复等工作。</w:t>
      </w:r>
    </w:p>
    <w:p w14:paraId="09FB376B">
      <w:pPr>
        <w:spacing w:line="580" w:lineRule="exact"/>
        <w:ind w:firstLine="640"/>
        <w:jc w:val="both"/>
      </w:pPr>
      <w:r>
        <w:rPr>
          <w:rFonts w:hint="eastAsia" w:ascii="仿宋_GB2312" w:hAnsi="仿宋_GB2312" w:eastAsia="仿宋_GB2312"/>
          <w:sz w:val="32"/>
          <w:lang w:eastAsia="zh-CN"/>
        </w:rPr>
        <w:t>（</w:t>
      </w:r>
      <w:r>
        <w:rPr>
          <w:rFonts w:hint="eastAsia" w:ascii="仿宋_GB2312" w:hAnsi="仿宋_GB2312" w:eastAsia="仿宋_GB2312"/>
          <w:sz w:val="32"/>
          <w:lang w:val="en-US" w:eastAsia="zh-CN"/>
        </w:rPr>
        <w:t>6</w:t>
      </w:r>
      <w:r>
        <w:rPr>
          <w:rFonts w:hint="eastAsia" w:ascii="仿宋_GB2312" w:hAnsi="仿宋_GB2312" w:eastAsia="仿宋_GB2312"/>
          <w:sz w:val="32"/>
          <w:lang w:eastAsia="zh-CN"/>
        </w:rPr>
        <w:t>）</w:t>
      </w:r>
      <w:r>
        <w:rPr>
          <w:rFonts w:ascii="仿宋_GB2312" w:hAnsi="仿宋_GB2312" w:eastAsia="仿宋_GB2312"/>
          <w:sz w:val="32"/>
        </w:rPr>
        <w:t>开展爱国卫生运动，普及疾病预防和卫生保健知识，指导群众改善居住、饮食、饮水和环境卫生条件，引导和帮助农民建立良好的卫生习惯。</w:t>
      </w:r>
    </w:p>
    <w:p w14:paraId="51FE9396">
      <w:pPr>
        <w:spacing w:line="640" w:lineRule="exact"/>
        <w:ind w:firstLine="640"/>
        <w:jc w:val="both"/>
        <w:outlineLvl w:val="2"/>
      </w:pPr>
      <w:r>
        <w:rPr>
          <w:rFonts w:ascii="黑体" w:hAnsi="黑体" w:eastAsia="黑体"/>
          <w:sz w:val="32"/>
        </w:rPr>
        <w:t>二、机构设置及人员情况</w:t>
      </w:r>
    </w:p>
    <w:p w14:paraId="32AB7B4C">
      <w:pPr>
        <w:spacing w:line="580" w:lineRule="exact"/>
        <w:ind w:firstLine="640"/>
        <w:jc w:val="both"/>
      </w:pPr>
      <w:r>
        <w:rPr>
          <w:rFonts w:ascii="仿宋_GB2312" w:hAnsi="仿宋_GB2312" w:eastAsia="仿宋_GB2312"/>
          <w:sz w:val="32"/>
        </w:rPr>
        <w:t>伽师县江巴孜乡卫生院2024年度，实有人数47人，其中：在职人员40人，增加0人；离休人员0人，增加0人；退休人员7人,增加1人。</w:t>
      </w:r>
    </w:p>
    <w:p w14:paraId="53A2FB78">
      <w:pPr>
        <w:spacing w:line="580" w:lineRule="exact"/>
        <w:ind w:firstLine="640"/>
        <w:jc w:val="both"/>
      </w:pPr>
      <w:r>
        <w:rPr>
          <w:rFonts w:ascii="仿宋_GB2312" w:hAnsi="仿宋_GB2312" w:eastAsia="仿宋_GB2312"/>
          <w:sz w:val="32"/>
        </w:rPr>
        <w:t>伽师县江巴孜乡卫生院无下属预算单位，下设7个科室，分别是：门诊部、住院部、预防保健科、公卫科、中医科、财务室、</w:t>
      </w:r>
      <w:r>
        <w:rPr>
          <w:rFonts w:hint="eastAsia" w:ascii="仿宋_GB2312" w:hAnsi="仿宋_GB2312" w:eastAsia="仿宋_GB2312"/>
          <w:sz w:val="32"/>
          <w:lang w:eastAsia="zh-CN"/>
        </w:rPr>
        <w:t>城乡居民基本医疗保险</w:t>
      </w:r>
      <w:r>
        <w:rPr>
          <w:rFonts w:ascii="仿宋_GB2312" w:hAnsi="仿宋_GB2312" w:eastAsia="仿宋_GB2312"/>
          <w:sz w:val="32"/>
        </w:rPr>
        <w:t>办公室。</w:t>
      </w:r>
    </w:p>
    <w:p w14:paraId="50DF6A98">
      <w:r>
        <w:br w:type="page"/>
      </w:r>
    </w:p>
    <w:p w14:paraId="21B7C8F0">
      <w:pPr>
        <w:spacing w:line="240" w:lineRule="auto"/>
        <w:jc w:val="center"/>
        <w:outlineLvl w:val="1"/>
      </w:pPr>
      <w:r>
        <w:rPr>
          <w:rFonts w:ascii="黑体" w:hAnsi="黑体" w:eastAsia="黑体"/>
          <w:sz w:val="32"/>
        </w:rPr>
        <w:t>第二部分 部门决算情况说明</w:t>
      </w:r>
    </w:p>
    <w:p w14:paraId="7FC9EE97">
      <w:pPr>
        <w:spacing w:line="640" w:lineRule="exact"/>
        <w:ind w:firstLine="640"/>
        <w:jc w:val="both"/>
        <w:outlineLvl w:val="2"/>
      </w:pPr>
      <w:r>
        <w:rPr>
          <w:rFonts w:ascii="黑体" w:hAnsi="黑体" w:eastAsia="黑体"/>
          <w:sz w:val="32"/>
        </w:rPr>
        <w:t>一、收入支出决算总体情况说明</w:t>
      </w:r>
    </w:p>
    <w:p w14:paraId="7311E9A6">
      <w:pPr>
        <w:spacing w:line="580" w:lineRule="exact"/>
        <w:ind w:firstLine="640"/>
        <w:jc w:val="both"/>
      </w:pPr>
      <w:r>
        <w:rPr>
          <w:rFonts w:ascii="仿宋_GB2312" w:hAnsi="仿宋_GB2312" w:eastAsia="仿宋_GB2312"/>
          <w:b/>
          <w:sz w:val="32"/>
        </w:rPr>
        <w:t>2024年度收入总计1,690.61万元，</w:t>
      </w:r>
      <w:r>
        <w:rPr>
          <w:rFonts w:ascii="仿宋_GB2312" w:hAnsi="仿宋_GB2312" w:eastAsia="仿宋_GB2312"/>
          <w:b w:val="0"/>
          <w:sz w:val="32"/>
        </w:rPr>
        <w:t>其中：本年收入合计1,690.61万元，使用非财政拨款结余（含专用结余）0.00万元，年初结转和结余0.00万元。</w:t>
      </w:r>
    </w:p>
    <w:p w14:paraId="1924F2B9">
      <w:pPr>
        <w:spacing w:line="580" w:lineRule="exact"/>
        <w:ind w:firstLine="640"/>
        <w:jc w:val="both"/>
      </w:pPr>
      <w:r>
        <w:rPr>
          <w:rFonts w:ascii="仿宋_GB2312" w:hAnsi="仿宋_GB2312" w:eastAsia="仿宋_GB2312"/>
          <w:b/>
          <w:sz w:val="32"/>
        </w:rPr>
        <w:t>2024年度支出总计1,690.61万元，</w:t>
      </w:r>
      <w:r>
        <w:rPr>
          <w:rFonts w:ascii="仿宋_GB2312" w:hAnsi="仿宋_GB2312" w:eastAsia="仿宋_GB2312"/>
          <w:b w:val="0"/>
          <w:sz w:val="32"/>
        </w:rPr>
        <w:t>其中：本年支出合计1,648.40万元，结余分配42.21万元，年末结转和结余0.00万元。</w:t>
      </w:r>
    </w:p>
    <w:p w14:paraId="4D90C7EA">
      <w:pPr>
        <w:spacing w:line="580" w:lineRule="exact"/>
        <w:ind w:firstLine="640"/>
        <w:jc w:val="both"/>
      </w:pPr>
      <w:r>
        <w:rPr>
          <w:rFonts w:ascii="仿宋_GB2312" w:hAnsi="仿宋_GB2312" w:eastAsia="仿宋_GB2312"/>
          <w:b w:val="0"/>
          <w:sz w:val="32"/>
        </w:rPr>
        <w:t>收入支出总体与上年相比，增加245.15万元，增长16.96%，主要原因是：本年在职人员工资调增、社保、公积金基数调增，人员经费增加，伽师县卫健委2024年基本公共卫生项目资金较上年增加。</w:t>
      </w:r>
    </w:p>
    <w:p w14:paraId="108964AF">
      <w:pPr>
        <w:spacing w:line="640" w:lineRule="exact"/>
        <w:ind w:firstLine="640"/>
        <w:jc w:val="both"/>
        <w:outlineLvl w:val="2"/>
      </w:pPr>
      <w:r>
        <w:rPr>
          <w:rFonts w:ascii="黑体" w:hAnsi="黑体" w:eastAsia="黑体"/>
          <w:sz w:val="32"/>
        </w:rPr>
        <w:t>二、收入决算情况说明</w:t>
      </w:r>
    </w:p>
    <w:p w14:paraId="5F5E92F6">
      <w:pPr>
        <w:spacing w:line="580" w:lineRule="exact"/>
        <w:ind w:firstLine="640"/>
        <w:jc w:val="both"/>
      </w:pPr>
      <w:r>
        <w:rPr>
          <w:rFonts w:ascii="仿宋_GB2312" w:hAnsi="仿宋_GB2312" w:eastAsia="仿宋_GB2312"/>
          <w:b/>
          <w:sz w:val="32"/>
        </w:rPr>
        <w:t>本年收入1,690.61万元，</w:t>
      </w:r>
      <w:r>
        <w:rPr>
          <w:rFonts w:ascii="仿宋_GB2312" w:hAnsi="仿宋_GB2312" w:eastAsia="仿宋_GB2312"/>
          <w:b w:val="0"/>
          <w:sz w:val="32"/>
        </w:rPr>
        <w:t>其中：财政拨款收入1,267.25万元，占74.96%；上级补助收入0.00万元，占0.00%；事业收入360.35万元，占21.31%；经营收入0.00万元，占0.00%；附属单位上缴收入0.00万元，占0.00%；其他收入63.01万元，占3.73%。</w:t>
      </w:r>
    </w:p>
    <w:p w14:paraId="42DEE738">
      <w:pPr>
        <w:spacing w:line="640" w:lineRule="exact"/>
        <w:ind w:firstLine="640"/>
        <w:jc w:val="both"/>
        <w:outlineLvl w:val="2"/>
      </w:pPr>
      <w:r>
        <w:rPr>
          <w:rFonts w:ascii="黑体" w:hAnsi="黑体" w:eastAsia="黑体"/>
          <w:sz w:val="32"/>
        </w:rPr>
        <w:t>三、支出决算情况说明</w:t>
      </w:r>
    </w:p>
    <w:p w14:paraId="6D45937E">
      <w:pPr>
        <w:spacing w:line="580" w:lineRule="exact"/>
        <w:ind w:firstLine="640"/>
        <w:jc w:val="both"/>
      </w:pPr>
      <w:r>
        <w:rPr>
          <w:rFonts w:ascii="仿宋_GB2312" w:hAnsi="仿宋_GB2312" w:eastAsia="仿宋_GB2312"/>
          <w:b/>
          <w:sz w:val="32"/>
        </w:rPr>
        <w:t>本年支出1,648.40万元，</w:t>
      </w:r>
      <w:r>
        <w:rPr>
          <w:rFonts w:ascii="仿宋_GB2312" w:hAnsi="仿宋_GB2312" w:eastAsia="仿宋_GB2312"/>
          <w:b w:val="0"/>
          <w:sz w:val="32"/>
        </w:rPr>
        <w:t>其中：基本支出992.56万元，占60.21%；项目支出655.84万元，占39.79%；上缴上级支出0.00万元，占0.00%；经营支出0.00万元，占0.00%；对附属单位补助支出0.00万元，占0.00%。</w:t>
      </w:r>
    </w:p>
    <w:p w14:paraId="4F3DEB84">
      <w:pPr>
        <w:spacing w:line="640" w:lineRule="exact"/>
        <w:ind w:firstLine="640"/>
        <w:jc w:val="both"/>
        <w:outlineLvl w:val="2"/>
      </w:pPr>
      <w:r>
        <w:rPr>
          <w:rFonts w:ascii="黑体" w:hAnsi="黑体" w:eastAsia="黑体"/>
          <w:sz w:val="32"/>
        </w:rPr>
        <w:t>四、财政拨款收入支出决算总体情况说明</w:t>
      </w:r>
    </w:p>
    <w:p w14:paraId="1A1F10CB">
      <w:pPr>
        <w:spacing w:line="580" w:lineRule="exact"/>
        <w:ind w:firstLine="640"/>
        <w:jc w:val="both"/>
      </w:pPr>
      <w:r>
        <w:rPr>
          <w:rFonts w:ascii="仿宋_GB2312" w:hAnsi="仿宋_GB2312" w:eastAsia="仿宋_GB2312"/>
          <w:b/>
          <w:sz w:val="32"/>
        </w:rPr>
        <w:t>2024年度财政拨款收入总计1,267.25万元，</w:t>
      </w:r>
      <w:r>
        <w:rPr>
          <w:rFonts w:ascii="仿宋_GB2312" w:hAnsi="仿宋_GB2312" w:eastAsia="仿宋_GB2312"/>
          <w:b w:val="0"/>
          <w:sz w:val="32"/>
        </w:rPr>
        <w:t>其中：年初财政拨款结转和结余0.00万元，本年财政拨款收入1,267.25万元。</w:t>
      </w:r>
      <w:r>
        <w:rPr>
          <w:rFonts w:ascii="仿宋_GB2312" w:hAnsi="仿宋_GB2312" w:eastAsia="仿宋_GB2312"/>
          <w:b/>
          <w:sz w:val="32"/>
        </w:rPr>
        <w:t>财政拨款支出总计1,267.25万元，</w:t>
      </w:r>
      <w:r>
        <w:rPr>
          <w:rFonts w:ascii="仿宋_GB2312" w:hAnsi="仿宋_GB2312" w:eastAsia="仿宋_GB2312"/>
          <w:b w:val="0"/>
          <w:sz w:val="32"/>
        </w:rPr>
        <w:t>其中：年末财政拨款结转和结余0.00万元，本年财政拨款支出1,267.25万元。</w:t>
      </w:r>
    </w:p>
    <w:p w14:paraId="740BA8A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增加137.37万元，增长12.16%，主要原因是：本年在职人员工资调增、社保、公积金基数调增，人员经费增加，伽师县卫健委2024年基本公共卫生项目资金较上年增加。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年初预算数1,220.23万元，决算数1,267.25万元，预决算差异率3.85%，主要原因是：年中追加人员经费及人员工资、社保、公积金基数调增部分资金，导致预决算存在差异。</w:t>
      </w:r>
    </w:p>
    <w:p w14:paraId="787518ED">
      <w:pPr>
        <w:spacing w:line="640" w:lineRule="exact"/>
        <w:ind w:firstLine="640"/>
        <w:jc w:val="both"/>
        <w:outlineLvl w:val="2"/>
      </w:pPr>
      <w:r>
        <w:rPr>
          <w:rFonts w:ascii="黑体" w:hAnsi="黑体" w:eastAsia="黑体"/>
          <w:sz w:val="32"/>
        </w:rPr>
        <w:t>五、一般公共预算财政拨款支出决算情况说明</w:t>
      </w:r>
    </w:p>
    <w:p w14:paraId="3FA94E9D">
      <w:pPr>
        <w:spacing w:line="640" w:lineRule="exact"/>
        <w:ind w:firstLine="640"/>
        <w:jc w:val="both"/>
        <w:outlineLvl w:val="3"/>
      </w:pPr>
      <w:r>
        <w:rPr>
          <w:rFonts w:ascii="楷体_GB2312" w:hAnsi="楷体_GB2312" w:eastAsia="楷体_GB2312"/>
          <w:b/>
          <w:sz w:val="32"/>
        </w:rPr>
        <w:t>（一）一般公共预算财政拨款支出决算总体情况</w:t>
      </w:r>
    </w:p>
    <w:p w14:paraId="20B2FB9B">
      <w:pPr>
        <w:spacing w:line="580" w:lineRule="exact"/>
        <w:ind w:firstLine="640"/>
        <w:jc w:val="both"/>
      </w:pPr>
      <w:r>
        <w:rPr>
          <w:rFonts w:ascii="仿宋_GB2312" w:hAnsi="仿宋_GB2312" w:eastAsia="仿宋_GB2312"/>
          <w:b/>
          <w:sz w:val="32"/>
        </w:rPr>
        <w:t>2024年度一般公共预算财政拨款支出1,265.18万元，</w:t>
      </w:r>
      <w:r>
        <w:rPr>
          <w:rFonts w:ascii="仿宋_GB2312" w:hAnsi="仿宋_GB2312" w:eastAsia="仿宋_GB2312"/>
          <w:b w:val="0"/>
          <w:sz w:val="32"/>
        </w:rPr>
        <w:t>占本年支出合计的76.75%。</w:t>
      </w:r>
      <w:r>
        <w:rPr>
          <w:rFonts w:ascii="仿宋_GB2312" w:hAnsi="仿宋_GB2312" w:eastAsia="仿宋_GB2312"/>
          <w:b/>
          <w:sz w:val="32"/>
        </w:rPr>
        <w:t>与上年相比，</w:t>
      </w:r>
      <w:r>
        <w:rPr>
          <w:rFonts w:ascii="仿宋_GB2312" w:hAnsi="仿宋_GB2312" w:eastAsia="仿宋_GB2312"/>
          <w:b w:val="0"/>
          <w:sz w:val="32"/>
        </w:rPr>
        <w:t>增加135.30万元，增长11.97%，主要原因是：本年在职人员工资调增、社保、公积金基数调增，人员经费增加，伽师县卫健委2024年基本公共卫生项目资金较上年增加。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年初预算数1,218.16万元，决算数1,265.18万元，预决算差异率3.86%，主要原因是：年中追加人员经费及人员工资、社保、公积金基数调增部分资金，导致预决算存在差异。</w:t>
      </w:r>
    </w:p>
    <w:p w14:paraId="261163DA">
      <w:pPr>
        <w:spacing w:line="640" w:lineRule="exact"/>
        <w:ind w:firstLine="640"/>
        <w:jc w:val="both"/>
        <w:outlineLvl w:val="3"/>
      </w:pPr>
      <w:r>
        <w:rPr>
          <w:rFonts w:ascii="楷体_GB2312" w:hAnsi="楷体_GB2312" w:eastAsia="楷体_GB2312"/>
          <w:b/>
          <w:sz w:val="32"/>
        </w:rPr>
        <w:t>（二）一般公共预算财政拨款支出决算结构情况</w:t>
      </w:r>
    </w:p>
    <w:p w14:paraId="5F00E592">
      <w:pPr>
        <w:spacing w:line="580" w:lineRule="exact"/>
        <w:ind w:firstLine="640"/>
        <w:jc w:val="both"/>
      </w:pPr>
      <w:r>
        <w:rPr>
          <w:rFonts w:ascii="仿宋_GB2312" w:hAnsi="仿宋_GB2312" w:eastAsia="仿宋_GB2312"/>
          <w:b w:val="0"/>
          <w:sz w:val="32"/>
        </w:rPr>
        <w:t>1.社会保障和就业支出(类)73.29万元,占5.79%。</w:t>
      </w:r>
    </w:p>
    <w:p w14:paraId="2D954C39">
      <w:pPr>
        <w:spacing w:line="580" w:lineRule="exact"/>
        <w:ind w:firstLine="640"/>
        <w:jc w:val="both"/>
      </w:pPr>
      <w:r>
        <w:rPr>
          <w:rFonts w:ascii="仿宋_GB2312" w:hAnsi="仿宋_GB2312" w:eastAsia="仿宋_GB2312"/>
          <w:b w:val="0"/>
          <w:sz w:val="32"/>
        </w:rPr>
        <w:t>2.卫生健康支出(类)1,135.91万元,占89.78%。</w:t>
      </w:r>
    </w:p>
    <w:p w14:paraId="10C8BB10">
      <w:pPr>
        <w:spacing w:line="580" w:lineRule="exact"/>
        <w:ind w:firstLine="640"/>
        <w:jc w:val="both"/>
      </w:pPr>
      <w:r>
        <w:rPr>
          <w:rFonts w:ascii="仿宋_GB2312" w:hAnsi="仿宋_GB2312" w:eastAsia="仿宋_GB2312"/>
          <w:b w:val="0"/>
          <w:sz w:val="32"/>
        </w:rPr>
        <w:t>3.住房保障支出(类)55.97万元,占4.42%。</w:t>
      </w:r>
    </w:p>
    <w:p w14:paraId="5336A042">
      <w:pPr>
        <w:spacing w:line="640" w:lineRule="exact"/>
        <w:ind w:firstLine="640"/>
        <w:jc w:val="both"/>
        <w:outlineLvl w:val="3"/>
      </w:pPr>
      <w:r>
        <w:rPr>
          <w:rFonts w:ascii="楷体_GB2312" w:hAnsi="楷体_GB2312" w:eastAsia="楷体_GB2312"/>
          <w:b/>
          <w:sz w:val="32"/>
        </w:rPr>
        <w:t>（三）一般公共预算财政拨款支出决算具体情况</w:t>
      </w:r>
    </w:p>
    <w:p w14:paraId="4CF1A218">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1.社会保障和就业支出(类)行政事业单位养老支出(款)事业单位离退休(项):支出决算数为6.79万元，比上年决算增加1.18万元，增长21.03%,主要原因是：本年度增加退休人员，退休费支出增加。</w:t>
      </w:r>
    </w:p>
    <w:p w14:paraId="2759D13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66.50万元，比上年决算增加8.58万元，增长14.81%,主要原因是：本年在职人员工资基数调增，养老缴费基数上涨，相应支出增加。</w:t>
      </w:r>
    </w:p>
    <w:p w14:paraId="63877498">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47.74万元，比上年决算增加47.74万元，增长100.00%,主要原因是：本年功能科目调整，伽师县卫健委2024年村医补助项目支出上年度在其他公共卫生支出科目列支，本年单独列支，导致经费较上年增加。</w:t>
      </w:r>
    </w:p>
    <w:p w14:paraId="63E38A55">
      <w:pPr>
        <w:spacing w:line="580" w:lineRule="exact"/>
        <w:ind w:firstLine="640"/>
        <w:jc w:val="both"/>
      </w:pPr>
      <w:r>
        <w:rPr>
          <w:rFonts w:ascii="仿宋_GB2312" w:hAnsi="仿宋_GB2312" w:eastAsia="仿宋_GB2312"/>
          <w:b w:val="0"/>
          <w:sz w:val="32"/>
        </w:rPr>
        <w:t>4.卫生健康支出(类)基层医疗卫生机构(款)乡镇卫生院(项):支出决算数为515.53万元，比上年决算增加11.13万元，增长2.21%,主要原因是：本年在职人员工资调增，人员经费增加，伽师县卫健委2024年基本公共卫生项目资金较上年增加。</w:t>
      </w:r>
    </w:p>
    <w:p w14:paraId="1B95F400">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5.卫生健康支出(类)基层医疗卫生机构(款)其他基层医疗卫生机构支出(项):支出决算数为38.20万元，比上年决算增加0.99万元，增长2.66%,主要原因是：本年度伽师县卫健委2024年基本药物补助项目比上年增加。</w:t>
      </w:r>
    </w:p>
    <w:p w14:paraId="4304A85D">
      <w:pPr>
        <w:spacing w:line="580" w:lineRule="exact"/>
        <w:ind w:firstLine="640"/>
        <w:jc w:val="both"/>
      </w:pPr>
      <w:r>
        <w:rPr>
          <w:rFonts w:ascii="仿宋_GB2312" w:hAnsi="仿宋_GB2312" w:eastAsia="仿宋_GB2312"/>
          <w:b w:val="0"/>
          <w:sz w:val="32"/>
        </w:rPr>
        <w:t>6.卫生健康支出(类)公共卫生(款)基本公共卫生服务(项):支出决算数为329.02万元，比上年决算增加96.41万元，增长41.45%,主要原因是：本年度2024年基本公共卫生服务项目增加。</w:t>
      </w:r>
    </w:p>
    <w:p w14:paraId="55363E89">
      <w:pPr>
        <w:spacing w:line="580" w:lineRule="exact"/>
        <w:ind w:firstLine="640"/>
        <w:jc w:val="both"/>
      </w:pPr>
      <w:r>
        <w:rPr>
          <w:rFonts w:ascii="仿宋_GB2312" w:hAnsi="仿宋_GB2312" w:eastAsia="仿宋_GB2312"/>
          <w:b w:val="0"/>
          <w:sz w:val="32"/>
        </w:rPr>
        <w:t>7.卫生健康支出(类)公共卫生(款)其他公共卫生支出(项):支出决算数为177.16万元，比上年决算减少43.65万元，下降19.77%,主要原因是：本年功能科目调整，伽师县卫健委2024年村医补助项目支出上年度在本科目列支，本年调整至其他卫生健康管理事务支出科目列支，导致经费较上年减少。</w:t>
      </w:r>
    </w:p>
    <w:p w14:paraId="0C676F66">
      <w:pPr>
        <w:spacing w:line="580" w:lineRule="exact"/>
        <w:ind w:firstLine="640"/>
        <w:jc w:val="both"/>
      </w:pPr>
      <w:r>
        <w:rPr>
          <w:rFonts w:ascii="仿宋_GB2312" w:hAnsi="仿宋_GB2312" w:eastAsia="仿宋_GB2312"/>
          <w:b w:val="0"/>
          <w:sz w:val="32"/>
        </w:rPr>
        <w:t>8.卫生健康支出(类)行政事业单位医疗(款)事业单位医疗(项):支出决算数为28.26万元，比上年决算增加3.64万元，增长14.78%,主要原因是：本年在职人员工资基数调增，医疗缴费基数上涨，相应支出增加。</w:t>
      </w:r>
    </w:p>
    <w:p w14:paraId="24C479ED">
      <w:pPr>
        <w:spacing w:line="580" w:lineRule="exact"/>
        <w:ind w:firstLine="640"/>
        <w:jc w:val="both"/>
      </w:pPr>
      <w:r>
        <w:rPr>
          <w:rFonts w:ascii="仿宋_GB2312" w:hAnsi="仿宋_GB2312" w:eastAsia="仿宋_GB2312"/>
          <w:b w:val="0"/>
          <w:sz w:val="32"/>
        </w:rPr>
        <w:t>9.住房保障支出(类)住房改革支出(款)住房公积金(项):支出决算数为55.97万元，比上年决算增加9.26万元，增长19.82%,主要原因是：本年在职人员工资基数调增，公积金缴费基数上涨，相应支出增加。</w:t>
      </w:r>
    </w:p>
    <w:p w14:paraId="0AC64359">
      <w:pPr>
        <w:spacing w:line="640" w:lineRule="exact"/>
        <w:ind w:firstLine="640"/>
        <w:jc w:val="both"/>
        <w:outlineLvl w:val="2"/>
      </w:pPr>
      <w:r>
        <w:rPr>
          <w:rFonts w:ascii="黑体" w:hAnsi="黑体" w:eastAsia="黑体"/>
          <w:sz w:val="32"/>
        </w:rPr>
        <w:t>六、一般公共预算财政拨款基本支出决算情况说明</w:t>
      </w:r>
    </w:p>
    <w:p w14:paraId="49991EDF">
      <w:pPr>
        <w:spacing w:line="580" w:lineRule="exact"/>
        <w:ind w:firstLine="640"/>
        <w:jc w:val="both"/>
      </w:pPr>
      <w:r>
        <w:rPr>
          <w:rFonts w:ascii="仿宋_GB2312" w:hAnsi="仿宋_GB2312" w:eastAsia="仿宋_GB2312"/>
          <w:b w:val="0"/>
          <w:sz w:val="32"/>
        </w:rPr>
        <w:t>2024年度一般公共预算财政拨款基本支出673.06万元，其中：</w:t>
      </w:r>
      <w:r>
        <w:rPr>
          <w:rFonts w:ascii="仿宋_GB2312" w:hAnsi="仿宋_GB2312" w:eastAsia="仿宋_GB2312"/>
          <w:b/>
          <w:sz w:val="32"/>
        </w:rPr>
        <w:t>人员经费673.06万元，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04EDBFE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61420DAC">
      <w:pPr>
        <w:spacing w:line="640" w:lineRule="exact"/>
        <w:ind w:firstLine="640"/>
        <w:jc w:val="both"/>
        <w:outlineLvl w:val="2"/>
      </w:pPr>
      <w:r>
        <w:rPr>
          <w:rFonts w:ascii="黑体" w:hAnsi="黑体" w:eastAsia="黑体"/>
          <w:sz w:val="32"/>
        </w:rPr>
        <w:t>七、政府性基金预算财政拨款收入支出决算情况说明</w:t>
      </w:r>
    </w:p>
    <w:p w14:paraId="5C9B015B">
      <w:pPr>
        <w:spacing w:line="580" w:lineRule="exact"/>
        <w:ind w:firstLine="640"/>
        <w:jc w:val="both"/>
      </w:pPr>
      <w:r>
        <w:rPr>
          <w:rFonts w:ascii="仿宋_GB2312" w:hAnsi="仿宋_GB2312" w:eastAsia="仿宋_GB2312"/>
          <w:b/>
          <w:sz w:val="32"/>
        </w:rPr>
        <w:t>2024年度政府性基金预算财政拨款收入总计2.07万元，</w:t>
      </w:r>
      <w:r>
        <w:rPr>
          <w:rFonts w:ascii="仿宋_GB2312" w:hAnsi="仿宋_GB2312" w:eastAsia="仿宋_GB2312"/>
          <w:b w:val="0"/>
          <w:sz w:val="32"/>
        </w:rPr>
        <w:t>其中：年初结转和结余0.00万元，本年收入2.07万元。</w:t>
      </w:r>
      <w:r>
        <w:rPr>
          <w:rFonts w:ascii="仿宋_GB2312" w:hAnsi="仿宋_GB2312" w:eastAsia="仿宋_GB2312"/>
          <w:b/>
          <w:sz w:val="32"/>
        </w:rPr>
        <w:t>政府性基金预算财政拨款支出总计2.07万元，</w:t>
      </w:r>
      <w:r>
        <w:rPr>
          <w:rFonts w:ascii="仿宋_GB2312" w:hAnsi="仿宋_GB2312" w:eastAsia="仿宋_GB2312"/>
          <w:b w:val="0"/>
          <w:sz w:val="32"/>
        </w:rPr>
        <w:t>其中：年末结转和结余0.00万元，本年支出2.07万元。</w:t>
      </w:r>
    </w:p>
    <w:p w14:paraId="52F0B77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增加2.07万元，增长100.00%，主要原因是：本年度增加2024年中央专项彩票公益金（喀什地区老年健康与医养结合服务项目资金）。</w:t>
      </w:r>
      <w:r>
        <w:rPr>
          <w:rFonts w:ascii="仿宋_GB2312" w:hAnsi="仿宋_GB2312" w:eastAsia="仿宋_GB2312"/>
          <w:b/>
          <w:sz w:val="32"/>
        </w:rPr>
        <w:t>与年初预算相比，</w:t>
      </w:r>
      <w:r>
        <w:rPr>
          <w:rFonts w:ascii="仿宋_GB2312" w:hAnsi="仿宋_GB2312" w:eastAsia="仿宋_GB2312"/>
          <w:b w:val="0"/>
          <w:sz w:val="32"/>
        </w:rPr>
        <w:t>年初预算数2.07万元，决算数2.07万元，预决算差异率0.00%，主要原因是：严格按照预算执行，预决算无差异。</w:t>
      </w:r>
    </w:p>
    <w:p w14:paraId="69C6AA3E">
      <w:pPr>
        <w:spacing w:line="580" w:lineRule="exact"/>
        <w:ind w:firstLine="640"/>
        <w:jc w:val="both"/>
      </w:pPr>
      <w:r>
        <w:rPr>
          <w:rFonts w:ascii="仿宋_GB2312" w:hAnsi="仿宋_GB2312" w:eastAsia="仿宋_GB2312"/>
          <w:b w:val="0"/>
          <w:sz w:val="32"/>
        </w:rPr>
        <w:t>政府性基金预算财政拨款支出2.07万元。</w:t>
      </w:r>
    </w:p>
    <w:p w14:paraId="7DD1ADB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2.07万元，比上年决算增加2.07万元，增长100.00%,主要原因是：本年度增加2024年中央专项彩票公益金（喀什地区老年健康与医养结合服务项目资金）。</w:t>
      </w:r>
    </w:p>
    <w:p w14:paraId="5312F723">
      <w:pPr>
        <w:spacing w:line="640" w:lineRule="exact"/>
        <w:ind w:firstLine="640"/>
        <w:jc w:val="both"/>
        <w:outlineLvl w:val="2"/>
      </w:pPr>
      <w:r>
        <w:rPr>
          <w:rFonts w:ascii="黑体" w:hAnsi="黑体" w:eastAsia="黑体"/>
          <w:sz w:val="32"/>
        </w:rPr>
        <w:t>八、国有资本经营预算财政拨款收入支出决算情况说明</w:t>
      </w:r>
    </w:p>
    <w:p w14:paraId="401FBAA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A4BC578">
      <w:pPr>
        <w:spacing w:line="640" w:lineRule="exact"/>
        <w:ind w:firstLine="640"/>
        <w:jc w:val="both"/>
        <w:outlineLvl w:val="2"/>
      </w:pPr>
      <w:r>
        <w:rPr>
          <w:rFonts w:ascii="黑体" w:hAnsi="黑体" w:eastAsia="黑体"/>
          <w:sz w:val="32"/>
        </w:rPr>
        <w:t>九、财政拨款“三公”经费支出决算情况说明</w:t>
      </w:r>
    </w:p>
    <w:p w14:paraId="7F96D0E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501DC2F">
      <w:pPr>
        <w:spacing w:line="580" w:lineRule="exact"/>
        <w:ind w:firstLine="640"/>
        <w:jc w:val="both"/>
      </w:pPr>
      <w:r>
        <w:rPr>
          <w:rFonts w:ascii="仿宋_GB2312" w:hAnsi="仿宋_GB2312" w:eastAsia="仿宋_GB2312"/>
          <w:b/>
          <w:sz w:val="32"/>
        </w:rPr>
        <w:t>具体情况如下：</w:t>
      </w:r>
    </w:p>
    <w:p w14:paraId="580B9FF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E6C83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本单位救护车1辆，预算未安排公务用车运行维护费用。</w:t>
      </w:r>
    </w:p>
    <w:p w14:paraId="632A153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88CF3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38D6B19">
      <w:pPr>
        <w:spacing w:line="640" w:lineRule="exact"/>
        <w:ind w:firstLine="640"/>
        <w:jc w:val="both"/>
        <w:outlineLvl w:val="2"/>
      </w:pPr>
      <w:r>
        <w:rPr>
          <w:rFonts w:ascii="黑体" w:hAnsi="黑体" w:eastAsia="黑体"/>
          <w:sz w:val="32"/>
        </w:rPr>
        <w:t>十、其他重要事项的情况说明</w:t>
      </w:r>
    </w:p>
    <w:p w14:paraId="4CC0EF97">
      <w:pPr>
        <w:spacing w:line="640" w:lineRule="exact"/>
        <w:ind w:firstLine="640"/>
        <w:jc w:val="both"/>
        <w:outlineLvl w:val="3"/>
      </w:pPr>
      <w:r>
        <w:rPr>
          <w:rFonts w:ascii="楷体_GB2312" w:hAnsi="楷体_GB2312" w:eastAsia="楷体_GB2312"/>
          <w:b/>
          <w:sz w:val="32"/>
        </w:rPr>
        <w:t>（一）机关运行经费及公用经费支出情况</w:t>
      </w:r>
    </w:p>
    <w:p w14:paraId="2CF963F2">
      <w:pPr>
        <w:spacing w:line="580" w:lineRule="exact"/>
        <w:ind w:firstLine="640"/>
        <w:jc w:val="both"/>
      </w:pPr>
      <w:r>
        <w:rPr>
          <w:rFonts w:ascii="仿宋_GB2312" w:hAnsi="仿宋_GB2312" w:eastAsia="仿宋_GB2312"/>
          <w:b w:val="0"/>
          <w:sz w:val="32"/>
        </w:rPr>
        <w:t>2024年度伽师县江巴孜乡卫生院（事业单位）公用经费支出0.00万元，比上年增加0.00万元，增长0.00%，主要原因是：2023年与2024年均未安排公用经费支出。</w:t>
      </w:r>
    </w:p>
    <w:p w14:paraId="24BB73AF">
      <w:pPr>
        <w:spacing w:line="640" w:lineRule="exact"/>
        <w:ind w:firstLine="640"/>
        <w:jc w:val="both"/>
        <w:outlineLvl w:val="3"/>
      </w:pPr>
      <w:r>
        <w:rPr>
          <w:rFonts w:ascii="楷体_GB2312" w:hAnsi="楷体_GB2312" w:eastAsia="楷体_GB2312"/>
          <w:b/>
          <w:sz w:val="32"/>
        </w:rPr>
        <w:t>（二）政府采购情况</w:t>
      </w:r>
    </w:p>
    <w:p w14:paraId="25FCEEF0">
      <w:pPr>
        <w:spacing w:line="580" w:lineRule="exact"/>
        <w:ind w:firstLine="640"/>
        <w:jc w:val="both"/>
      </w:pPr>
      <w:r>
        <w:rPr>
          <w:rFonts w:ascii="仿宋_GB2312" w:hAnsi="仿宋_GB2312" w:eastAsia="仿宋_GB2312"/>
          <w:b w:val="0"/>
          <w:sz w:val="32"/>
        </w:rPr>
        <w:t>2024年度政府采购支出总额54.47万元，其中：政府采购货物支出7.09万元、政府采购工程支出46.55万元、政府采购服务支出0.83万元。</w:t>
      </w:r>
    </w:p>
    <w:p w14:paraId="51D03F85">
      <w:pPr>
        <w:spacing w:line="580" w:lineRule="exact"/>
        <w:ind w:firstLine="640"/>
        <w:jc w:val="both"/>
      </w:pPr>
      <w:r>
        <w:rPr>
          <w:rFonts w:ascii="仿宋_GB2312" w:hAnsi="仿宋_GB2312" w:eastAsia="仿宋_GB2312"/>
          <w:b w:val="0"/>
          <w:sz w:val="32"/>
        </w:rPr>
        <w:t>授予中小企业合同金额54.47万元，占政府采购支出总额的100.00%，其中：授予小微企业合同金额54.47万元，占政府采购支出总额的100.00%。</w:t>
      </w:r>
    </w:p>
    <w:p w14:paraId="074CD93F">
      <w:pPr>
        <w:spacing w:line="640" w:lineRule="exact"/>
        <w:ind w:firstLine="640"/>
        <w:jc w:val="both"/>
        <w:outlineLvl w:val="3"/>
      </w:pPr>
      <w:r>
        <w:rPr>
          <w:rFonts w:ascii="楷体_GB2312" w:hAnsi="楷体_GB2312" w:eastAsia="楷体_GB2312"/>
          <w:b/>
          <w:sz w:val="32"/>
        </w:rPr>
        <w:t>（三）国有资产占用情况说明</w:t>
      </w:r>
    </w:p>
    <w:p w14:paraId="00DDF1DA">
      <w:pPr>
        <w:spacing w:line="580" w:lineRule="exact"/>
        <w:ind w:firstLine="640"/>
        <w:jc w:val="both"/>
      </w:pPr>
      <w:r>
        <w:rPr>
          <w:rFonts w:ascii="仿宋_GB2312" w:hAnsi="仿宋_GB2312" w:eastAsia="仿宋_GB2312"/>
          <w:b w:val="0"/>
          <w:sz w:val="32"/>
        </w:rPr>
        <w:t>截至2024年12月31日，房屋2,748.50平方米，价值410.69万元。车辆1辆，价值23.00万元，其中：副部（省）级及以上领导用车0辆、主要负责人用车0辆、机要通信用车0辆、应急保障用车0辆、执法执勤用车0辆、特种专业技术用车0辆、离退休干部服务用车0辆、其他用车1辆，其他用车主要是：本单位救护车。单价100万元（含）以上设备（不含车辆）0台（套）。</w:t>
      </w:r>
    </w:p>
    <w:p w14:paraId="39D322D1">
      <w:pPr>
        <w:spacing w:line="640" w:lineRule="exact"/>
        <w:ind w:firstLine="640"/>
        <w:jc w:val="both"/>
        <w:outlineLvl w:val="2"/>
      </w:pPr>
      <w:r>
        <w:rPr>
          <w:rFonts w:ascii="黑体" w:hAnsi="黑体" w:eastAsia="黑体"/>
          <w:sz w:val="32"/>
        </w:rPr>
        <w:t>十一、预算绩效的情况说明</w:t>
      </w:r>
    </w:p>
    <w:p w14:paraId="7ACFD05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66ADF9C7">
      <w:r>
        <w:br w:type="page"/>
      </w:r>
    </w:p>
    <w:p w14:paraId="5E6277F3">
      <w:pPr>
        <w:spacing w:line="640" w:lineRule="exact"/>
        <w:ind w:firstLine="640"/>
        <w:jc w:val="both"/>
        <w:outlineLvl w:val="2"/>
      </w:pPr>
      <w:r>
        <w:rPr>
          <w:rFonts w:ascii="黑体" w:hAnsi="黑体" w:eastAsia="黑体"/>
          <w:sz w:val="32"/>
        </w:rPr>
        <w:t>十二、其他需说明的事项</w:t>
      </w:r>
    </w:p>
    <w:p w14:paraId="7E2901A4">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14:paraId="06FAE43C">
      <w:r>
        <w:br w:type="page"/>
      </w:r>
    </w:p>
    <w:p w14:paraId="63B89E3E">
      <w:pPr>
        <w:spacing w:line="240" w:lineRule="auto"/>
        <w:jc w:val="center"/>
        <w:outlineLvl w:val="1"/>
      </w:pPr>
      <w:r>
        <w:rPr>
          <w:rFonts w:ascii="黑体" w:hAnsi="黑体" w:eastAsia="黑体"/>
          <w:sz w:val="32"/>
        </w:rPr>
        <w:t>第三部分 专业名词解释</w:t>
      </w:r>
    </w:p>
    <w:p w14:paraId="6389A52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8CCE12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82514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6450C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4DDF2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8323D6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C86EFD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6E006C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83647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506C23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6AA0D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6484A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13B96A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9631B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3351964">
      <w:r>
        <w:br w:type="page"/>
      </w:r>
    </w:p>
    <w:p w14:paraId="254200D5">
      <w:pPr>
        <w:spacing w:line="240" w:lineRule="auto"/>
        <w:jc w:val="center"/>
        <w:outlineLvl w:val="1"/>
      </w:pPr>
      <w:r>
        <w:rPr>
          <w:rFonts w:ascii="黑体" w:hAnsi="黑体" w:eastAsia="黑体"/>
          <w:sz w:val="32"/>
        </w:rPr>
        <w:t>第四部分 部门决算报表（见附表）</w:t>
      </w:r>
    </w:p>
    <w:p w14:paraId="295EDCB7">
      <w:pPr>
        <w:spacing w:line="240" w:lineRule="auto"/>
        <w:ind w:firstLine="640"/>
        <w:jc w:val="both"/>
      </w:pPr>
      <w:r>
        <w:rPr>
          <w:rFonts w:ascii="仿宋_GB2312" w:hAnsi="仿宋_GB2312" w:eastAsia="仿宋_GB2312"/>
          <w:b w:val="0"/>
          <w:sz w:val="32"/>
        </w:rPr>
        <w:t>一、《收入支出决算总表》</w:t>
      </w:r>
    </w:p>
    <w:p w14:paraId="74B29BC7">
      <w:pPr>
        <w:spacing w:line="240" w:lineRule="auto"/>
        <w:ind w:firstLine="640"/>
        <w:jc w:val="both"/>
      </w:pPr>
      <w:r>
        <w:rPr>
          <w:rFonts w:ascii="仿宋_GB2312" w:hAnsi="仿宋_GB2312" w:eastAsia="仿宋_GB2312"/>
          <w:b w:val="0"/>
          <w:sz w:val="32"/>
        </w:rPr>
        <w:t>二、《收入决算表》</w:t>
      </w:r>
    </w:p>
    <w:p w14:paraId="791DC435">
      <w:pPr>
        <w:spacing w:line="240" w:lineRule="auto"/>
        <w:ind w:firstLine="640"/>
        <w:jc w:val="both"/>
      </w:pPr>
      <w:r>
        <w:rPr>
          <w:rFonts w:ascii="仿宋_GB2312" w:hAnsi="仿宋_GB2312" w:eastAsia="仿宋_GB2312"/>
          <w:b w:val="0"/>
          <w:sz w:val="32"/>
        </w:rPr>
        <w:t>三、《支出决算表》</w:t>
      </w:r>
    </w:p>
    <w:p w14:paraId="36F98C04">
      <w:pPr>
        <w:spacing w:line="240" w:lineRule="auto"/>
        <w:ind w:firstLine="640"/>
        <w:jc w:val="both"/>
      </w:pPr>
      <w:r>
        <w:rPr>
          <w:rFonts w:ascii="仿宋_GB2312" w:hAnsi="仿宋_GB2312" w:eastAsia="仿宋_GB2312"/>
          <w:b w:val="0"/>
          <w:sz w:val="32"/>
        </w:rPr>
        <w:t>四、《财政拨款收入支出决算总表》</w:t>
      </w:r>
    </w:p>
    <w:p w14:paraId="747C3952">
      <w:pPr>
        <w:spacing w:line="240" w:lineRule="auto"/>
        <w:ind w:firstLine="640"/>
        <w:jc w:val="both"/>
      </w:pPr>
      <w:r>
        <w:rPr>
          <w:rFonts w:ascii="仿宋_GB2312" w:hAnsi="仿宋_GB2312" w:eastAsia="仿宋_GB2312"/>
          <w:b w:val="0"/>
          <w:sz w:val="32"/>
        </w:rPr>
        <w:t>五、《一般公共预算财政拨款支出决算表》</w:t>
      </w:r>
    </w:p>
    <w:p w14:paraId="77E38805">
      <w:pPr>
        <w:spacing w:line="240" w:lineRule="auto"/>
        <w:ind w:firstLine="640"/>
        <w:jc w:val="both"/>
      </w:pPr>
      <w:r>
        <w:rPr>
          <w:rFonts w:ascii="仿宋_GB2312" w:hAnsi="仿宋_GB2312" w:eastAsia="仿宋_GB2312"/>
          <w:b w:val="0"/>
          <w:sz w:val="32"/>
        </w:rPr>
        <w:t>六、《一般公共预算财政拨款基本支出决算表》</w:t>
      </w:r>
    </w:p>
    <w:p w14:paraId="42544ECF">
      <w:pPr>
        <w:spacing w:line="240" w:lineRule="auto"/>
        <w:ind w:firstLine="640"/>
        <w:jc w:val="both"/>
      </w:pPr>
      <w:r>
        <w:rPr>
          <w:rFonts w:ascii="仿宋_GB2312" w:hAnsi="仿宋_GB2312" w:eastAsia="仿宋_GB2312"/>
          <w:b w:val="0"/>
          <w:sz w:val="32"/>
        </w:rPr>
        <w:t>七、《政府性基金预算财政拨款收入支出决算表》</w:t>
      </w:r>
    </w:p>
    <w:p w14:paraId="5FF52B72">
      <w:pPr>
        <w:spacing w:line="240" w:lineRule="auto"/>
        <w:ind w:firstLine="640"/>
        <w:jc w:val="both"/>
      </w:pPr>
      <w:r>
        <w:rPr>
          <w:rFonts w:ascii="仿宋_GB2312" w:hAnsi="仿宋_GB2312" w:eastAsia="仿宋_GB2312"/>
          <w:b w:val="0"/>
          <w:sz w:val="32"/>
        </w:rPr>
        <w:t>八、《国有资本经营预算财政拨款收入支出决算表》</w:t>
      </w:r>
    </w:p>
    <w:p w14:paraId="40888876">
      <w:pPr>
        <w:spacing w:line="240" w:lineRule="auto"/>
        <w:ind w:firstLine="640"/>
        <w:jc w:val="both"/>
      </w:pPr>
      <w:r>
        <w:rPr>
          <w:rFonts w:ascii="仿宋_GB2312" w:hAnsi="仿宋_GB2312" w:eastAsia="仿宋_GB2312"/>
          <w:b w:val="0"/>
          <w:sz w:val="32"/>
        </w:rPr>
        <w:t>九、《财政拨款“三公”经费支出决算表》</w:t>
      </w:r>
    </w:p>
    <w:p w14:paraId="4CE6F693">
      <w:pPr>
        <w:spacing w:line="240" w:lineRule="auto"/>
        <w:ind w:firstLine="640"/>
        <w:jc w:val="both"/>
      </w:pPr>
    </w:p>
    <w:p w14:paraId="203DC4BC">
      <w:pPr>
        <w:spacing w:line="240" w:lineRule="auto"/>
        <w:ind w:firstLine="640"/>
        <w:jc w:val="both"/>
      </w:pPr>
    </w:p>
    <w:p w14:paraId="30054981">
      <w:pPr>
        <w:spacing w:line="240" w:lineRule="auto"/>
        <w:ind w:firstLine="640"/>
        <w:jc w:val="both"/>
      </w:pPr>
    </w:p>
    <w:p w14:paraId="0D2162A1">
      <w:pPr>
        <w:spacing w:line="240" w:lineRule="auto"/>
        <w:ind w:firstLine="640"/>
        <w:jc w:val="both"/>
      </w:pPr>
    </w:p>
    <w:p w14:paraId="789DEA2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DBD9B8-6A89-4030-93D6-FB968A09F9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F54F97E9-9C0A-49CD-AC31-C595D20759A4}"/>
  </w:font>
  <w:font w:name="仿宋_GB2312">
    <w:panose1 w:val="02010609030101010101"/>
    <w:charset w:val="86"/>
    <w:family w:val="auto"/>
    <w:pitch w:val="default"/>
    <w:sig w:usb0="00000001" w:usb1="080E0000" w:usb2="00000000" w:usb3="00000000" w:csb0="00040000" w:csb1="00000000"/>
    <w:embedRegular r:id="rId3" w:fontKey="{DBF7CA63-F50F-4B72-A504-9C772B173C8F}"/>
  </w:font>
  <w:font w:name="楷体_GB2312">
    <w:panose1 w:val="02010609030101010101"/>
    <w:charset w:val="86"/>
    <w:family w:val="auto"/>
    <w:pitch w:val="default"/>
    <w:sig w:usb0="00000001" w:usb1="080E0000" w:usb2="00000000" w:usb3="00000000" w:csb0="00040000" w:csb1="00000000"/>
    <w:embedRegular r:id="rId4" w:fontKey="{64439606-9669-44E9-9D19-C6463A0853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F1755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7D07F3"/>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1E42FD"/>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5835</Words>
  <Characters>6621</Characters>
  <Lines>0</Lines>
  <Paragraphs>0</Paragraphs>
  <TotalTime>5</TotalTime>
  <ScaleCrop>false</ScaleCrop>
  <LinksUpToDate>false</LinksUpToDate>
  <CharactersWithSpaces>6631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2025-09-17T11:29:03Z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