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伽师县爱国卫生运动服务中心2024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03C69D">
      <w:r>
        <w:br w:type="page"/>
      </w:r>
    </w:p>
    <w:p w14:paraId="0C34D660">
      <w:pPr>
        <w:spacing w:line="640" w:lineRule="exact"/>
        <w:jc w:val="center"/>
        <w:outlineLvl w:val="1"/>
      </w:pPr>
      <w:r>
        <w:rPr>
          <w:rFonts w:ascii="黑体" w:hAnsi="黑体" w:eastAsia="黑体"/>
          <w:sz w:val="32"/>
        </w:rPr>
        <w:t>第一部分 单位概况</w:t>
      </w:r>
    </w:p>
    <w:p w14:paraId="1A82CB99">
      <w:pPr>
        <w:spacing w:line="640" w:lineRule="exact"/>
        <w:ind w:firstLine="640"/>
        <w:jc w:val="both"/>
        <w:outlineLvl w:val="2"/>
      </w:pPr>
      <w:r>
        <w:rPr>
          <w:rFonts w:ascii="黑体" w:hAnsi="黑体" w:eastAsia="黑体"/>
          <w:sz w:val="32"/>
        </w:rPr>
        <w:t>一、主要职能</w:t>
      </w:r>
    </w:p>
    <w:p w14:paraId="0FD691A5">
      <w:pPr>
        <w:spacing w:line="580" w:lineRule="exact"/>
        <w:ind w:firstLine="640"/>
        <w:jc w:val="both"/>
      </w:pPr>
      <w:r>
        <w:rPr>
          <w:rFonts w:ascii="仿宋_GB2312" w:hAnsi="仿宋_GB2312" w:eastAsia="仿宋_GB2312"/>
          <w:sz w:val="32"/>
        </w:rPr>
        <w:t>（1）组织、宣传、贯彻国家、自治区关于爱国卫生工作的法律法规和方针政策。</w:t>
      </w:r>
    </w:p>
    <w:p w14:paraId="3ED9453E">
      <w:pPr>
        <w:spacing w:line="580" w:lineRule="exact"/>
        <w:ind w:firstLine="640"/>
        <w:jc w:val="both"/>
      </w:pPr>
      <w:r>
        <w:rPr>
          <w:rFonts w:ascii="仿宋_GB2312" w:hAnsi="仿宋_GB2312" w:eastAsia="仿宋_GB2312"/>
          <w:sz w:val="32"/>
        </w:rPr>
        <w:t>（2）牵头协调各乡镇、部门、社区开展爱国卫生运动，推动跨部门协作。</w:t>
      </w:r>
    </w:p>
    <w:p w14:paraId="262CD025">
      <w:pPr>
        <w:spacing w:line="580" w:lineRule="exact"/>
        <w:ind w:firstLine="640"/>
        <w:jc w:val="both"/>
      </w:pPr>
      <w:r>
        <w:rPr>
          <w:rFonts w:ascii="仿宋_GB2312" w:hAnsi="仿宋_GB2312" w:eastAsia="仿宋_GB2312"/>
          <w:sz w:val="32"/>
        </w:rPr>
        <w:t>（3）开展创建卫生城市、卫生乡镇、村和卫生单位活动。</w:t>
      </w:r>
    </w:p>
    <w:p w14:paraId="40469276">
      <w:pPr>
        <w:spacing w:line="580" w:lineRule="exact"/>
        <w:ind w:firstLine="640"/>
        <w:jc w:val="both"/>
      </w:pPr>
      <w:r>
        <w:rPr>
          <w:rFonts w:ascii="仿宋_GB2312" w:hAnsi="仿宋_GB2312" w:eastAsia="仿宋_GB2312"/>
          <w:sz w:val="32"/>
        </w:rPr>
        <w:t>（4）组织全民参加爱国卫生和健康教育活动。</w:t>
      </w:r>
    </w:p>
    <w:p w14:paraId="6F09A1A1">
      <w:pPr>
        <w:spacing w:line="580" w:lineRule="exact"/>
        <w:ind w:firstLine="640"/>
        <w:jc w:val="both"/>
      </w:pPr>
      <w:r>
        <w:rPr>
          <w:rFonts w:ascii="仿宋_GB2312" w:hAnsi="仿宋_GB2312" w:eastAsia="仿宋_GB2312"/>
          <w:sz w:val="32"/>
        </w:rPr>
        <w:t>（5）开展疾病预防、健康生活方式、传染病防控等科普宣传，推动无烟机关、无烟学校等建设，监督公共场所控烟。</w:t>
      </w:r>
    </w:p>
    <w:p w14:paraId="4D76E57F">
      <w:pPr>
        <w:spacing w:line="580" w:lineRule="exact"/>
        <w:ind w:firstLine="640"/>
        <w:jc w:val="both"/>
      </w:pPr>
      <w:r>
        <w:rPr>
          <w:rFonts w:ascii="仿宋_GB2312" w:hAnsi="仿宋_GB2312" w:eastAsia="仿宋_GB2312"/>
          <w:sz w:val="32"/>
        </w:rPr>
        <w:t>（6）指导城乡环境卫生改善，重点推进农村改厕、垃圾污水处理等环境卫生综合整治工作。</w:t>
      </w:r>
    </w:p>
    <w:p w14:paraId="3161F4AE">
      <w:pPr>
        <w:spacing w:line="580" w:lineRule="exact"/>
        <w:ind w:firstLine="640"/>
        <w:jc w:val="both"/>
      </w:pPr>
      <w:r>
        <w:rPr>
          <w:rFonts w:ascii="仿宋_GB2312" w:hAnsi="仿宋_GB2312" w:eastAsia="仿宋_GB2312"/>
          <w:sz w:val="32"/>
        </w:rPr>
        <w:t>（7）对公共场所、餐饮单位、农贸市场等开展卫生检查，督促整改环境卫生问题。</w:t>
      </w:r>
    </w:p>
    <w:p w14:paraId="4BB2C238">
      <w:pPr>
        <w:spacing w:line="580" w:lineRule="exact"/>
        <w:ind w:firstLine="640"/>
        <w:jc w:val="both"/>
      </w:pPr>
      <w:r>
        <w:rPr>
          <w:rFonts w:ascii="仿宋_GB2312" w:hAnsi="仿宋_GB2312" w:eastAsia="仿宋_GB2312"/>
          <w:sz w:val="32"/>
        </w:rPr>
        <w:t>（8）组织病媒生物消杀工作，降低蚊蝇鼠蟑等媒介传染病风险。</w:t>
      </w:r>
    </w:p>
    <w:p w14:paraId="69E659D4">
      <w:pPr>
        <w:spacing w:line="580" w:lineRule="exact"/>
        <w:ind w:firstLine="640"/>
        <w:jc w:val="both"/>
      </w:pPr>
      <w:r>
        <w:rPr>
          <w:rFonts w:ascii="仿宋_GB2312" w:hAnsi="仿宋_GB2312" w:eastAsia="仿宋_GB2312"/>
          <w:sz w:val="32"/>
        </w:rPr>
        <w:t>（9）完成本级部门交办的其他爱国卫生工作。</w:t>
      </w:r>
    </w:p>
    <w:p w14:paraId="28B3A9D0">
      <w:pPr>
        <w:spacing w:line="640" w:lineRule="exact"/>
        <w:ind w:firstLine="640"/>
        <w:jc w:val="both"/>
        <w:outlineLvl w:val="2"/>
      </w:pPr>
      <w:r>
        <w:rPr>
          <w:rFonts w:ascii="黑体" w:hAnsi="黑体" w:eastAsia="黑体"/>
          <w:sz w:val="32"/>
        </w:rPr>
        <w:t>二、机构设置及人员情况</w:t>
      </w:r>
    </w:p>
    <w:p w14:paraId="68AB5578">
      <w:pPr>
        <w:spacing w:line="580" w:lineRule="exact"/>
        <w:ind w:firstLine="640"/>
        <w:jc w:val="both"/>
      </w:pPr>
      <w:r>
        <w:rPr>
          <w:rFonts w:ascii="仿宋_GB2312" w:hAnsi="仿宋_GB2312" w:eastAsia="仿宋_GB2312"/>
          <w:sz w:val="32"/>
        </w:rPr>
        <w:t>伽师县爱国卫生运动服务中心2024年度，实有人数9人，其中：在职人员4人，增加1人；离休人员0人，增加0人；退休人员5人,增加1人。</w:t>
      </w:r>
    </w:p>
    <w:p w14:paraId="36DB13D5">
      <w:pPr>
        <w:spacing w:line="580" w:lineRule="exact"/>
        <w:ind w:firstLine="640"/>
        <w:jc w:val="both"/>
      </w:pPr>
      <w:r>
        <w:rPr>
          <w:rFonts w:ascii="仿宋_GB2312" w:hAnsi="仿宋_GB2312" w:eastAsia="仿宋_GB2312"/>
          <w:sz w:val="32"/>
        </w:rPr>
        <w:t>伽师县爱国卫生运动服务中心无下属预算单位，下设1个科室，分别是：办公室。</w:t>
      </w:r>
    </w:p>
    <w:p w14:paraId="5FC80B5D">
      <w:r>
        <w:br w:type="page"/>
      </w:r>
    </w:p>
    <w:p w14:paraId="75024DD8">
      <w:pPr>
        <w:spacing w:line="240" w:lineRule="auto"/>
        <w:jc w:val="center"/>
        <w:outlineLvl w:val="1"/>
      </w:pPr>
      <w:r>
        <w:rPr>
          <w:rFonts w:ascii="黑体" w:hAnsi="黑体" w:eastAsia="黑体"/>
          <w:sz w:val="32"/>
        </w:rPr>
        <w:t>第二部分 部门决算情况说明</w:t>
      </w:r>
    </w:p>
    <w:p w14:paraId="2438A861">
      <w:pPr>
        <w:spacing w:line="640" w:lineRule="exact"/>
        <w:ind w:firstLine="640"/>
        <w:jc w:val="both"/>
        <w:outlineLvl w:val="2"/>
      </w:pPr>
      <w:r>
        <w:rPr>
          <w:rFonts w:ascii="黑体" w:hAnsi="黑体" w:eastAsia="黑体"/>
          <w:sz w:val="32"/>
        </w:rPr>
        <w:t>一、收入支出决算总体情况说明</w:t>
      </w:r>
    </w:p>
    <w:p w14:paraId="065721D7">
      <w:pPr>
        <w:spacing w:line="580" w:lineRule="exact"/>
        <w:ind w:firstLine="640"/>
        <w:jc w:val="both"/>
      </w:pPr>
      <w:r>
        <w:rPr>
          <w:rFonts w:ascii="仿宋_GB2312" w:hAnsi="仿宋_GB2312" w:eastAsia="仿宋_GB2312"/>
          <w:b/>
          <w:sz w:val="32"/>
        </w:rPr>
        <w:t>2024年度收入总计65.35万元，</w:t>
      </w:r>
      <w:r>
        <w:rPr>
          <w:rFonts w:ascii="仿宋_GB2312" w:hAnsi="仿宋_GB2312" w:eastAsia="仿宋_GB2312"/>
          <w:b w:val="0"/>
          <w:sz w:val="32"/>
        </w:rPr>
        <w:t>其中：本年收入合计65.35万元，使用非财政拨款结余（含专用结余）0.00万元，年初结转和结余0.00万元。</w:t>
      </w:r>
    </w:p>
    <w:p w14:paraId="41F9DA80">
      <w:pPr>
        <w:spacing w:line="580" w:lineRule="exact"/>
        <w:ind w:firstLine="640"/>
        <w:jc w:val="both"/>
      </w:pPr>
      <w:r>
        <w:rPr>
          <w:rFonts w:ascii="仿宋_GB2312" w:hAnsi="仿宋_GB2312" w:eastAsia="仿宋_GB2312"/>
          <w:b/>
          <w:sz w:val="32"/>
        </w:rPr>
        <w:t>2024年度支出总计65.35万元，</w:t>
      </w:r>
      <w:r>
        <w:rPr>
          <w:rFonts w:ascii="仿宋_GB2312" w:hAnsi="仿宋_GB2312" w:eastAsia="仿宋_GB2312"/>
          <w:b w:val="0"/>
          <w:sz w:val="32"/>
        </w:rPr>
        <w:t>其中：本年支出合计65.35万元，结余分配0.00万元，年末结转和结余0.00万元。</w:t>
      </w:r>
    </w:p>
    <w:p w14:paraId="5FFE4BFD">
      <w:pPr>
        <w:spacing w:line="580" w:lineRule="exact"/>
        <w:ind w:firstLine="640"/>
        <w:jc w:val="both"/>
      </w:pPr>
      <w:r>
        <w:rPr>
          <w:rFonts w:ascii="仿宋_GB2312" w:hAnsi="仿宋_GB2312" w:eastAsia="仿宋_GB2312"/>
          <w:b w:val="0"/>
          <w:sz w:val="32"/>
        </w:rPr>
        <w:t>收入支出总体与上年相比，减少84.66万元，下降56.44%，主要原因是：本年</w:t>
      </w:r>
      <w:r>
        <w:rPr>
          <w:rFonts w:hint="eastAsia" w:ascii="仿宋_GB2312" w:hAnsi="仿宋_GB2312" w:eastAsia="仿宋_GB2312"/>
          <w:b w:val="0"/>
          <w:sz w:val="32"/>
          <w:lang w:val="en-US" w:eastAsia="zh-CN"/>
        </w:rPr>
        <w:t>存在</w:t>
      </w:r>
      <w:r>
        <w:rPr>
          <w:rFonts w:ascii="仿宋_GB2312" w:hAnsi="仿宋_GB2312" w:eastAsia="仿宋_GB2312"/>
          <w:b w:val="0"/>
          <w:sz w:val="32"/>
        </w:rPr>
        <w:t>调入</w:t>
      </w:r>
      <w:r>
        <w:rPr>
          <w:rFonts w:hint="eastAsia" w:ascii="仿宋_GB2312" w:hAnsi="仿宋_GB2312" w:eastAsia="仿宋_GB2312"/>
          <w:b w:val="0"/>
          <w:sz w:val="32"/>
          <w:lang w:val="en-US" w:eastAsia="zh-CN"/>
        </w:rPr>
        <w:t>人员，退休人员</w:t>
      </w:r>
      <w:r>
        <w:rPr>
          <w:rFonts w:ascii="仿宋_GB2312" w:hAnsi="仿宋_GB2312" w:eastAsia="仿宋_GB2312"/>
          <w:b w:val="0"/>
          <w:sz w:val="32"/>
        </w:rPr>
        <w:t>，人员职级不同，工资基数不同，导致人员经费较上年减少。本年减少灭鼠专用材料费。</w:t>
      </w:r>
    </w:p>
    <w:p w14:paraId="1F4B795F">
      <w:pPr>
        <w:spacing w:line="640" w:lineRule="exact"/>
        <w:ind w:firstLine="640"/>
        <w:jc w:val="both"/>
        <w:outlineLvl w:val="2"/>
      </w:pPr>
      <w:r>
        <w:rPr>
          <w:rFonts w:ascii="黑体" w:hAnsi="黑体" w:eastAsia="黑体"/>
          <w:sz w:val="32"/>
        </w:rPr>
        <w:t>二、收入决算情况说明</w:t>
      </w:r>
    </w:p>
    <w:p w14:paraId="774FCF71">
      <w:pPr>
        <w:spacing w:line="580" w:lineRule="exact"/>
        <w:ind w:firstLine="640"/>
        <w:jc w:val="both"/>
      </w:pPr>
      <w:r>
        <w:rPr>
          <w:rFonts w:ascii="仿宋_GB2312" w:hAnsi="仿宋_GB2312" w:eastAsia="仿宋_GB2312"/>
          <w:b/>
          <w:sz w:val="32"/>
        </w:rPr>
        <w:t>本年收入65.35万元，</w:t>
      </w:r>
      <w:r>
        <w:rPr>
          <w:rFonts w:ascii="仿宋_GB2312" w:hAnsi="仿宋_GB2312" w:eastAsia="仿宋_GB2312"/>
          <w:b w:val="0"/>
          <w:sz w:val="32"/>
        </w:rPr>
        <w:t>其中：财政拨款收入65.35万元，占100.00%；上级补助收入0.00万元，占0.00%；事业收入0.00万元，占0.00%；经营收入0.00万元，占0.00%；附属单位上缴收入0.00万元，占0.00%；其他收入0.00万元，占0.00%。</w:t>
      </w:r>
    </w:p>
    <w:p w14:paraId="740C1718">
      <w:pPr>
        <w:spacing w:line="640" w:lineRule="exact"/>
        <w:ind w:firstLine="640"/>
        <w:jc w:val="both"/>
        <w:outlineLvl w:val="2"/>
      </w:pPr>
      <w:r>
        <w:rPr>
          <w:rFonts w:ascii="黑体" w:hAnsi="黑体" w:eastAsia="黑体"/>
          <w:sz w:val="32"/>
        </w:rPr>
        <w:t>三、支出决算情况说明</w:t>
      </w:r>
    </w:p>
    <w:p w14:paraId="18FBD659">
      <w:pPr>
        <w:spacing w:line="580" w:lineRule="exact"/>
        <w:ind w:firstLine="640"/>
        <w:jc w:val="both"/>
      </w:pPr>
      <w:r>
        <w:rPr>
          <w:rFonts w:ascii="仿宋_GB2312" w:hAnsi="仿宋_GB2312" w:eastAsia="仿宋_GB2312"/>
          <w:b/>
          <w:sz w:val="32"/>
        </w:rPr>
        <w:t>本年支出65.35万元，</w:t>
      </w:r>
      <w:r>
        <w:rPr>
          <w:rFonts w:ascii="仿宋_GB2312" w:hAnsi="仿宋_GB2312" w:eastAsia="仿宋_GB2312"/>
          <w:b w:val="0"/>
          <w:sz w:val="32"/>
        </w:rPr>
        <w:t>其中：基本支出65.35万元，占100.00%；项目支出0.00万元，占0.00%；上缴上级支出0.00万元，占0.00%；经营支出0.00万元，占0.00%；对附属单位补助支出0.00万元，占0.00%。</w:t>
      </w:r>
    </w:p>
    <w:p w14:paraId="34327792">
      <w:pPr>
        <w:spacing w:line="640" w:lineRule="exact"/>
        <w:ind w:firstLine="640"/>
        <w:jc w:val="both"/>
        <w:outlineLvl w:val="2"/>
      </w:pPr>
      <w:r>
        <w:rPr>
          <w:rFonts w:ascii="黑体" w:hAnsi="黑体" w:eastAsia="黑体"/>
          <w:sz w:val="32"/>
        </w:rPr>
        <w:t>四、财政拨款收入支出决算总体情况说明</w:t>
      </w:r>
    </w:p>
    <w:p w14:paraId="41C51404">
      <w:pPr>
        <w:spacing w:line="580" w:lineRule="exact"/>
        <w:ind w:firstLine="640"/>
        <w:jc w:val="both"/>
      </w:pPr>
      <w:r>
        <w:rPr>
          <w:rFonts w:ascii="仿宋_GB2312" w:hAnsi="仿宋_GB2312" w:eastAsia="仿宋_GB2312"/>
          <w:b/>
          <w:sz w:val="32"/>
        </w:rPr>
        <w:t>2024年度财政拨款收入总计65.35万元，</w:t>
      </w:r>
      <w:r>
        <w:rPr>
          <w:rFonts w:ascii="仿宋_GB2312" w:hAnsi="仿宋_GB2312" w:eastAsia="仿宋_GB2312"/>
          <w:b w:val="0"/>
          <w:sz w:val="32"/>
        </w:rPr>
        <w:t>其中：年初财政拨款结转和结余0.00万元，本年财政拨款收入65.35万元。</w:t>
      </w:r>
      <w:r>
        <w:rPr>
          <w:rFonts w:ascii="仿宋_GB2312" w:hAnsi="仿宋_GB2312" w:eastAsia="仿宋_GB2312"/>
          <w:b/>
          <w:sz w:val="32"/>
        </w:rPr>
        <w:t>财政拨款支出总计65.35万元，</w:t>
      </w:r>
      <w:r>
        <w:rPr>
          <w:rFonts w:ascii="仿宋_GB2312" w:hAnsi="仿宋_GB2312" w:eastAsia="仿宋_GB2312"/>
          <w:b w:val="0"/>
          <w:sz w:val="32"/>
        </w:rPr>
        <w:t>其中：年末财政拨款结转和结余0.00万元，本年财政拨款支出65.35万元。</w:t>
      </w:r>
    </w:p>
    <w:p w14:paraId="2732F12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减少84.66万元，下降56.44%，主要原因是：本年</w:t>
      </w:r>
      <w:r>
        <w:rPr>
          <w:rFonts w:hint="eastAsia" w:ascii="仿宋_GB2312" w:hAnsi="仿宋_GB2312" w:eastAsia="仿宋_GB2312"/>
          <w:b w:val="0"/>
          <w:sz w:val="32"/>
          <w:lang w:val="en-US" w:eastAsia="zh-CN"/>
        </w:rPr>
        <w:t>存在</w:t>
      </w:r>
      <w:r>
        <w:rPr>
          <w:rFonts w:ascii="仿宋_GB2312" w:hAnsi="仿宋_GB2312" w:eastAsia="仿宋_GB2312"/>
          <w:b w:val="0"/>
          <w:sz w:val="32"/>
        </w:rPr>
        <w:t>调入</w:t>
      </w:r>
      <w:r>
        <w:rPr>
          <w:rFonts w:hint="eastAsia" w:ascii="仿宋_GB2312" w:hAnsi="仿宋_GB2312" w:eastAsia="仿宋_GB2312"/>
          <w:b w:val="0"/>
          <w:sz w:val="32"/>
          <w:lang w:val="en-US" w:eastAsia="zh-CN"/>
        </w:rPr>
        <w:t>人员，退休人员</w:t>
      </w:r>
      <w:r>
        <w:rPr>
          <w:rFonts w:ascii="仿宋_GB2312" w:hAnsi="仿宋_GB2312" w:eastAsia="仿宋_GB2312"/>
          <w:b w:val="0"/>
          <w:sz w:val="32"/>
        </w:rPr>
        <w:t>，人员职级不同，工资基数不同，导致人员经费较上年减少。本年减少灭鼠专用材料费。</w:t>
      </w:r>
      <w:r>
        <w:rPr>
          <w:rFonts w:ascii="仿宋_GB2312" w:hAnsi="仿宋_GB2312" w:eastAsia="仿宋_GB2312"/>
          <w:b/>
          <w:sz w:val="32"/>
        </w:rPr>
        <w:t>与年初预算相比，</w:t>
      </w:r>
      <w:r>
        <w:rPr>
          <w:rFonts w:ascii="仿宋_GB2312" w:hAnsi="仿宋_GB2312" w:eastAsia="仿宋_GB2312"/>
          <w:b w:val="0"/>
          <w:sz w:val="32"/>
        </w:rPr>
        <w:t>年初预算数85.85万元，决算数65.35万元，预决算差异率-23.88%，主要原因是：本年在职人员调入和在职转退休人员工资差额较大，年中调减人员经费，导致预决算存在差异。</w:t>
      </w:r>
    </w:p>
    <w:p w14:paraId="2DA85857">
      <w:pPr>
        <w:spacing w:line="640" w:lineRule="exact"/>
        <w:ind w:firstLine="640"/>
        <w:jc w:val="both"/>
        <w:outlineLvl w:val="2"/>
      </w:pPr>
      <w:r>
        <w:rPr>
          <w:rFonts w:ascii="黑体" w:hAnsi="黑体" w:eastAsia="黑体"/>
          <w:sz w:val="32"/>
        </w:rPr>
        <w:t>五、一般公共预算财政拨款支出决算情况说明</w:t>
      </w:r>
    </w:p>
    <w:p w14:paraId="3979651A">
      <w:pPr>
        <w:spacing w:line="640" w:lineRule="exact"/>
        <w:ind w:firstLine="640"/>
        <w:jc w:val="both"/>
        <w:outlineLvl w:val="3"/>
      </w:pPr>
      <w:r>
        <w:rPr>
          <w:rFonts w:ascii="楷体_GB2312" w:hAnsi="楷体_GB2312" w:eastAsia="楷体_GB2312"/>
          <w:b/>
          <w:sz w:val="32"/>
        </w:rPr>
        <w:t>（一）一般公共预算财政拨款支出决算总体情况</w:t>
      </w:r>
    </w:p>
    <w:p w14:paraId="10ACE4A7">
      <w:pPr>
        <w:spacing w:line="580" w:lineRule="exact"/>
        <w:ind w:firstLine="640"/>
        <w:jc w:val="both"/>
      </w:pPr>
      <w:r>
        <w:rPr>
          <w:rFonts w:ascii="仿宋_GB2312" w:hAnsi="仿宋_GB2312" w:eastAsia="仿宋_GB2312"/>
          <w:b/>
          <w:sz w:val="32"/>
        </w:rPr>
        <w:t>2024年度一般公共预算财政拨款支出65.35万元，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减少84.66万元，下降56.44%，主要原因是：本年</w:t>
      </w:r>
      <w:r>
        <w:rPr>
          <w:rFonts w:hint="eastAsia" w:ascii="仿宋_GB2312" w:hAnsi="仿宋_GB2312" w:eastAsia="仿宋_GB2312"/>
          <w:b w:val="0"/>
          <w:sz w:val="32"/>
          <w:lang w:val="en-US" w:eastAsia="zh-CN"/>
        </w:rPr>
        <w:t>存在</w:t>
      </w:r>
      <w:r>
        <w:rPr>
          <w:rFonts w:ascii="仿宋_GB2312" w:hAnsi="仿宋_GB2312" w:eastAsia="仿宋_GB2312"/>
          <w:b w:val="0"/>
          <w:sz w:val="32"/>
        </w:rPr>
        <w:t>调入</w:t>
      </w:r>
      <w:r>
        <w:rPr>
          <w:rFonts w:hint="eastAsia" w:ascii="仿宋_GB2312" w:hAnsi="仿宋_GB2312" w:eastAsia="仿宋_GB2312"/>
          <w:b w:val="0"/>
          <w:sz w:val="32"/>
          <w:lang w:val="en-US" w:eastAsia="zh-CN"/>
        </w:rPr>
        <w:t>人员，退休人员</w:t>
      </w:r>
      <w:r>
        <w:rPr>
          <w:rFonts w:ascii="仿宋_GB2312" w:hAnsi="仿宋_GB2312" w:eastAsia="仿宋_GB2312"/>
          <w:b w:val="0"/>
          <w:sz w:val="32"/>
        </w:rPr>
        <w:t>，人员职级不同，工资基数不同，导致人员经费较上年减少。本年减少灭鼠专用材料费。</w:t>
      </w:r>
      <w:r>
        <w:rPr>
          <w:rFonts w:ascii="仿宋_GB2312" w:hAnsi="仿宋_GB2312" w:eastAsia="仿宋_GB2312"/>
          <w:b/>
          <w:sz w:val="32"/>
        </w:rPr>
        <w:t>与年初预算相比,</w:t>
      </w:r>
      <w:r>
        <w:rPr>
          <w:rFonts w:ascii="仿宋_GB2312" w:hAnsi="仿宋_GB2312" w:eastAsia="仿宋_GB2312"/>
          <w:b w:val="0"/>
          <w:sz w:val="32"/>
        </w:rPr>
        <w:t>年初预算数85.85万元，决算数65.35万元，预决算差异率-23.88%，主要原因是：本年在职人员调入和在职转退休人员工资差额较大，年中调减人员经费，导致预决算存在差异。</w:t>
      </w:r>
    </w:p>
    <w:p w14:paraId="7295D4B4">
      <w:pPr>
        <w:spacing w:line="640" w:lineRule="exact"/>
        <w:ind w:firstLine="640"/>
        <w:jc w:val="both"/>
        <w:outlineLvl w:val="3"/>
      </w:pPr>
      <w:r>
        <w:rPr>
          <w:rFonts w:ascii="楷体_GB2312" w:hAnsi="楷体_GB2312" w:eastAsia="楷体_GB2312"/>
          <w:b/>
          <w:sz w:val="32"/>
        </w:rPr>
        <w:t>（二）一般公共预算财政拨款支出决算结构情况</w:t>
      </w:r>
    </w:p>
    <w:p w14:paraId="2F147ACB">
      <w:pPr>
        <w:spacing w:line="580" w:lineRule="exact"/>
        <w:ind w:firstLine="640"/>
        <w:jc w:val="both"/>
      </w:pPr>
      <w:r>
        <w:rPr>
          <w:rFonts w:ascii="仿宋_GB2312" w:hAnsi="仿宋_GB2312" w:eastAsia="仿宋_GB2312"/>
          <w:b w:val="0"/>
          <w:sz w:val="32"/>
        </w:rPr>
        <w:t>1.社会保障和就业支出(类)11.49万元,占17.58%。</w:t>
      </w:r>
    </w:p>
    <w:p w14:paraId="4EEFB965">
      <w:pPr>
        <w:spacing w:line="580" w:lineRule="exact"/>
        <w:ind w:firstLine="640"/>
        <w:jc w:val="both"/>
      </w:pPr>
      <w:r>
        <w:rPr>
          <w:rFonts w:ascii="仿宋_GB2312" w:hAnsi="仿宋_GB2312" w:eastAsia="仿宋_GB2312"/>
          <w:b w:val="0"/>
          <w:sz w:val="32"/>
        </w:rPr>
        <w:t>2.卫生健康支出(类)48.97万元,占74.93%。</w:t>
      </w:r>
    </w:p>
    <w:p w14:paraId="372D03F0">
      <w:pPr>
        <w:spacing w:line="580" w:lineRule="exact"/>
        <w:ind w:firstLine="640"/>
        <w:jc w:val="both"/>
      </w:pPr>
      <w:r>
        <w:rPr>
          <w:rFonts w:ascii="仿宋_GB2312" w:hAnsi="仿宋_GB2312" w:eastAsia="仿宋_GB2312"/>
          <w:b w:val="0"/>
          <w:sz w:val="32"/>
        </w:rPr>
        <w:t>3.住房保障支出(类)4.89万元,占7.48%。</w:t>
      </w:r>
    </w:p>
    <w:p w14:paraId="7D5624C7">
      <w:pPr>
        <w:spacing w:line="640" w:lineRule="exact"/>
        <w:ind w:firstLine="640"/>
        <w:jc w:val="both"/>
        <w:outlineLvl w:val="3"/>
      </w:pPr>
      <w:r>
        <w:rPr>
          <w:rFonts w:ascii="楷体_GB2312" w:hAnsi="楷体_GB2312" w:eastAsia="楷体_GB2312"/>
          <w:b/>
          <w:sz w:val="32"/>
        </w:rPr>
        <w:t>（三）一般公共预算财政拨款支出决算具体情况</w:t>
      </w:r>
    </w:p>
    <w:p w14:paraId="62432183">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1.社会保障和就业支出(类)行政事业单位养老支出(款)行政单位离退休(项):支出决算数为5.63万元，比上年决算增加1.98万元，增长54.25%,主要原因是：本年退休人员增加，退休费支出增加。</w:t>
      </w:r>
    </w:p>
    <w:p w14:paraId="081F26C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2.社会保障和就业支出(类)行政事业单位养老支出(款)机关事业单位基本养老保险缴费支出(项):支出决算数为5.86万元，比上年决算减少1.53万元，下降20.70%,主要原因是：本年</w:t>
      </w:r>
      <w:r>
        <w:rPr>
          <w:rFonts w:hint="eastAsia" w:ascii="仿宋_GB2312" w:hAnsi="仿宋_GB2312" w:eastAsia="仿宋_GB2312"/>
          <w:b w:val="0"/>
          <w:sz w:val="32"/>
          <w:lang w:val="en-US" w:eastAsia="zh-CN"/>
        </w:rPr>
        <w:t>存在调入人员，退休人员</w:t>
      </w:r>
      <w:r>
        <w:rPr>
          <w:rFonts w:ascii="仿宋_GB2312" w:hAnsi="仿宋_GB2312" w:eastAsia="仿宋_GB2312"/>
          <w:b w:val="0"/>
          <w:sz w:val="32"/>
        </w:rPr>
        <w:t>，人员职级不同，缴费基数不同，导致养老保险缴费较上年减少。</w:t>
      </w:r>
    </w:p>
    <w:p w14:paraId="782BEC5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16.46万元，下降100.00%,主要原因是：本年新增退休人员职业年金次年做实，相应支出减少。</w:t>
      </w:r>
    </w:p>
    <w:p w14:paraId="726FDDB2">
      <w:pPr>
        <w:spacing w:line="580" w:lineRule="exact"/>
        <w:ind w:firstLine="640"/>
        <w:jc w:val="both"/>
      </w:pPr>
      <w:r>
        <w:rPr>
          <w:rFonts w:ascii="仿宋_GB2312" w:hAnsi="仿宋_GB2312" w:eastAsia="仿宋_GB2312"/>
          <w:b w:val="0"/>
          <w:sz w:val="32"/>
        </w:rPr>
        <w:t>4.卫生健康支出(类)卫生健康管理事务(款)行政运行(项):支出决算数为45.75万元，比上年决算减少66.85万元，下降59.37%,主要原因是：本年</w:t>
      </w:r>
      <w:r>
        <w:rPr>
          <w:rFonts w:hint="eastAsia" w:ascii="仿宋_GB2312" w:hAnsi="仿宋_GB2312" w:eastAsia="仿宋_GB2312"/>
          <w:b w:val="0"/>
          <w:sz w:val="32"/>
          <w:lang w:val="en-US" w:eastAsia="zh-CN"/>
        </w:rPr>
        <w:t>存在调入人员，退休人员</w:t>
      </w:r>
      <w:r>
        <w:rPr>
          <w:rFonts w:ascii="仿宋_GB2312" w:hAnsi="仿宋_GB2312" w:eastAsia="仿宋_GB2312"/>
          <w:b w:val="0"/>
          <w:sz w:val="32"/>
        </w:rPr>
        <w:t>，人员职级不同，工资基数不同，导致人员经费较上年减少。本年减少灭鼠专用材料费。</w:t>
      </w:r>
    </w:p>
    <w:p w14:paraId="4CCDCA89">
      <w:pPr>
        <w:spacing w:line="580" w:lineRule="exact"/>
        <w:ind w:firstLine="640"/>
        <w:jc w:val="both"/>
      </w:pPr>
      <w:r>
        <w:rPr>
          <w:rFonts w:ascii="仿宋_GB2312" w:hAnsi="仿宋_GB2312" w:eastAsia="仿宋_GB2312"/>
          <w:b w:val="0"/>
          <w:sz w:val="32"/>
        </w:rPr>
        <w:t>5.卫生健康支出(类)行政事业单位医疗(款)行政单位医疗(项):支出决算数为2.49万元，比上年决算减少0.68万元，下降21.45%,主要原因是：本年</w:t>
      </w:r>
      <w:r>
        <w:rPr>
          <w:rFonts w:hint="eastAsia" w:ascii="仿宋_GB2312" w:hAnsi="仿宋_GB2312" w:eastAsia="仿宋_GB2312"/>
          <w:b w:val="0"/>
          <w:sz w:val="32"/>
          <w:lang w:val="en-US" w:eastAsia="zh-CN"/>
        </w:rPr>
        <w:t>存在调入人员，退休人员</w:t>
      </w:r>
      <w:r>
        <w:rPr>
          <w:rFonts w:ascii="仿宋_GB2312" w:hAnsi="仿宋_GB2312" w:eastAsia="仿宋_GB2312"/>
          <w:b w:val="0"/>
          <w:sz w:val="32"/>
        </w:rPr>
        <w:t>，人员职级不同，缴费基数不同，导致行政单位医疗支出较上年减少。</w:t>
      </w:r>
    </w:p>
    <w:p w14:paraId="57E536EA">
      <w:pPr>
        <w:spacing w:line="580" w:lineRule="exact"/>
        <w:ind w:firstLine="640"/>
        <w:jc w:val="both"/>
      </w:pPr>
      <w:r>
        <w:rPr>
          <w:rFonts w:ascii="仿宋_GB2312" w:hAnsi="仿宋_GB2312" w:eastAsia="仿宋_GB2312"/>
          <w:b w:val="0"/>
          <w:sz w:val="32"/>
        </w:rPr>
        <w:t>6.卫生健康支出(类)行政事业单位医疗(款)公务员医疗补助(项):支出决算数为0.73万元，比上年决算减少0.20万元，下降21.51%,主要原因是：本年</w:t>
      </w:r>
      <w:r>
        <w:rPr>
          <w:rFonts w:hint="eastAsia" w:ascii="仿宋_GB2312" w:hAnsi="仿宋_GB2312" w:eastAsia="仿宋_GB2312"/>
          <w:b w:val="0"/>
          <w:sz w:val="32"/>
          <w:lang w:val="en-US" w:eastAsia="zh-CN"/>
        </w:rPr>
        <w:t>存在调入人员，退休人员</w:t>
      </w:r>
      <w:r>
        <w:rPr>
          <w:rFonts w:ascii="仿宋_GB2312" w:hAnsi="仿宋_GB2312" w:eastAsia="仿宋_GB2312"/>
          <w:b w:val="0"/>
          <w:sz w:val="32"/>
        </w:rPr>
        <w:t>，人员职级不同，缴费基数不同，公务员医疗补助较上年减少。</w:t>
      </w:r>
    </w:p>
    <w:p w14:paraId="69E38A59">
      <w:pPr>
        <w:spacing w:line="580" w:lineRule="exact"/>
        <w:ind w:firstLine="640"/>
        <w:jc w:val="both"/>
      </w:pPr>
      <w:r>
        <w:rPr>
          <w:rFonts w:ascii="仿宋_GB2312" w:hAnsi="仿宋_GB2312" w:eastAsia="仿宋_GB2312"/>
          <w:b w:val="0"/>
          <w:sz w:val="32"/>
        </w:rPr>
        <w:t>7.住房保障支出(类)住房改革支出(款)住房公积金(项):支出决算数为4.89万元，比上年决算减少0.91万元，下降15.69%,主要原因是：本年</w:t>
      </w:r>
      <w:r>
        <w:rPr>
          <w:rFonts w:hint="eastAsia" w:ascii="仿宋_GB2312" w:hAnsi="仿宋_GB2312" w:eastAsia="仿宋_GB2312"/>
          <w:b w:val="0"/>
          <w:sz w:val="32"/>
          <w:lang w:val="en-US" w:eastAsia="zh-CN"/>
        </w:rPr>
        <w:t>存在调入人员，退休人员</w:t>
      </w:r>
      <w:r>
        <w:rPr>
          <w:rFonts w:ascii="仿宋_GB2312" w:hAnsi="仿宋_GB2312" w:eastAsia="仿宋_GB2312"/>
          <w:b w:val="0"/>
          <w:sz w:val="32"/>
        </w:rPr>
        <w:t>，人员职级不同，缴费基数不同，住房公积金缴费较上年减少。</w:t>
      </w:r>
    </w:p>
    <w:p w14:paraId="440A2888">
      <w:pPr>
        <w:spacing w:line="640" w:lineRule="exact"/>
        <w:ind w:firstLine="640"/>
        <w:jc w:val="both"/>
        <w:outlineLvl w:val="2"/>
      </w:pPr>
      <w:r>
        <w:rPr>
          <w:rFonts w:ascii="黑体" w:hAnsi="黑体" w:eastAsia="黑体"/>
          <w:sz w:val="32"/>
        </w:rPr>
        <w:t>六、一般公共预算财政拨款基本支出决算情况说明</w:t>
      </w:r>
    </w:p>
    <w:p w14:paraId="207FE9D3">
      <w:pPr>
        <w:spacing w:line="580" w:lineRule="exact"/>
        <w:ind w:firstLine="640"/>
        <w:jc w:val="both"/>
      </w:pPr>
      <w:r>
        <w:rPr>
          <w:rFonts w:ascii="仿宋_GB2312" w:hAnsi="仿宋_GB2312" w:eastAsia="仿宋_GB2312"/>
          <w:b w:val="0"/>
          <w:sz w:val="32"/>
        </w:rPr>
        <w:t>2024年度一般公共预算财政拨款基本支出65.35万元，其中：</w:t>
      </w:r>
      <w:r>
        <w:rPr>
          <w:rFonts w:ascii="仿宋_GB2312" w:hAnsi="仿宋_GB2312" w:eastAsia="仿宋_GB2312"/>
          <w:b/>
          <w:sz w:val="32"/>
        </w:rPr>
        <w:t>人员经费63.77万元，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w:t>
      </w:r>
    </w:p>
    <w:p w14:paraId="6D23D661">
      <w:pPr>
        <w:spacing w:line="580" w:lineRule="exact"/>
        <w:ind w:firstLine="640"/>
        <w:jc w:val="both"/>
      </w:pPr>
      <w:r>
        <w:rPr>
          <w:rFonts w:ascii="仿宋_GB2312" w:hAnsi="仿宋_GB2312" w:eastAsia="仿宋_GB2312"/>
          <w:b/>
          <w:sz w:val="32"/>
        </w:rPr>
        <w:t>公用经费1.58万元，</w:t>
      </w:r>
      <w:r>
        <w:rPr>
          <w:rFonts w:ascii="仿宋_GB2312" w:hAnsi="仿宋_GB2312" w:eastAsia="仿宋_GB2312"/>
          <w:b w:val="0"/>
          <w:sz w:val="32"/>
        </w:rPr>
        <w:t>包括：办公费。</w:t>
      </w:r>
    </w:p>
    <w:p w14:paraId="47B3AEFE">
      <w:pPr>
        <w:spacing w:line="640" w:lineRule="exact"/>
        <w:ind w:firstLine="640"/>
        <w:jc w:val="both"/>
        <w:outlineLvl w:val="2"/>
      </w:pPr>
      <w:r>
        <w:rPr>
          <w:rFonts w:ascii="黑体" w:hAnsi="黑体" w:eastAsia="黑体"/>
          <w:sz w:val="32"/>
        </w:rPr>
        <w:t>七、政府性基金预算财政拨款收入支出决算情况说明</w:t>
      </w:r>
    </w:p>
    <w:p w14:paraId="05F4DCA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2ED836D">
      <w:pPr>
        <w:spacing w:line="640" w:lineRule="exact"/>
        <w:ind w:firstLine="640"/>
        <w:jc w:val="both"/>
        <w:outlineLvl w:val="2"/>
      </w:pPr>
      <w:r>
        <w:rPr>
          <w:rFonts w:ascii="黑体" w:hAnsi="黑体" w:eastAsia="黑体"/>
          <w:sz w:val="32"/>
        </w:rPr>
        <w:t>八、国有资本经营预算财政拨款收入支出决算情况说明</w:t>
      </w:r>
    </w:p>
    <w:p w14:paraId="577FC89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6E11138">
      <w:pPr>
        <w:spacing w:line="640" w:lineRule="exact"/>
        <w:ind w:firstLine="640"/>
        <w:jc w:val="both"/>
        <w:outlineLvl w:val="2"/>
      </w:pPr>
      <w:r>
        <w:rPr>
          <w:rFonts w:ascii="黑体" w:hAnsi="黑体" w:eastAsia="黑体"/>
          <w:sz w:val="32"/>
        </w:rPr>
        <w:t>九、财政拨款“三公”经费支出决算情况说明</w:t>
      </w:r>
    </w:p>
    <w:p w14:paraId="7FFE62D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FCDD61F">
      <w:pPr>
        <w:spacing w:line="580" w:lineRule="exact"/>
        <w:ind w:firstLine="640"/>
        <w:jc w:val="both"/>
      </w:pPr>
      <w:r>
        <w:rPr>
          <w:rFonts w:ascii="仿宋_GB2312" w:hAnsi="仿宋_GB2312" w:eastAsia="仿宋_GB2312"/>
          <w:b/>
          <w:sz w:val="32"/>
        </w:rPr>
        <w:t>具体情况如下：</w:t>
      </w:r>
    </w:p>
    <w:p w14:paraId="75DAAFE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8190F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852E2D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FD748F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财政拨款“三公”经费支出全年预算数0.04万元，决算数0.00万元，预决算差异率-100.00%，主要原因是：本单位</w:t>
      </w:r>
      <w:r>
        <w:rPr>
          <w:rFonts w:hint="eastAsia" w:ascii="仿宋_GB2312" w:hAnsi="仿宋_GB2312" w:eastAsia="仿宋_GB2312"/>
          <w:b w:val="0"/>
          <w:sz w:val="32"/>
          <w:lang w:val="en-US" w:eastAsia="zh-CN"/>
        </w:rPr>
        <w:t>厉行节约，减少经费</w:t>
      </w:r>
      <w:r>
        <w:rPr>
          <w:rFonts w:ascii="仿宋_GB2312" w:hAnsi="仿宋_GB2312" w:eastAsia="仿宋_GB2312"/>
          <w:b w:val="0"/>
          <w:sz w:val="32"/>
        </w:rPr>
        <w:t>。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0.04万元，决算数0.00万元，预决算差异率-100.00%，主要原因是：本单位</w:t>
      </w:r>
      <w:r>
        <w:rPr>
          <w:rFonts w:hint="eastAsia" w:ascii="仿宋_GB2312" w:hAnsi="仿宋_GB2312" w:eastAsia="仿宋_GB2312"/>
          <w:b w:val="0"/>
          <w:sz w:val="32"/>
          <w:lang w:val="en-US" w:eastAsia="zh-CN"/>
        </w:rPr>
        <w:t>厉行节约，减少经费</w:t>
      </w:r>
      <w:bookmarkStart w:id="0" w:name="_GoBack"/>
      <w:bookmarkEnd w:id="0"/>
      <w:r>
        <w:rPr>
          <w:rFonts w:ascii="仿宋_GB2312" w:hAnsi="仿宋_GB2312" w:eastAsia="仿宋_GB2312"/>
          <w:b w:val="0"/>
          <w:sz w:val="32"/>
        </w:rPr>
        <w:t>。</w:t>
      </w:r>
    </w:p>
    <w:p w14:paraId="01D75CB9">
      <w:pPr>
        <w:spacing w:line="640" w:lineRule="exact"/>
        <w:ind w:firstLine="640"/>
        <w:jc w:val="both"/>
        <w:outlineLvl w:val="2"/>
      </w:pPr>
      <w:r>
        <w:rPr>
          <w:rFonts w:ascii="黑体" w:hAnsi="黑体" w:eastAsia="黑体"/>
          <w:sz w:val="32"/>
        </w:rPr>
        <w:t>十、其他重要事项的情况说明</w:t>
      </w:r>
    </w:p>
    <w:p w14:paraId="14B9CEC7">
      <w:pPr>
        <w:spacing w:line="640" w:lineRule="exact"/>
        <w:ind w:firstLine="640"/>
        <w:jc w:val="both"/>
        <w:outlineLvl w:val="3"/>
      </w:pPr>
      <w:r>
        <w:rPr>
          <w:rFonts w:ascii="楷体_GB2312" w:hAnsi="楷体_GB2312" w:eastAsia="楷体_GB2312"/>
          <w:b/>
          <w:sz w:val="32"/>
        </w:rPr>
        <w:t>（一）机关运行经费及公用经费支出情况</w:t>
      </w:r>
    </w:p>
    <w:p w14:paraId="172E3FC2">
      <w:pPr>
        <w:spacing w:line="580" w:lineRule="exact"/>
        <w:ind w:firstLine="640"/>
        <w:jc w:val="both"/>
      </w:pPr>
      <w:r>
        <w:rPr>
          <w:rFonts w:ascii="仿宋_GB2312" w:hAnsi="仿宋_GB2312" w:eastAsia="仿宋_GB2312"/>
          <w:b w:val="0"/>
          <w:sz w:val="32"/>
        </w:rPr>
        <w:t>2024年度伽师县爱国卫生运动服务中心（行政单位和参照公务员法管理事业单位）机关运行经费支出1.58万元，比上年减少49.91万元，下降96.93%，主要原因是：本年度减少灭鼠专用材料费资金，相应支出减少。</w:t>
      </w:r>
    </w:p>
    <w:p w14:paraId="1CD0AF2A">
      <w:pPr>
        <w:spacing w:line="640" w:lineRule="exact"/>
        <w:ind w:firstLine="640"/>
        <w:jc w:val="both"/>
        <w:outlineLvl w:val="3"/>
      </w:pPr>
      <w:r>
        <w:rPr>
          <w:rFonts w:ascii="楷体_GB2312" w:hAnsi="楷体_GB2312" w:eastAsia="楷体_GB2312"/>
          <w:b/>
          <w:sz w:val="32"/>
        </w:rPr>
        <w:t>（二）政府采购情况</w:t>
      </w:r>
    </w:p>
    <w:p w14:paraId="1882DD31">
      <w:pPr>
        <w:spacing w:line="580" w:lineRule="exact"/>
        <w:ind w:firstLine="640"/>
        <w:jc w:val="both"/>
      </w:pPr>
      <w:r>
        <w:rPr>
          <w:rFonts w:ascii="仿宋_GB2312" w:hAnsi="仿宋_GB2312" w:eastAsia="仿宋_GB2312"/>
          <w:b w:val="0"/>
          <w:sz w:val="32"/>
        </w:rPr>
        <w:t>2024年度政府采购支出总额1.60万元，其中：政府采购货物支出1.60万元、政府采购工程支出0.00万元、政府采购服务支出0.00万元。</w:t>
      </w:r>
    </w:p>
    <w:p w14:paraId="286BA321">
      <w:pPr>
        <w:spacing w:line="580" w:lineRule="exact"/>
        <w:ind w:firstLine="640"/>
        <w:jc w:val="both"/>
      </w:pPr>
      <w:r>
        <w:rPr>
          <w:rFonts w:ascii="仿宋_GB2312" w:hAnsi="仿宋_GB2312" w:eastAsia="仿宋_GB2312"/>
          <w:b w:val="0"/>
          <w:sz w:val="32"/>
        </w:rPr>
        <w:t>授予中小企业合同金额1.60万元，占政府采购支出总额的100.00%，其中：授予小微企业合同金额1.53万元，占政府采购支出总额的95.62%。</w:t>
      </w:r>
    </w:p>
    <w:p w14:paraId="035EC5BC">
      <w:pPr>
        <w:spacing w:line="640" w:lineRule="exact"/>
        <w:ind w:firstLine="640"/>
        <w:jc w:val="both"/>
        <w:outlineLvl w:val="3"/>
      </w:pPr>
      <w:r>
        <w:rPr>
          <w:rFonts w:ascii="楷体_GB2312" w:hAnsi="楷体_GB2312" w:eastAsia="楷体_GB2312"/>
          <w:b/>
          <w:sz w:val="32"/>
        </w:rPr>
        <w:t>（三）国有资产占用情况说明</w:t>
      </w:r>
    </w:p>
    <w:p w14:paraId="7435661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59A2859">
      <w:pPr>
        <w:spacing w:line="640" w:lineRule="exact"/>
        <w:ind w:firstLine="640"/>
        <w:jc w:val="both"/>
        <w:outlineLvl w:val="2"/>
      </w:pPr>
      <w:r>
        <w:rPr>
          <w:rFonts w:ascii="黑体" w:hAnsi="黑体" w:eastAsia="黑体"/>
          <w:sz w:val="32"/>
        </w:rPr>
        <w:t>十一、预算绩效的情况说明</w:t>
      </w:r>
    </w:p>
    <w:p w14:paraId="4EBCB62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5AA65CE0">
      <w:r>
        <w:br w:type="page"/>
      </w:r>
    </w:p>
    <w:p w14:paraId="60977CF6">
      <w:pPr>
        <w:spacing w:line="640" w:lineRule="exact"/>
        <w:ind w:firstLine="640"/>
        <w:jc w:val="both"/>
        <w:outlineLvl w:val="2"/>
      </w:pPr>
      <w:r>
        <w:rPr>
          <w:rFonts w:ascii="黑体" w:hAnsi="黑体" w:eastAsia="黑体"/>
          <w:sz w:val="32"/>
        </w:rPr>
        <w:t>十二、其他需说明的事项</w:t>
      </w:r>
    </w:p>
    <w:p w14:paraId="205DF7AD">
      <w:pPr>
        <w:spacing w:line="580" w:lineRule="exact"/>
        <w:ind w:firstLine="640"/>
        <w:jc w:val="both"/>
      </w:pPr>
      <w:r>
        <w:rPr>
          <w:rFonts w:ascii="仿宋_GB2312" w:hAnsi="仿宋_GB2312" w:eastAsia="仿宋_GB2312"/>
          <w:b w:val="0"/>
          <w:sz w:val="32"/>
        </w:rPr>
        <w:t>本年度部门整体绩效自评表由伽师县卫生健康委员会编报并公开。</w:t>
      </w:r>
    </w:p>
    <w:p w14:paraId="63916817">
      <w:r>
        <w:br w:type="page"/>
      </w:r>
    </w:p>
    <w:p w14:paraId="497AC5FC">
      <w:pPr>
        <w:spacing w:line="240" w:lineRule="auto"/>
        <w:jc w:val="center"/>
        <w:outlineLvl w:val="1"/>
      </w:pPr>
      <w:r>
        <w:rPr>
          <w:rFonts w:ascii="黑体" w:hAnsi="黑体" w:eastAsia="黑体"/>
          <w:sz w:val="32"/>
        </w:rPr>
        <w:t>第三部分 专业名词解释</w:t>
      </w:r>
    </w:p>
    <w:p w14:paraId="434CF4E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12F16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78027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1257C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BEFAD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2390F0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FCC38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8D391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F4C30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E7E50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D6082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3A4FFC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07F11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52F8CD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2250655">
      <w:r>
        <w:br w:type="page"/>
      </w:r>
    </w:p>
    <w:p w14:paraId="5E968DE7">
      <w:pPr>
        <w:spacing w:line="240" w:lineRule="auto"/>
        <w:jc w:val="center"/>
        <w:outlineLvl w:val="1"/>
      </w:pPr>
      <w:r>
        <w:rPr>
          <w:rFonts w:ascii="黑体" w:hAnsi="黑体" w:eastAsia="黑体"/>
          <w:sz w:val="32"/>
        </w:rPr>
        <w:t>第四部分 部门决算报表（见附表）</w:t>
      </w:r>
    </w:p>
    <w:p w14:paraId="480385A4">
      <w:pPr>
        <w:spacing w:line="240" w:lineRule="auto"/>
        <w:ind w:firstLine="640"/>
        <w:jc w:val="both"/>
      </w:pPr>
      <w:r>
        <w:rPr>
          <w:rFonts w:ascii="仿宋_GB2312" w:hAnsi="仿宋_GB2312" w:eastAsia="仿宋_GB2312"/>
          <w:b w:val="0"/>
          <w:sz w:val="32"/>
        </w:rPr>
        <w:t>一、《收入支出决算总表》</w:t>
      </w:r>
    </w:p>
    <w:p w14:paraId="5A3EC784">
      <w:pPr>
        <w:spacing w:line="240" w:lineRule="auto"/>
        <w:ind w:firstLine="640"/>
        <w:jc w:val="both"/>
      </w:pPr>
      <w:r>
        <w:rPr>
          <w:rFonts w:ascii="仿宋_GB2312" w:hAnsi="仿宋_GB2312" w:eastAsia="仿宋_GB2312"/>
          <w:b w:val="0"/>
          <w:sz w:val="32"/>
        </w:rPr>
        <w:t>二、《收入决算表》</w:t>
      </w:r>
    </w:p>
    <w:p w14:paraId="20953E4F">
      <w:pPr>
        <w:spacing w:line="240" w:lineRule="auto"/>
        <w:ind w:firstLine="640"/>
        <w:jc w:val="both"/>
      </w:pPr>
      <w:r>
        <w:rPr>
          <w:rFonts w:ascii="仿宋_GB2312" w:hAnsi="仿宋_GB2312" w:eastAsia="仿宋_GB2312"/>
          <w:b w:val="0"/>
          <w:sz w:val="32"/>
        </w:rPr>
        <w:t>三、《支出决算表》</w:t>
      </w:r>
    </w:p>
    <w:p w14:paraId="121124A0">
      <w:pPr>
        <w:spacing w:line="240" w:lineRule="auto"/>
        <w:ind w:firstLine="640"/>
        <w:jc w:val="both"/>
      </w:pPr>
      <w:r>
        <w:rPr>
          <w:rFonts w:ascii="仿宋_GB2312" w:hAnsi="仿宋_GB2312" w:eastAsia="仿宋_GB2312"/>
          <w:b w:val="0"/>
          <w:sz w:val="32"/>
        </w:rPr>
        <w:t>四、《财政拨款收入支出决算总表》</w:t>
      </w:r>
    </w:p>
    <w:p w14:paraId="0F18F7A5">
      <w:pPr>
        <w:spacing w:line="240" w:lineRule="auto"/>
        <w:ind w:firstLine="640"/>
        <w:jc w:val="both"/>
      </w:pPr>
      <w:r>
        <w:rPr>
          <w:rFonts w:ascii="仿宋_GB2312" w:hAnsi="仿宋_GB2312" w:eastAsia="仿宋_GB2312"/>
          <w:b w:val="0"/>
          <w:sz w:val="32"/>
        </w:rPr>
        <w:t>五、《一般公共预算财政拨款支出决算表》</w:t>
      </w:r>
    </w:p>
    <w:p w14:paraId="0258CE2C">
      <w:pPr>
        <w:spacing w:line="240" w:lineRule="auto"/>
        <w:ind w:firstLine="640"/>
        <w:jc w:val="both"/>
      </w:pPr>
      <w:r>
        <w:rPr>
          <w:rFonts w:ascii="仿宋_GB2312" w:hAnsi="仿宋_GB2312" w:eastAsia="仿宋_GB2312"/>
          <w:b w:val="0"/>
          <w:sz w:val="32"/>
        </w:rPr>
        <w:t>六、《一般公共预算财政拨款基本支出决算表》</w:t>
      </w:r>
    </w:p>
    <w:p w14:paraId="2367E011">
      <w:pPr>
        <w:spacing w:line="240" w:lineRule="auto"/>
        <w:ind w:firstLine="640"/>
        <w:jc w:val="both"/>
      </w:pPr>
      <w:r>
        <w:rPr>
          <w:rFonts w:ascii="仿宋_GB2312" w:hAnsi="仿宋_GB2312" w:eastAsia="仿宋_GB2312"/>
          <w:b w:val="0"/>
          <w:sz w:val="32"/>
        </w:rPr>
        <w:t>七、《政府性基金预算财政拨款收入支出决算表》</w:t>
      </w:r>
    </w:p>
    <w:p w14:paraId="5D853247">
      <w:pPr>
        <w:spacing w:line="240" w:lineRule="auto"/>
        <w:ind w:firstLine="640"/>
        <w:jc w:val="both"/>
      </w:pPr>
      <w:r>
        <w:rPr>
          <w:rFonts w:ascii="仿宋_GB2312" w:hAnsi="仿宋_GB2312" w:eastAsia="仿宋_GB2312"/>
          <w:b w:val="0"/>
          <w:sz w:val="32"/>
        </w:rPr>
        <w:t>八、《国有资本经营预算财政拨款收入支出决算表》</w:t>
      </w:r>
    </w:p>
    <w:p w14:paraId="28C64478">
      <w:pPr>
        <w:spacing w:line="240" w:lineRule="auto"/>
        <w:ind w:firstLine="640"/>
        <w:jc w:val="both"/>
      </w:pPr>
      <w:r>
        <w:rPr>
          <w:rFonts w:ascii="仿宋_GB2312" w:hAnsi="仿宋_GB2312" w:eastAsia="仿宋_GB2312"/>
          <w:b w:val="0"/>
          <w:sz w:val="32"/>
        </w:rPr>
        <w:t>九、《财政拨款“三公”经费支出决算表》</w:t>
      </w:r>
    </w:p>
    <w:p w14:paraId="03F44793">
      <w:pPr>
        <w:spacing w:line="240" w:lineRule="auto"/>
        <w:ind w:firstLine="640"/>
        <w:jc w:val="both"/>
      </w:pPr>
    </w:p>
    <w:p w14:paraId="4DBAA7F1">
      <w:pPr>
        <w:spacing w:line="240" w:lineRule="auto"/>
        <w:ind w:firstLine="640"/>
        <w:jc w:val="both"/>
      </w:pPr>
    </w:p>
    <w:p w14:paraId="307033C1">
      <w:pPr>
        <w:spacing w:line="240" w:lineRule="auto"/>
        <w:ind w:firstLine="640"/>
        <w:jc w:val="both"/>
      </w:pPr>
    </w:p>
    <w:p w14:paraId="125AE0A8">
      <w:pPr>
        <w:spacing w:line="240" w:lineRule="auto"/>
        <w:ind w:firstLine="640"/>
        <w:jc w:val="both"/>
      </w:pPr>
    </w:p>
    <w:p w14:paraId="5F1439C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1A4D9C-8328-4854-A712-FBE08BEFA3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1E79442-E48A-44C7-BEE3-863DF69A0C17}"/>
  </w:font>
  <w:font w:name="仿宋_GB2312">
    <w:altName w:val="仿宋"/>
    <w:panose1 w:val="02010609030101010101"/>
    <w:charset w:val="86"/>
    <w:family w:val="modern"/>
    <w:pitch w:val="default"/>
    <w:sig w:usb0="00000000" w:usb1="00000000" w:usb2="00000000" w:usb3="00000000" w:csb0="00040000" w:csb1="00000000"/>
    <w:embedRegular r:id="rId3" w:fontKey="{D1FD365D-2F20-42D2-A676-850E7BF15B6A}"/>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44A1A208-4FA3-47CB-AE21-F3C5062A06FC}"/>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CC7A57"/>
    <w:rsid w:val="09A729D8"/>
    <w:rsid w:val="0A3C58E8"/>
    <w:rsid w:val="0A7B4867"/>
    <w:rsid w:val="0B8C3ECC"/>
    <w:rsid w:val="0C3613A3"/>
    <w:rsid w:val="0C7227A7"/>
    <w:rsid w:val="0DCA6EF7"/>
    <w:rsid w:val="0E4B1576"/>
    <w:rsid w:val="0EA04331"/>
    <w:rsid w:val="0F9811B3"/>
    <w:rsid w:val="11E15093"/>
    <w:rsid w:val="120E0809"/>
    <w:rsid w:val="169874CD"/>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5255</Words>
  <Characters>5845</Characters>
  <Lines>0</Lines>
  <Paragraphs>0</Paragraphs>
  <TotalTime>2</TotalTime>
  <ScaleCrop>false</ScaleCrop>
  <LinksUpToDate>false</LinksUpToDate>
  <CharactersWithSpaces>5855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2025-09-17T09:20:23Z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