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伽师县突发公共卫生事件应急中心</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一）在县级人民政府的领导下，与相关部门建立突发事件卫生应急处置协调联动机制；辖区内卫生行政部门、医疗卫生专业机构、有关重点企事业单位建立卫生应急联络网；建立县级卫生应急指挥与决策信息系统，具备信息共享、决策支持和视频会商等基本功能。</w:t>
      </w:r>
    </w:p>
    <w:p>
      <w:pPr>
        <w:spacing w:line="580" w:lineRule="exact"/>
        <w:ind w:firstLine="640"/>
        <w:jc w:val="both"/>
      </w:pPr>
      <w:r>
        <w:rPr>
          <w:rFonts w:ascii="仿宋_GB2312" w:hAnsi="仿宋_GB2312" w:eastAsia="仿宋_GB2312"/>
          <w:sz w:val="32"/>
        </w:rPr>
        <w:t>（二）结合本地实际制定《突发公共卫生事件应急预案》和《突发公共事件医疗卫生救援应急预案》、各类单项卫生应急预案；初步形成政府专项预案、部门单项预案、企事业单位预案为架构的突发事件卫生应急预案体系。</w:t>
      </w:r>
    </w:p>
    <w:p>
      <w:pPr>
        <w:spacing w:line="580" w:lineRule="exact"/>
        <w:ind w:firstLine="640"/>
        <w:jc w:val="both"/>
      </w:pPr>
      <w:r>
        <w:rPr>
          <w:rFonts w:ascii="仿宋_GB2312" w:hAnsi="仿宋_GB2312" w:eastAsia="仿宋_GB2312"/>
          <w:sz w:val="32"/>
        </w:rPr>
        <w:t>（三）协调组建突发事件卫生应急专家咨询委员会和分类的专业卫生应急处置队伍，配备相应的装备；制定卫生应急专业队伍、卫生应急管理干部和医疗卫生人员的培训、演练计划，并按计划落实，定期进行效果评估；根据卫生应急专项工作经费制定卫生应急物资储备目录并落实储备，相关制度完备。</w:t>
      </w:r>
    </w:p>
    <w:p>
      <w:pPr>
        <w:spacing w:line="580" w:lineRule="exact"/>
        <w:ind w:firstLine="640"/>
        <w:jc w:val="both"/>
      </w:pPr>
      <w:r>
        <w:rPr>
          <w:rFonts w:ascii="仿宋_GB2312" w:hAnsi="仿宋_GB2312" w:eastAsia="仿宋_GB2312"/>
          <w:sz w:val="32"/>
        </w:rPr>
        <w:t>（四）建立监测基础信息数据库，定期组织专家对辖区内突发公共卫生事件风险进行常规和专题评估，提出评估意见、预警和干预措施。突发公共卫生事件报告率、报告及时率、网络直报率、报告完整率、事件评估率均达到100%。</w:t>
      </w:r>
    </w:p>
    <w:p>
      <w:pPr>
        <w:spacing w:line="580" w:lineRule="exact"/>
        <w:ind w:firstLine="640"/>
        <w:jc w:val="both"/>
      </w:pPr>
      <w:r>
        <w:rPr>
          <w:rFonts w:ascii="仿宋_GB2312" w:hAnsi="仿宋_GB2312" w:eastAsia="仿宋_GB2312"/>
          <w:sz w:val="32"/>
        </w:rPr>
        <w:t>（五）突发公共卫生事件发生后，在县卫健委的领导下，及时与医疗卫生专业机构对事件进行初步核实、确认，采取必要应急措施，并及时向县人民政府和有关上级专业部门报告；配合县人民政府启动相应级别的应急响应；指导医疗机构及时高效承担病人现场救治、接诊、接受和转运工作，并能有效开展事件相关处置上报工作。</w:t>
      </w:r>
    </w:p>
    <w:p>
      <w:pPr>
        <w:spacing w:line="580" w:lineRule="exact"/>
        <w:ind w:firstLine="640"/>
        <w:jc w:val="both"/>
      </w:pPr>
      <w:r>
        <w:rPr>
          <w:rFonts w:ascii="仿宋_GB2312" w:hAnsi="仿宋_GB2312" w:eastAsia="仿宋_GB2312"/>
          <w:sz w:val="32"/>
        </w:rPr>
        <w:t>（六）负责对重大活动开展前进行公共卫生风险评估工作。</w:t>
      </w:r>
    </w:p>
    <w:p>
      <w:pPr>
        <w:spacing w:line="580" w:lineRule="exact"/>
        <w:ind w:firstLine="640"/>
        <w:jc w:val="both"/>
      </w:pPr>
      <w:r>
        <w:rPr>
          <w:rFonts w:ascii="仿宋_GB2312" w:hAnsi="仿宋_GB2312" w:eastAsia="仿宋_GB2312"/>
          <w:sz w:val="32"/>
        </w:rPr>
        <w:t>提出排查治理意见和干预措施，制定相应的卫生应急保障预案和工作方案；重大活动期间，与县级医疗机构、疾病预防控制机构、卫生</w:t>
      </w:r>
      <w:r>
        <w:rPr>
          <w:rFonts w:hint="eastAsia" w:ascii="仿宋_GB2312" w:hAnsi="仿宋_GB2312" w:eastAsia="仿宋_GB2312"/>
          <w:sz w:val="32"/>
          <w:lang w:eastAsia="zh-CN"/>
        </w:rPr>
        <w:t>监督机构</w:t>
      </w:r>
      <w:r>
        <w:rPr>
          <w:rFonts w:ascii="仿宋_GB2312" w:hAnsi="仿宋_GB2312" w:eastAsia="仿宋_GB2312"/>
          <w:sz w:val="32"/>
        </w:rPr>
        <w:t>相互配合，完成医疗救治、流行病学调查、实验室检测、卫生监督等工作。</w:t>
      </w:r>
    </w:p>
    <w:p>
      <w:pPr>
        <w:spacing w:line="580" w:lineRule="exact"/>
        <w:ind w:firstLine="640"/>
        <w:jc w:val="both"/>
      </w:pPr>
      <w:r>
        <w:rPr>
          <w:rFonts w:ascii="仿宋_GB2312" w:hAnsi="仿宋_GB2312" w:eastAsia="仿宋_GB2312"/>
          <w:sz w:val="32"/>
        </w:rPr>
        <w:t>（七）突发事件卫生应急处置和重大活动保障结束后，卫生应急准备与保障、应急处置与救援措施、危害及处置救援效果等内容进行评估，并形成评估报告。按</w:t>
      </w:r>
      <w:r>
        <w:rPr>
          <w:rFonts w:hint="eastAsia" w:ascii="仿宋_GB2312" w:hAnsi="仿宋_GB2312" w:eastAsia="仿宋_GB2312"/>
          <w:sz w:val="32"/>
          <w:lang w:val="en-US" w:eastAsia="zh-CN"/>
        </w:rPr>
        <w:t>照</w:t>
      </w:r>
      <w:r>
        <w:rPr>
          <w:rFonts w:ascii="仿宋_GB2312" w:hAnsi="仿宋_GB2312" w:eastAsia="仿宋_GB2312"/>
          <w:sz w:val="32"/>
        </w:rPr>
        <w:t>同级政府的统一部署，开展辖区内恢复重建工作的卫生学评估及卫生系统内的恢复重建工作。</w:t>
      </w:r>
    </w:p>
    <w:p>
      <w:pPr>
        <w:spacing w:line="580" w:lineRule="exact"/>
        <w:ind w:firstLine="640"/>
        <w:jc w:val="both"/>
      </w:pPr>
      <w:r>
        <w:rPr>
          <w:rFonts w:ascii="仿宋_GB2312" w:hAnsi="仿宋_GB2312" w:eastAsia="仿宋_GB2312"/>
          <w:sz w:val="32"/>
        </w:rPr>
        <w:t>（八）负责开展卫生应急知识宣传教育工作。制定卫生应急知识宣传教育年度计划。积极倡导各部门组建卫生应急救援志愿者队伍，制定管理制度并</w:t>
      </w:r>
      <w:bookmarkStart w:id="0" w:name="_GoBack"/>
      <w:bookmarkEnd w:id="0"/>
      <w:r>
        <w:rPr>
          <w:rFonts w:ascii="仿宋_GB2312" w:hAnsi="仿宋_GB2312" w:eastAsia="仿宋_GB2312"/>
          <w:sz w:val="32"/>
        </w:rPr>
        <w:t>定期开展培训、演练，志愿者能掌握基本救援知识与技能。</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伽师县突发公共卫生事件应急中心2024年度，实有人数3人，其中：在职人员3人，减少1人；离休人员0人，增加0人；退休人员0人,增加0人。</w:t>
      </w:r>
    </w:p>
    <w:p>
      <w:pPr>
        <w:spacing w:line="580" w:lineRule="exact"/>
        <w:ind w:firstLine="640"/>
        <w:jc w:val="both"/>
      </w:pPr>
      <w:r>
        <w:rPr>
          <w:rFonts w:ascii="仿宋_GB2312" w:hAnsi="仿宋_GB2312" w:eastAsia="仿宋_GB2312"/>
          <w:sz w:val="32"/>
        </w:rPr>
        <w:t>伽师县突发公共卫生事件应急中心无下属预算单位，下设1个科室，分别是：办公室。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2024年度收入总计66.77万元，</w:t>
      </w:r>
      <w:r>
        <w:rPr>
          <w:rFonts w:ascii="仿宋_GB2312" w:hAnsi="仿宋_GB2312" w:eastAsia="仿宋_GB2312"/>
          <w:b w:val="0"/>
          <w:sz w:val="32"/>
        </w:rPr>
        <w:t>其中：本年收入合计66.77万元，使用非财政拨款结余（含专用结余）0.00万元，年初结转和结余0.00万元。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2024年度支出总计66.77万元，</w:t>
      </w:r>
      <w:r>
        <w:rPr>
          <w:rFonts w:ascii="仿宋_GB2312" w:hAnsi="仿宋_GB2312" w:eastAsia="仿宋_GB2312"/>
          <w:b w:val="0"/>
          <w:sz w:val="32"/>
        </w:rPr>
        <w:t>其中：本年支出合计66.77万元，结余分配0.00万元，年末结转和结余0.00万元。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收入支出总体与上年相比，减少15.81万元，下降19.15%，主要原因是：本年在职人员减少，相关人员经费较上年减少。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本年收入66.77万元，</w:t>
      </w:r>
      <w:r>
        <w:rPr>
          <w:rFonts w:ascii="仿宋_GB2312" w:hAnsi="仿宋_GB2312" w:eastAsia="仿宋_GB2312"/>
          <w:b w:val="0"/>
          <w:sz w:val="32"/>
        </w:rPr>
        <w:t>其中：财政拨款收入66.77万元，占100.00%；上级补助收入0.00万元，占0.00%；事业收入0.00万元，占0.00%；经营收入0.00万元，占0.00%；附属单位上缴收入0.00万元，占0.00%；其他收入0.00万元，占0.00%。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本年支出66.77万元，</w:t>
      </w:r>
      <w:r>
        <w:rPr>
          <w:rFonts w:ascii="仿宋_GB2312" w:hAnsi="仿宋_GB2312" w:eastAsia="仿宋_GB2312"/>
          <w:b w:val="0"/>
          <w:sz w:val="32"/>
        </w:rPr>
        <w:t>其中：基本支出66.77万元，占100.00%；项目支出0.00万元，占0.00%；上缴上级支出0.00万元，占0.00%；经营支出0.00万元，占0.00%；对附属单位补助支出0.00万元，占0.00%。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2024年度财政拨款收入总计66.77万元，</w:t>
      </w:r>
      <w:r>
        <w:rPr>
          <w:rFonts w:ascii="仿宋_GB2312" w:hAnsi="仿宋_GB2312" w:eastAsia="仿宋_GB2312"/>
          <w:b w:val="0"/>
          <w:sz w:val="32"/>
        </w:rPr>
        <w:t>其中：年初财政拨款结转和结余0.00万元，本年财政拨款收入66.77万元。</w:t>
      </w:r>
      <w:r>
        <w:rPr>
          <w:rFonts w:ascii="仿宋_GB2312" w:hAnsi="仿宋_GB2312" w:eastAsia="仿宋_GB2312"/>
          <w:b/>
          <w:sz w:val="32"/>
        </w:rPr>
        <w:t>财政拨款支出总计66.77万元，</w:t>
      </w:r>
      <w:r>
        <w:rPr>
          <w:rFonts w:ascii="仿宋_GB2312" w:hAnsi="仿宋_GB2312" w:eastAsia="仿宋_GB2312"/>
          <w:b w:val="0"/>
          <w:sz w:val="32"/>
        </w:rPr>
        <w:t>其中：年末财政拨款结转和结余0.00万元，本年财政拨款支出66.77万元。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减少15.81万元，下降19.15%，主要原因是：本年在职人员减少，相关人员经费较上年减少。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年初预算数67.29万元，决算数66.77万元，预决算差异率-0.77%，主要原因是：本年在职人员减少，年中调减人员经费，导致预决算存在差异。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2024年度一般公共预算财政拨款支出66.77万元，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减少15.81万元，下降19.15%，主要原因是：本年在职人员减少，相关人员经费较上年减少。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年初预算数67.29万元，决算数66.77万元，预决算差异率-0.77%，主要原因是：本年在职人员减少，年中调减人员经费，导致预决算存在差异。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1.社会保障和就业支出(类)5.91万元,占8.85%。</w:t>
      </w:r>
    </w:p>
    <w:p>
      <w:pPr>
        <w:spacing w:line="580" w:lineRule="exact"/>
        <w:ind w:firstLine="640"/>
        <w:jc w:val="both"/>
      </w:pPr>
      <w:r>
        <w:rPr>
          <w:rFonts w:ascii="仿宋_GB2312" w:hAnsi="仿宋_GB2312" w:eastAsia="仿宋_GB2312"/>
          <w:b w:val="0"/>
          <w:sz w:val="32"/>
        </w:rPr>
        <w:t>2.卫生健康支出(类)56.01万元,占83.88%。</w:t>
      </w:r>
    </w:p>
    <w:p>
      <w:pPr>
        <w:spacing w:line="580" w:lineRule="exact"/>
        <w:ind w:firstLine="640"/>
        <w:jc w:val="both"/>
      </w:pPr>
      <w:r>
        <w:rPr>
          <w:rFonts w:ascii="仿宋_GB2312" w:hAnsi="仿宋_GB2312" w:eastAsia="仿宋_GB2312"/>
          <w:b w:val="0"/>
          <w:sz w:val="32"/>
        </w:rPr>
        <w:t>3.住房保障支出(类)4.86万元,占7.28%。</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机关事业单位基本养老保险缴费支出(项):支出决算数为5.91万元，比上年决算增加0.76万元，增长14.76%,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2.社会保障和就业支出(类)行政事业单位养老支出(款)机关事业单位职业年金缴费支出(项):支出决算数为0.00万元，比上年决算减少5.20万元，下降100.00%,主要原因是：上年度在职人员去世1人，本年无在职人员去世，职业年金缴费支出减少。</w:t>
      </w:r>
    </w:p>
    <w:p>
      <w:pPr>
        <w:spacing w:line="580" w:lineRule="exact"/>
        <w:ind w:firstLine="640"/>
        <w:jc w:val="both"/>
      </w:pPr>
      <w:r>
        <w:rPr>
          <w:rFonts w:ascii="仿宋_GB2312" w:hAnsi="仿宋_GB2312" w:eastAsia="仿宋_GB2312"/>
          <w:b w:val="0"/>
          <w:sz w:val="32"/>
        </w:rPr>
        <w:t>3.卫生健康支出(类)公共卫生(款)疾病预防控制机构(项):支出决算数为53.41万元，比上年决算增加9.49万元，增长21.61%,主要原因是：本年科目调整，部分人员经费调整上年在突发公共卫生事件应急处置科目列支，本年调整至本科目列支，相应支出增加。</w:t>
      </w:r>
    </w:p>
    <w:p>
      <w:pPr>
        <w:spacing w:line="580" w:lineRule="exact"/>
        <w:ind w:firstLine="640"/>
        <w:jc w:val="both"/>
      </w:pPr>
      <w:r>
        <w:rPr>
          <w:rFonts w:ascii="仿宋_GB2312" w:hAnsi="仿宋_GB2312" w:eastAsia="仿宋_GB2312"/>
          <w:b w:val="0"/>
          <w:sz w:val="32"/>
        </w:rPr>
        <w:t>4.卫生健康支出(类)公共卫生(款)突发公共卫生事件应急处置(项):支出决算数为0.09万元，比上年决算减少21.95万元，下降99.59%,主要原因是：本年科目调整，部分人员经费上年在本科目列支，本年调整至疾病预防控制机构科目列支，相应支出减少。</w:t>
      </w:r>
    </w:p>
    <w:p>
      <w:pPr>
        <w:spacing w:line="580" w:lineRule="exact"/>
        <w:ind w:firstLine="640"/>
        <w:jc w:val="both"/>
      </w:pPr>
      <w:r>
        <w:rPr>
          <w:rFonts w:ascii="仿宋_GB2312" w:hAnsi="仿宋_GB2312" w:eastAsia="仿宋_GB2312"/>
          <w:b w:val="0"/>
          <w:sz w:val="32"/>
        </w:rPr>
        <w:t>5.卫生健康支出(类)行政事业单位医疗(款)事业单位医疗(项):支出决算数为2.51万元，比上年决算增加0.32万元，增长14.61%,主要原因是：本年在职人员工资基数调增，医疗缴费基数上涨，相应支出增加。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6.住房保障支出(类)住房改革支出(款)住房公积金(项):支出决算数为4.86万元，比上年决算增加0.79万元，增长19.41%,主要原因是：本年在职人员工资基数调增，公积金缴费基数上涨，相应支出增加。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2024年度一般公共预算财政拨款基本支出66.77万元，其中：</w:t>
      </w:r>
      <w:r>
        <w:rPr>
          <w:rFonts w:ascii="仿宋_GB2312" w:hAnsi="仿宋_GB2312" w:eastAsia="仿宋_GB2312"/>
          <w:b/>
          <w:sz w:val="32"/>
        </w:rPr>
        <w:t>人员经费65.24万元，</w:t>
      </w:r>
      <w:r>
        <w:rPr>
          <w:rFonts w:ascii="仿宋_GB2312" w:hAnsi="仿宋_GB2312" w:eastAsia="仿宋_GB2312"/>
          <w:b w:val="0"/>
          <w:sz w:val="32"/>
        </w:rPr>
        <w:t>包括：基本工资、津贴补贴、奖金、绩效工资、机关事业单位基本养老保险缴费、职工基本医疗保险缴费、其他社会保障缴费、住房公积金、其他工资福利支出、生活补助。</w:t>
      </w:r>
    </w:p>
    <w:p>
      <w:pPr>
        <w:spacing w:line="580" w:lineRule="exact"/>
        <w:ind w:firstLine="640"/>
        <w:jc w:val="both"/>
      </w:pPr>
      <w:r>
        <w:rPr>
          <w:rFonts w:ascii="仿宋_GB2312" w:hAnsi="仿宋_GB2312" w:eastAsia="仿宋_GB2312"/>
          <w:b/>
          <w:sz w:val="32"/>
        </w:rPr>
        <w:t>公用经费1.53万元，</w:t>
      </w:r>
      <w:r>
        <w:rPr>
          <w:rFonts w:ascii="仿宋_GB2312" w:hAnsi="仿宋_GB2312" w:eastAsia="仿宋_GB2312"/>
          <w:b w:val="0"/>
          <w:sz w:val="32"/>
        </w:rPr>
        <w:t>包括：办公费、电费、取暖费。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0.03万元，决算数0.00万元，预决算差异率-100.00%，主要原因是：严格控制公务接待活动，认真执行经费开支标准，减少公务接待运行成本费用。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0.03万元，决算数0.00万元，预决算差异率-100.00%，主要原因是：严格控制公务接待活动，认真执行经费开支标准，减少公务接待运行成本费用。</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2024年度伽师县突发公共卫生事件应急中心（事业单位）公用经费支出1.53万元，比上年增加0.49万元，增长47.12%，主要原因是：本年办公费用增加。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项目绩效自评表。发现的问题及原因：本单位无项目绩效自评表。下一步改进措施：本单位无项目绩效自评表。</w:t>
      </w:r>
    </w:p>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本单位2024年度无政府采购支出，授予中小企业合同金额0.00万元。</w:t>
      </w:r>
    </w:p>
    <w:p>
      <w:pPr>
        <w:spacing w:line="580" w:lineRule="exact"/>
        <w:ind w:firstLine="640"/>
        <w:jc w:val="both"/>
      </w:pPr>
      <w:r>
        <w:rPr>
          <w:rFonts w:ascii="仿宋_GB2312" w:hAnsi="仿宋_GB2312" w:eastAsia="仿宋_GB2312"/>
          <w:b w:val="0"/>
          <w:sz w:val="32"/>
        </w:rPr>
        <w:t>本年度本单位整体绩效自评表由伽师县卫生健康委员会编报并公开。</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A7F26D9"/>
    <w:rsid w:val="4B4C0111"/>
    <w:rsid w:val="4BB23021"/>
    <w:rsid w:val="4F3F074E"/>
    <w:rsid w:val="50DB5F45"/>
    <w:rsid w:val="52F92565"/>
    <w:rsid w:val="543D17CB"/>
    <w:rsid w:val="55DA564E"/>
    <w:rsid w:val="56E07045"/>
    <w:rsid w:val="583059FA"/>
    <w:rsid w:val="587E6212"/>
    <w:rsid w:val="5AFC6609"/>
    <w:rsid w:val="5B8725F7"/>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5740</Words>
  <Characters>6316</Characters>
  <Lines>0</Lines>
  <Paragraphs>0</Paragraphs>
  <TotalTime>1</TotalTime>
  <ScaleCrop>false</ScaleCrop>
  <LinksUpToDate>false</LinksUpToDate>
  <CharactersWithSpaces>6326</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ZFB</cp:lastModifiedBy>
  <cp:lastPrinted>2024-07-22T11:58:00Z</cp:lastPrinted>
  <dcterms:modified xsi:type="dcterms:W3CDTF">2025-10-21T09:05:07Z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B858A68E913346F885B5BC17D4DBEB06_13</vt:lpwstr>
  </property>
  <property fmtid="{D5CDD505-2E9C-101B-9397-08002B2CF9AE}" pid="4" name="KSOTemplateDocerSaveRecord">
    <vt:lpwstr>eyJoZGlkIjoiNTBiYjFiYzY0OWM2ODlhYjA1NDAwODJkOGMwZGNkYTMiLCJ1c2VySWQiOiIzNzI2MDMzNTYifQ==</vt:lpwstr>
  </property>
</Properties>
</file>