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伽师县维吾尔医医院2024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预防保健服务。按要求提供疾病预防控制、监测并及时报告和处理传染病与突发公共卫生事件。开展健康教育，参与和指导爱国卫生。受县级卫生行政部门委托承担公共卫生管理职能，协助上级卫生监督机构实施卫生监督，管理村级卫生机构。</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基本医疗服务。开展一般常见病、多发病的诊治，能对常见原因引起的休克及一般急危重症做出初步诊断和进行</w:t>
      </w:r>
      <w:r>
        <w:rPr>
          <w:rFonts w:hint="eastAsia" w:ascii="仿宋_GB2312" w:hAnsi="仿宋_GB2312" w:eastAsia="仿宋_GB2312"/>
          <w:sz w:val="32"/>
          <w:lang w:eastAsia="zh-CN"/>
        </w:rPr>
        <w:t>抢救</w:t>
      </w:r>
      <w:r>
        <w:rPr>
          <w:rFonts w:ascii="仿宋_GB2312" w:hAnsi="仿宋_GB2312" w:eastAsia="仿宋_GB2312"/>
          <w:sz w:val="32"/>
        </w:rPr>
        <w:t>，并适时转诊。能合理运用维吾尔医民族开展常见病的预防和治疗，加强维吾尔医民族医药等适宜技术的推广，积极开展县城卫生服务；具备诊治一般传染病和抢救农村常见农药中毒的能力。</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培训与指导。对乡卫生院医生进行业务培训和技术指导，强化维吾尔医民族医药知识的培训。</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伽师县维吾尔医医院2024年度，实有人数81人，其中：在职人员63人，减少3人；离休人员0人，增加0人；退休人员18人,增加1人。</w:t>
      </w:r>
    </w:p>
    <w:p>
      <w:pPr>
        <w:spacing w:line="580" w:lineRule="exact"/>
        <w:ind w:firstLine="640"/>
        <w:jc w:val="both"/>
      </w:pPr>
      <w:r>
        <w:rPr>
          <w:rFonts w:ascii="仿宋_GB2312" w:hAnsi="仿宋_GB2312" w:eastAsia="仿宋_GB2312"/>
          <w:sz w:val="32"/>
        </w:rPr>
        <w:t>伽师县维吾尔医医院无下属预算单位，下设</w:t>
      </w:r>
      <w:r>
        <w:rPr>
          <w:rFonts w:hint="eastAsia" w:ascii="仿宋_GB2312" w:hAnsi="仿宋_GB2312" w:eastAsia="仿宋_GB2312"/>
          <w:sz w:val="32"/>
          <w:lang w:val="en-US" w:eastAsia="zh-CN"/>
        </w:rPr>
        <w:t>20</w:t>
      </w:r>
      <w:r>
        <w:rPr>
          <w:rFonts w:ascii="仿宋_GB2312" w:hAnsi="仿宋_GB2312" w:eastAsia="仿宋_GB2312"/>
          <w:sz w:val="32"/>
        </w:rPr>
        <w:t>个科室，分别是：财务室、党建办、医务科、院办、护理部、院感办、质控科、信息科</w:t>
      </w:r>
      <w:r>
        <w:rPr>
          <w:rFonts w:hint="eastAsia" w:ascii="仿宋_GB2312" w:hAnsi="仿宋_GB2312" w:eastAsia="仿宋_GB2312"/>
          <w:sz w:val="32"/>
          <w:lang w:eastAsia="zh-CN"/>
        </w:rPr>
        <w:t>、</w:t>
      </w:r>
      <w:r>
        <w:rPr>
          <w:rFonts w:ascii="仿宋_GB2312" w:hAnsi="仿宋_GB2312" w:eastAsia="仿宋_GB2312"/>
          <w:sz w:val="32"/>
        </w:rPr>
        <w:t>招采办</w:t>
      </w:r>
      <w:r>
        <w:rPr>
          <w:rFonts w:hint="eastAsia" w:ascii="仿宋_GB2312" w:hAnsi="仿宋_GB2312" w:eastAsia="仿宋_GB2312"/>
          <w:sz w:val="32"/>
          <w:lang w:eastAsia="zh-CN"/>
        </w:rPr>
        <w:t>、</w:t>
      </w:r>
      <w:r>
        <w:rPr>
          <w:rFonts w:ascii="仿宋_GB2312" w:hAnsi="仿宋_GB2312" w:eastAsia="仿宋_GB2312"/>
          <w:sz w:val="32"/>
        </w:rPr>
        <w:t>医保办、妇科、皮肤科、骨病科、呼吸科、康复病区、老年病科、影像中心、检验科、药剂科、供应室。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2024年度收入总计5,849.05万元，</w:t>
      </w:r>
      <w:r>
        <w:rPr>
          <w:rFonts w:ascii="仿宋_GB2312" w:hAnsi="仿宋_GB2312" w:eastAsia="仿宋_GB2312"/>
          <w:b w:val="0"/>
          <w:sz w:val="32"/>
        </w:rPr>
        <w:t>其中：本年收入合计5,849.05万元，使用非财政拨款结余（含专用结余）0.00万元，年初结转和结余0.00万元。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2024年度支出总计5,849.05万元，</w:t>
      </w:r>
      <w:r>
        <w:rPr>
          <w:rFonts w:ascii="仿宋_GB2312" w:hAnsi="仿宋_GB2312" w:eastAsia="仿宋_GB2312"/>
          <w:b w:val="0"/>
          <w:sz w:val="32"/>
        </w:rPr>
        <w:t>其中：本年支出合计5,073.62万元，结余分配775.43万元，年末结转和结余0.00万元。</w:t>
      </w:r>
    </w:p>
    <w:p>
      <w:pPr>
        <w:spacing w:line="580" w:lineRule="exact"/>
        <w:ind w:firstLine="640"/>
        <w:jc w:val="both"/>
      </w:pPr>
      <w:r>
        <w:rPr>
          <w:rFonts w:ascii="仿宋_GB2312" w:hAnsi="仿宋_GB2312" w:eastAsia="仿宋_GB2312"/>
          <w:b w:val="0"/>
          <w:sz w:val="32"/>
        </w:rPr>
        <w:t>收入支出总体与上年相比，减少904.94万元，下降13.40%，主要原因是：本年在职人员减少，相关人员经费减少，本年减少防控物资资金项目、医护人员临时性工作补助项目、综合业务楼建设项目及附属配套工程等项目，导致经费较上年减少；本年就诊人数减少，医疗收入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本年收入5,849.05万元，</w:t>
      </w:r>
      <w:r>
        <w:rPr>
          <w:rFonts w:ascii="仿宋_GB2312" w:hAnsi="仿宋_GB2312" w:eastAsia="仿宋_GB2312"/>
          <w:b w:val="0"/>
          <w:sz w:val="32"/>
        </w:rPr>
        <w:t>其中：财政拨款收入730.81万元，占12.49%；上级补助收入0.00万元，占0.00%；事业收入4,756.30万元，占81.32%；经营收入0.00万元，占0.00%；附属单位上缴收入0.00万元，占0.00%；其他收入361.95万元，占6.19%。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本年支出5,073.62万元，</w:t>
      </w:r>
      <w:r>
        <w:rPr>
          <w:rFonts w:ascii="仿宋_GB2312" w:hAnsi="仿宋_GB2312" w:eastAsia="仿宋_GB2312"/>
          <w:b w:val="0"/>
          <w:sz w:val="32"/>
        </w:rPr>
        <w:t>其中：基本支出4,836.17万元，占95.32%；项目支出237.45万元，占4.68%；上缴上级支出0.00万元，占0.00%；经营支出0.00万元，占0.00%；对附属单位补助支出0.00万元，占0.00%。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2024年度财政拨款收入总计730.81万元，</w:t>
      </w:r>
      <w:r>
        <w:rPr>
          <w:rFonts w:ascii="仿宋_GB2312" w:hAnsi="仿宋_GB2312" w:eastAsia="仿宋_GB2312"/>
          <w:b w:val="0"/>
          <w:sz w:val="32"/>
        </w:rPr>
        <w:t>其中：年初财政拨款结转和结余0.00万元，本年财政拨款收入730.81万元。</w:t>
      </w:r>
      <w:r>
        <w:rPr>
          <w:rFonts w:ascii="仿宋_GB2312" w:hAnsi="仿宋_GB2312" w:eastAsia="仿宋_GB2312"/>
          <w:b/>
          <w:sz w:val="32"/>
        </w:rPr>
        <w:t>财政拨款支出总计730.81万元，</w:t>
      </w:r>
      <w:r>
        <w:rPr>
          <w:rFonts w:ascii="仿宋_GB2312" w:hAnsi="仿宋_GB2312" w:eastAsia="仿宋_GB2312"/>
          <w:b w:val="0"/>
          <w:sz w:val="32"/>
        </w:rPr>
        <w:t>其中：年末财政拨款结转和结余0.00万元，本年财政拨款支出730.81万元。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减少189.80万元，下降20.62%，主要原因是：本年在职人员减少，相关人员经费减少，本年综合业务楼建设项目及附属配套工程减少，导致经费较上年减少。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年初预算数676.65万元，决算数730.81万元，预决算差异率8.00%，主要原因是：年中追加人员工资、社保、公积金基数调增部分资金，导致预决算存在差异。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2024年度一般公共预算财政拨款支出730.81万元，</w:t>
      </w:r>
      <w:r>
        <w:rPr>
          <w:rFonts w:ascii="仿宋_GB2312" w:hAnsi="仿宋_GB2312" w:eastAsia="仿宋_GB2312"/>
          <w:b w:val="0"/>
          <w:sz w:val="32"/>
        </w:rPr>
        <w:t>占本年支出合计的14.40%。</w:t>
      </w:r>
      <w:r>
        <w:rPr>
          <w:rFonts w:ascii="仿宋_GB2312" w:hAnsi="仿宋_GB2312" w:eastAsia="仿宋_GB2312"/>
          <w:b/>
          <w:sz w:val="32"/>
        </w:rPr>
        <w:t>与上年相比，</w:t>
      </w:r>
      <w:r>
        <w:rPr>
          <w:rFonts w:ascii="仿宋_GB2312" w:hAnsi="仿宋_GB2312" w:eastAsia="仿宋_GB2312"/>
          <w:b w:val="0"/>
          <w:sz w:val="32"/>
        </w:rPr>
        <w:t>减少189.80万元，下降20.62%，主要原因是：本年在职人员减少，相关人员经费减少，本年综合业务楼建设项目及附属配套工程减少，导致经费较上年减少。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年初预算数676.65万元，决算数730.81万元，预决算差异率8.00%，主要原因是：年中追加人员工资、社保、公积金基数调增部分资金，导致预决算存在差异。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1.社会保障和就业支出(类)68.37万元,占9.36%。</w:t>
      </w:r>
    </w:p>
    <w:p>
      <w:pPr>
        <w:spacing w:line="580" w:lineRule="exact"/>
        <w:ind w:firstLine="640"/>
        <w:jc w:val="both"/>
      </w:pPr>
      <w:r>
        <w:rPr>
          <w:rFonts w:ascii="仿宋_GB2312" w:hAnsi="仿宋_GB2312" w:eastAsia="仿宋_GB2312"/>
          <w:b w:val="0"/>
          <w:sz w:val="32"/>
        </w:rPr>
        <w:t>2.卫生健康支出(类)611.93万元,占83.73%。</w:t>
      </w:r>
    </w:p>
    <w:p>
      <w:pPr>
        <w:spacing w:line="580" w:lineRule="exact"/>
        <w:ind w:firstLine="640"/>
        <w:jc w:val="both"/>
      </w:pPr>
      <w:r>
        <w:rPr>
          <w:rFonts w:ascii="仿宋_GB2312" w:hAnsi="仿宋_GB2312" w:eastAsia="仿宋_GB2312"/>
          <w:b w:val="0"/>
          <w:sz w:val="32"/>
        </w:rPr>
        <w:t>3.住房保障支出(类)50.50万元,占6.91%。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1.社会保障和就业支出(类)行政事业单位养老支出(款)事业单位离退休(项):支出决算数为6.80万元，比上年决算减少0.94万元，下降12.14%,主要原因是：本年退休人员自然减员，退休费支出减少。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61.57万元，比上年决算减少6.76万元，下降9.89%,主要原因是：本年在职人员减少，单位基本养老保险缴费较上年减少。</w:t>
      </w:r>
    </w:p>
    <w:p>
      <w:pPr>
        <w:spacing w:line="580" w:lineRule="exact"/>
        <w:ind w:firstLine="640"/>
        <w:jc w:val="both"/>
      </w:pPr>
      <w:r>
        <w:rPr>
          <w:rFonts w:ascii="仿宋_GB2312" w:hAnsi="仿宋_GB2312" w:eastAsia="仿宋_GB2312"/>
          <w:b w:val="0"/>
          <w:sz w:val="32"/>
        </w:rPr>
        <w:t>3.卫生健康支出(类)公立医院(款)中医（民族）医院(项):支出决算数为519.56万元，比上年决算减少234.93万元，下降31.14%,主要原因是：本年综合业务楼建设项目及附属配套工程减少。</w:t>
      </w:r>
    </w:p>
    <w:p>
      <w:pPr>
        <w:spacing w:line="580" w:lineRule="exact"/>
        <w:ind w:firstLine="640"/>
        <w:jc w:val="both"/>
      </w:pPr>
      <w:r>
        <w:rPr>
          <w:rFonts w:ascii="仿宋_GB2312" w:hAnsi="仿宋_GB2312" w:eastAsia="仿宋_GB2312"/>
          <w:b w:val="0"/>
          <w:sz w:val="32"/>
        </w:rPr>
        <w:t>4.卫生健康支出(类)公立医院(款)其他公立医院支出(项):支出决算数为65.10万元，比上年决算增加65.10万元，增长100.00%,主要原因是：本年度中央医疗服务与保障能力提升公立医院综合改革补助资金增加。</w:t>
      </w:r>
    </w:p>
    <w:p>
      <w:pPr>
        <w:spacing w:line="580" w:lineRule="exact"/>
        <w:ind w:firstLine="640"/>
        <w:jc w:val="both"/>
      </w:pPr>
      <w:r>
        <w:rPr>
          <w:rFonts w:ascii="仿宋_GB2312" w:hAnsi="仿宋_GB2312" w:eastAsia="仿宋_GB2312"/>
          <w:b w:val="0"/>
          <w:sz w:val="32"/>
        </w:rPr>
        <w:t>5.卫生健康支出(类)公共卫生(款)突发公共卫生事件应急处置(项):支出决算数为1.11万元，比上年决算减少6.01万元，下降84.41%,主要原因是：本年医护人员临时性工作补助项目经费较上年减少，导致经费减少。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6.卫生健康支出(类)行政事业单位医疗(款)事业单位医疗(项):支出决算数为26.17万元，比上年决算减少2.86万元，下降9.85%,主要原因是：本年在职人员减少，医疗保险缴费支出减少。</w:t>
      </w:r>
    </w:p>
    <w:p>
      <w:pPr>
        <w:spacing w:line="580" w:lineRule="exact"/>
        <w:ind w:firstLine="640"/>
        <w:jc w:val="both"/>
      </w:pPr>
      <w:r>
        <w:rPr>
          <w:rFonts w:ascii="仿宋_GB2312" w:hAnsi="仿宋_GB2312" w:eastAsia="仿宋_GB2312"/>
          <w:b w:val="0"/>
          <w:sz w:val="32"/>
        </w:rPr>
        <w:t>7.住房保障支出(类)住房改革支出(款)住房公积金(项):支出决算数为50.50万元，比上年决算减少3.39万元，下降6.29%,主要原因是：本年在职人员减少，住房公积金缴费较上年减少。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2024年度一般公共预算财政拨款基本支出664.60万元，其中：</w:t>
      </w:r>
      <w:r>
        <w:rPr>
          <w:rFonts w:ascii="仿宋_GB2312" w:hAnsi="仿宋_GB2312" w:eastAsia="仿宋_GB2312"/>
          <w:b/>
          <w:sz w:val="32"/>
        </w:rPr>
        <w:t>人员经费664.60万元，</w:t>
      </w:r>
      <w:r>
        <w:rPr>
          <w:rFonts w:ascii="仿宋_GB2312" w:hAnsi="仿宋_GB2312" w:eastAsia="仿宋_GB2312"/>
          <w:b w:val="0"/>
          <w:sz w:val="32"/>
        </w:rPr>
        <w:t>包括：基本工资、津贴补贴、机关事业单位基本养老保险缴费、职工基本医疗保险缴费、其他社会保障缴费、住房公积金、退休费。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7辆，与公务用车保有量差异原因是：6辆救护车，1辆冷链车，车辆费用由单位自有资金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2024年度伽师县维吾尔医医院（事业单位）公用经费支出0.00万元，比上年增加0.00万元，增长0.00%，主要原因是：2023年与2024年均未安排公用经费支出。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2024年度政府采购支出总额16.35万元，其中：政府采购货物支出13.36万元、政府采购工程支出2.99万元、政府采购服务支出0.00万元。</w:t>
      </w:r>
    </w:p>
    <w:p>
      <w:pPr>
        <w:spacing w:line="580" w:lineRule="exact"/>
        <w:ind w:firstLine="640"/>
        <w:jc w:val="both"/>
      </w:pPr>
      <w:r>
        <w:rPr>
          <w:rFonts w:ascii="仿宋_GB2312" w:hAnsi="仿宋_GB2312" w:eastAsia="仿宋_GB2312"/>
          <w:b w:val="0"/>
          <w:sz w:val="32"/>
        </w:rPr>
        <w:t>授予中小企业合同金额16.35万元，占政府采购支出总额的100.00%，其中：授予小微企业合同金额11.10万元，占政府采购支出总额的67.89%。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16,450.00平方米，价值3,018.03万元。车辆7辆，价值131.18万元，其中：副部（省）级及以上领导用车0辆、主要负责人用车0辆、机要通信用车0辆、应急保障用车0辆、执法执勤用车0辆、特种专业技术用车0辆、离退休干部服务用车0辆、其他用车7辆，其他用车主要是：救护车6辆，1辆冷链车。单价100万元（含）以上设备（不含车辆）7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2个，全年预算数161.30万元，全年执行数161.30万元。预算绩效管理取得的成效：一是本项目能够严格按照项目实施方案执行，项目执行情况较好。二是严格程序确保资金效益。项目坚持层层审批原则，做到支付程序规范，严格按照上级审批及支付手续，并严格按照资金使用的相关要求。三是加强领导落实责任。</w:t>
      </w:r>
      <w:r>
        <w:rPr>
          <w:rFonts w:hint="eastAsia" w:ascii="仿宋_GB2312" w:hAnsi="仿宋_GB2312" w:eastAsia="仿宋_GB2312"/>
          <w:b w:val="0"/>
          <w:sz w:val="32"/>
          <w:lang w:eastAsia="zh-CN"/>
        </w:rPr>
        <w:t>本单位</w:t>
      </w:r>
      <w:r>
        <w:rPr>
          <w:rFonts w:ascii="仿宋_GB2312" w:hAnsi="仿宋_GB2312" w:eastAsia="仿宋_GB2312"/>
          <w:b w:val="0"/>
          <w:sz w:val="32"/>
        </w:rPr>
        <w:t>领导高度重视，责任压实到人，保证了项目的质量，提高了项目执行率。发现的问题及原因：一是对各项指标和指标值要进一步优化、完善，主要在细化、量化上改进。二是没有重视绩效工作，上报绩效报告时不认真、不及时，对绩效操作不熟悉。在客观性和公正性上说服力不强。三是因工作计划及不确定因素影响，个别项目指标存在未能按照计划开展。下一步改进措施：一是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二是项目评价资料有待进一步完善。项目启动时同步做好档案的归纳与整理，及时整理、收集、汇总，健全档案资料。项目后续管理有待进一步加强和跟踪。三是提前做好计划，对预算绩效评价工作人员强化培训，提高绩效工作人员业务水平。具体附项目支出绩效自评表和评价报告。</w:t>
      </w:r>
    </w:p>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伽师县维吾尔医医院2024年医疗服务与保障能力提升（公立医院综合改革）补助资金项目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伽师县维吾尔医医院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下拨</w:t>
            </w:r>
            <w:r>
              <w:rPr>
                <w:rFonts w:ascii="宋体" w:hAnsi="宋体" w:eastAsia="宋体"/>
                <w:sz w:val="16"/>
              </w:rPr>
              <w:t>资金为13.3万元，预算来源为中央资金，主要用于支付采购药品款，项目实施后将会进一步改善医疗</w:t>
            </w:r>
            <w:r>
              <w:rPr>
                <w:rFonts w:hint="eastAsia" w:ascii="宋体" w:hAnsi="宋体"/>
                <w:sz w:val="16"/>
                <w:lang w:val="en-US" w:eastAsia="zh-CN"/>
              </w:rPr>
              <w:t>服务</w:t>
            </w:r>
            <w:r>
              <w:rPr>
                <w:rFonts w:ascii="宋体" w:hAnsi="宋体" w:eastAsia="宋体"/>
                <w:sz w:val="16"/>
              </w:rPr>
              <w:t>水平和医疗卫生环境，提高药物质量。有利于满足医疗机构临床用药，加强药品质量管理，药品采购配送，加快建立药品联合采购机制，保障药品供应。</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该项目预算资金13.3万元，</w:t>
            </w:r>
            <w:r>
              <w:rPr>
                <w:rFonts w:hint="eastAsia" w:ascii="宋体" w:hAnsi="宋体"/>
                <w:sz w:val="16"/>
                <w:lang w:eastAsia="zh-CN"/>
              </w:rPr>
              <w:t>截至</w:t>
            </w:r>
            <w:r>
              <w:rPr>
                <w:rFonts w:ascii="宋体" w:hAnsi="宋体" w:eastAsia="宋体"/>
                <w:sz w:val="16"/>
              </w:rPr>
              <w:t>2024年12月31日，现已支出资金为13.3万元，执行率为100%，采购了一批药品，主要用于支付采购药品款13.3万元，项目实施后将会进一步改善医疗</w:t>
            </w:r>
            <w:r>
              <w:rPr>
                <w:rFonts w:hint="eastAsia" w:ascii="宋体" w:hAnsi="宋体"/>
                <w:sz w:val="16"/>
                <w:lang w:val="en-US" w:eastAsia="zh-CN"/>
              </w:rPr>
              <w:t>服务</w:t>
            </w:r>
            <w:bookmarkStart w:id="0" w:name="_GoBack"/>
            <w:bookmarkEnd w:id="0"/>
            <w:r>
              <w:rPr>
                <w:rFonts w:ascii="宋体" w:hAnsi="宋体" w:eastAsia="宋体"/>
                <w:sz w:val="16"/>
              </w:rPr>
              <w:t>水平和医疗卫生环境，提高药物质量。有利于满足医疗机构临床用药，加强药品质量管理，药品采购配送，加快建立药品联合采购机制，保障药品供应。</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采购款拨付及时率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&lt;=13.30万元/批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满足医疗机构临床用药需求</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医疗机构满意度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伽师县维吾尔医医院、人民医院2024年公立医院综合改革补助项目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伽师县维吾尔医医院</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共下达资金为148万元，用于伽师县维吾尔医院采购1批药品、伽师县人民医院采购1批药品，通过项目实施可以规范诊疗用药，提高医院医疗服务能力和服务质量，持续医疗质量改进，提高诊疗水平，提高业务知识，有效提高我院医疗服务能力和医药</w:t>
            </w:r>
            <w:r>
              <w:rPr>
                <w:rFonts w:hint="eastAsia" w:ascii="宋体" w:hAnsi="宋体"/>
                <w:sz w:val="16"/>
                <w:lang w:eastAsia="zh-CN"/>
              </w:rPr>
              <w:t>质量</w:t>
            </w:r>
            <w:r>
              <w:rPr>
                <w:rFonts w:ascii="宋体" w:hAnsi="宋体" w:eastAsia="宋体"/>
                <w:sz w:val="16"/>
              </w:rPr>
              <w:t>，有效减轻患者经济负担，协调推进医疗价格、药品物流、</w:t>
            </w:r>
            <w:r>
              <w:rPr>
                <w:rFonts w:hint="eastAsia" w:ascii="宋体" w:hAnsi="宋体"/>
                <w:sz w:val="16"/>
                <w:lang w:eastAsia="zh-CN"/>
              </w:rPr>
              <w:t>医保支付方式改革</w:t>
            </w:r>
            <w:r>
              <w:rPr>
                <w:rFonts w:ascii="宋体" w:hAnsi="宋体" w:eastAsia="宋体"/>
                <w:sz w:val="16"/>
              </w:rPr>
              <w:t>，提高医疗卫生服务质量。</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148万元，截至2024年12月31日，现已支付金额148万元，执行率100%。用于伽师县维吾尔医院采购1批药品、伽师县人民医院采购1批药品，通过项目实施可以规范诊疗用药，提高医院医疗服务能力和服务质量，持续医疗质量改进，提高诊疗水平，提高业务知识，有效提高我院医疗服务能力和医药</w:t>
            </w:r>
            <w:r>
              <w:rPr>
                <w:rFonts w:hint="eastAsia" w:ascii="宋体" w:hAnsi="宋体"/>
                <w:sz w:val="16"/>
                <w:lang w:eastAsia="zh-CN"/>
              </w:rPr>
              <w:t>质量</w:t>
            </w:r>
            <w:r>
              <w:rPr>
                <w:rFonts w:ascii="宋体" w:hAnsi="宋体" w:eastAsia="宋体"/>
                <w:sz w:val="16"/>
              </w:rPr>
              <w:t>，有效减轻患者经济负担，协调推进医疗价格、药品物流、</w:t>
            </w:r>
            <w:r>
              <w:rPr>
                <w:rFonts w:hint="eastAsia" w:ascii="宋体" w:hAnsi="宋体"/>
                <w:sz w:val="16"/>
                <w:lang w:eastAsia="zh-CN"/>
              </w:rPr>
              <w:t>医保支付方式改革</w:t>
            </w:r>
            <w:r>
              <w:rPr>
                <w:rFonts w:ascii="宋体" w:hAnsi="宋体" w:eastAsia="宋体"/>
                <w:sz w:val="16"/>
              </w:rPr>
              <w:t>，提高医疗卫生服务质量。</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维吾尔医医院采购药品数量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人民医院采购药品数量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公立医院医疗服务收入（不含药品、耗材、检查、化验收入）占医疗收入的比例</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&gt;=30.92%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公立医院安检覆盖率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公立医院平均住院日</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&lt;=9.35天</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人民医院采购药品成本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&lt;=96.2万元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维吾尔医医院采购药品成本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&lt;=51.80万元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公立医院次均门诊费用增幅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公立医院住院人均费用增幅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医疗机构医护人员满意度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CA350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45E6E"/>
    <w:rsid w:val="77ED6F44"/>
    <w:rsid w:val="795A0A34"/>
    <w:rsid w:val="7A0D3BC7"/>
    <w:rsid w:val="7A3A3CDB"/>
    <w:rsid w:val="7AF138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5443</Words>
  <Characters>6245</Characters>
  <Lines>0</Lines>
  <Paragraphs>0</Paragraphs>
  <TotalTime>3</TotalTime>
  <ScaleCrop>false</ScaleCrop>
  <LinksUpToDate>false</LinksUpToDate>
  <CharactersWithSpaces>6256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2025-10-21T09:05:58Z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