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sz w:val="44"/>
          <w:szCs w:val="44"/>
          <w:lang w:val="en-US" w:eastAsia="zh-CN"/>
        </w:rPr>
      </w:pPr>
      <w:r>
        <w:rPr>
          <w:rFonts w:hint="eastAsia" w:ascii="Times New Roman" w:hAnsi="Times New Roman" w:eastAsia="方正小标宋_GBK" w:cs="Times New Roman"/>
          <w:sz w:val="44"/>
          <w:szCs w:val="44"/>
          <w:lang w:val="en-US" w:eastAsia="zh-CN"/>
        </w:rPr>
        <w:t>伽师县维吾尔医医院2024年中央医疗服务与保障能力提升（公立医院综合改革）补助资金项目自评报告</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imes New Roman" w:hAnsi="Times New Roman" w:eastAsia="方正小标宋_GBK" w:cs="Times New Roman"/>
          <w:sz w:val="44"/>
          <w:szCs w:val="44"/>
          <w:lang w:val="en-US" w:eastAsia="zh-CN"/>
        </w:rPr>
      </w:pPr>
    </w:p>
    <w:p>
      <w:pPr>
        <w:jc w:val="center"/>
        <w:rPr>
          <w:rFonts w:ascii="宋体" w:hAnsi="宋体" w:eastAsia="宋体"/>
          <w:b/>
          <w:bCs/>
          <w:sz w:val="44"/>
          <w:szCs w:val="44"/>
        </w:rPr>
      </w:pPr>
    </w:p>
    <w:p>
      <w:pPr>
        <w:jc w:val="center"/>
        <w:rPr>
          <w:rFonts w:ascii="宋体" w:hAnsi="宋体" w:eastAsia="宋体"/>
          <w:sz w:val="24"/>
          <w:szCs w:val="24"/>
        </w:rPr>
      </w:pPr>
    </w:p>
    <w:p>
      <w:pPr>
        <w:ind w:firstLine="0" w:firstLineChars="0"/>
        <w:jc w:val="center"/>
        <w:rPr>
          <w:rFonts w:hint="default" w:ascii="Times New Roman" w:hAnsi="Times New Roman" w:cs="Times New Roman"/>
          <w:sz w:val="32"/>
          <w:szCs w:val="32"/>
        </w:rPr>
      </w:pPr>
      <w:r>
        <w:rPr>
          <w:rFonts w:hint="eastAsia" w:ascii="Times New Roman" w:hAnsi="Times New Roman" w:cs="Times New Roman"/>
          <w:sz w:val="32"/>
          <w:szCs w:val="32"/>
        </w:rPr>
        <w:t>（202</w:t>
      </w:r>
      <w:r>
        <w:rPr>
          <w:rFonts w:hint="eastAsia" w:ascii="Times New Roman" w:hAnsi="Times New Roman" w:cs="Times New Roman"/>
          <w:sz w:val="32"/>
          <w:szCs w:val="32"/>
          <w:lang w:val="en-US" w:eastAsia="zh-CN"/>
        </w:rPr>
        <w:t>4</w:t>
      </w:r>
      <w:r>
        <w:rPr>
          <w:rFonts w:hint="eastAsia" w:ascii="Times New Roman" w:hAnsi="Times New Roman" w:cs="Times New Roman"/>
          <w:sz w:val="32"/>
          <w:szCs w:val="32"/>
        </w:rPr>
        <w:t>年度）</w:t>
      </w:r>
    </w:p>
    <w:p>
      <w:pPr>
        <w:ind w:firstLine="0" w:firstLineChars="0"/>
        <w:jc w:val="center"/>
        <w:rPr>
          <w:rFonts w:hint="default" w:ascii="Times New Roman" w:hAnsi="Times New Roman" w:cs="Times New Roman"/>
          <w:sz w:val="32"/>
          <w:szCs w:val="32"/>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rPr>
        <w:t>项目名称：</w:t>
      </w:r>
      <w:r>
        <w:rPr>
          <w:rFonts w:hint="eastAsia" w:ascii="Times New Roman" w:hAnsi="Times New Roman" w:eastAsia="仿宋_GB2312" w:cs="Times New Roman"/>
          <w:sz w:val="32"/>
          <w:szCs w:val="32"/>
          <w:lang w:val="en-US" w:eastAsia="zh-CN"/>
        </w:rPr>
        <w:t>伽师县维吾尔医医院2024年中央医疗服务与保障能力提升（公立医院综合改革）补助资金项目</w:t>
      </w:r>
    </w:p>
    <w:p>
      <w:pPr>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rPr>
        <w:t>实施单位（公章）：</w:t>
      </w:r>
      <w:r>
        <w:rPr>
          <w:rFonts w:hint="eastAsia" w:ascii="Times New Roman" w:hAnsi="Times New Roman" w:eastAsia="仿宋_GB2312" w:cs="Times New Roman"/>
          <w:sz w:val="32"/>
          <w:szCs w:val="32"/>
          <w:lang w:val="en-US" w:eastAsia="zh-CN"/>
        </w:rPr>
        <w:t>伽师维吾尔医医院</w:t>
      </w:r>
    </w:p>
    <w:p>
      <w:pPr>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rPr>
        <w:t>主管部门（公章）：</w:t>
      </w:r>
      <w:r>
        <w:rPr>
          <w:rFonts w:hint="eastAsia" w:ascii="Times New Roman" w:hAnsi="Times New Roman" w:eastAsia="仿宋_GB2312" w:cs="Times New Roman"/>
          <w:sz w:val="32"/>
          <w:szCs w:val="32"/>
          <w:lang w:val="en-US" w:eastAsia="zh-CN"/>
        </w:rPr>
        <w:t>伽师县卫健委</w:t>
      </w:r>
    </w:p>
    <w:p>
      <w:pPr>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项目负责人（签章）：</w:t>
      </w:r>
      <w:r>
        <w:rPr>
          <w:rFonts w:hint="eastAsia" w:ascii="Times New Roman" w:hAnsi="Times New Roman" w:eastAsia="仿宋_GB2312" w:cs="Times New Roman"/>
          <w:sz w:val="32"/>
          <w:szCs w:val="32"/>
          <w:lang w:eastAsia="zh-CN"/>
        </w:rPr>
        <w:t>苏慧钰</w:t>
      </w:r>
    </w:p>
    <w:p>
      <w:pPr>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填报时间： </w:t>
      </w:r>
      <w:r>
        <w:rPr>
          <w:rFonts w:hint="eastAsia" w:ascii="Times New Roman" w:hAnsi="Times New Roman" w:eastAsia="仿宋_GB2312" w:cs="Times New Roman"/>
          <w:sz w:val="32"/>
          <w:szCs w:val="32"/>
          <w:lang w:val="en-US" w:eastAsia="zh-CN"/>
        </w:rPr>
        <w:t>2025</w:t>
      </w:r>
      <w:r>
        <w:rPr>
          <w:rFonts w:hint="default"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 xml:space="preserve">年 </w:t>
      </w:r>
      <w:r>
        <w:rPr>
          <w:rFonts w:hint="default"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lang w:val="en-US" w:eastAsia="zh-CN"/>
        </w:rPr>
        <w:t xml:space="preserve">01 </w:t>
      </w:r>
      <w:r>
        <w:rPr>
          <w:rFonts w:hint="eastAsia" w:ascii="Times New Roman" w:hAnsi="Times New Roman" w:eastAsia="仿宋_GB2312" w:cs="Times New Roman"/>
          <w:sz w:val="32"/>
          <w:szCs w:val="32"/>
        </w:rPr>
        <w:t xml:space="preserve">月 </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日</w:t>
      </w:r>
    </w:p>
    <w:p>
      <w:pPr>
        <w:rPr>
          <w:rFonts w:ascii="宋体" w:hAnsi="宋体" w:eastAsia="宋体"/>
          <w:sz w:val="28"/>
          <w:szCs w:val="28"/>
        </w:rPr>
      </w:pPr>
    </w:p>
    <w:p>
      <w:pPr>
        <w:rPr>
          <w:rFonts w:ascii="宋体" w:hAnsi="宋体" w:eastAsia="宋体"/>
          <w:sz w:val="24"/>
          <w:szCs w:val="24"/>
        </w:rPr>
      </w:pPr>
    </w:p>
    <w:p>
      <w:pPr>
        <w:spacing w:line="480" w:lineRule="auto"/>
        <w:rPr>
          <w:rFonts w:ascii="宋体" w:hAnsi="宋体" w:eastAsia="宋体"/>
          <w:sz w:val="24"/>
          <w:szCs w:val="24"/>
        </w:rPr>
      </w:pPr>
    </w:p>
    <w:p>
      <w:pPr>
        <w:jc w:val="center"/>
        <w:rPr>
          <w:rFonts w:hint="default" w:ascii="Times New Roman" w:hAnsi="Times New Roman" w:eastAsia="方正小标宋简体" w:cs="Times New Roman"/>
          <w:b w:val="0"/>
          <w:bCs w:val="0"/>
          <w:w w:val="90"/>
          <w:sz w:val="44"/>
          <w:szCs w:val="44"/>
        </w:rPr>
      </w:pPr>
      <w:r>
        <w:rPr>
          <w:rFonts w:hint="default" w:ascii="Times New Roman" w:hAnsi="Times New Roman" w:eastAsia="方正小标宋简体" w:cs="Times New Roman"/>
          <w:b w:val="0"/>
          <w:bCs w:val="0"/>
          <w:w w:val="90"/>
          <w:sz w:val="44"/>
          <w:szCs w:val="44"/>
        </w:rPr>
        <w:t>新疆</w:t>
      </w:r>
      <w:r>
        <w:rPr>
          <w:rFonts w:hint="default" w:ascii="Times New Roman" w:hAnsi="Times New Roman" w:eastAsia="方正小标宋简体" w:cs="Times New Roman"/>
          <w:b w:val="0"/>
          <w:bCs w:val="0"/>
          <w:w w:val="90"/>
          <w:sz w:val="44"/>
          <w:szCs w:val="44"/>
          <w:lang w:eastAsia="zh-CN"/>
        </w:rPr>
        <w:t>维吾尔自治区</w:t>
      </w:r>
      <w:r>
        <w:rPr>
          <w:rFonts w:hint="default" w:ascii="Times New Roman" w:hAnsi="Times New Roman" w:eastAsia="方正小标宋简体" w:cs="Times New Roman"/>
          <w:b w:val="0"/>
          <w:bCs w:val="0"/>
          <w:w w:val="90"/>
          <w:sz w:val="44"/>
          <w:szCs w:val="44"/>
        </w:rPr>
        <w:t>医疗服务与保障能力提升（公立医院综合改革）中央专项转移支付</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 w:val="0"/>
          <w:bCs w:val="0"/>
          <w:w w:val="90"/>
          <w:sz w:val="44"/>
          <w:szCs w:val="44"/>
        </w:rPr>
      </w:pPr>
      <w:r>
        <w:rPr>
          <w:rFonts w:hint="default" w:ascii="Times New Roman" w:hAnsi="Times New Roman" w:eastAsia="方正小标宋简体" w:cs="Times New Roman"/>
          <w:b w:val="0"/>
          <w:bCs w:val="0"/>
          <w:w w:val="90"/>
          <w:sz w:val="44"/>
          <w:szCs w:val="44"/>
        </w:rPr>
        <w:t>202</w:t>
      </w:r>
      <w:r>
        <w:rPr>
          <w:rFonts w:hint="eastAsia" w:ascii="Times New Roman" w:hAnsi="Times New Roman" w:eastAsia="方正小标宋简体" w:cs="Times New Roman"/>
          <w:b w:val="0"/>
          <w:bCs w:val="0"/>
          <w:w w:val="90"/>
          <w:sz w:val="44"/>
          <w:szCs w:val="44"/>
          <w:lang w:val="en-US" w:eastAsia="zh-CN"/>
        </w:rPr>
        <w:t>4</w:t>
      </w:r>
      <w:r>
        <w:rPr>
          <w:rFonts w:hint="default" w:ascii="Times New Roman" w:hAnsi="Times New Roman" w:eastAsia="方正小标宋简体" w:cs="Times New Roman"/>
          <w:b w:val="0"/>
          <w:bCs w:val="0"/>
          <w:w w:val="90"/>
          <w:sz w:val="44"/>
          <w:szCs w:val="44"/>
        </w:rPr>
        <w:t>年度绩效自评报告</w:t>
      </w:r>
    </w:p>
    <w:p>
      <w:pPr>
        <w:jc w:val="both"/>
        <w:rPr>
          <w:rFonts w:hint="default" w:ascii="Times New Roman" w:hAnsi="Times New Roman" w:eastAsia="方正小标宋简体" w:cs="Times New Roman"/>
          <w:b w:val="0"/>
          <w:bCs w:val="0"/>
          <w:w w:val="90"/>
          <w:sz w:val="44"/>
          <w:szCs w:val="44"/>
          <w:lang w:eastAsia="zh-CN"/>
        </w:rPr>
      </w:pPr>
    </w:p>
    <w:p>
      <w:pPr>
        <w:jc w:val="center"/>
        <w:rPr>
          <w:rFonts w:hint="default" w:ascii="Times New Roman" w:hAnsi="Times New Roman" w:eastAsia="方正小标宋简体" w:cs="Times New Roman"/>
          <w:b w:val="0"/>
          <w:bCs w:val="0"/>
          <w:w w:val="90"/>
          <w:sz w:val="44"/>
          <w:szCs w:val="44"/>
          <w:lang w:eastAsia="zh-CN"/>
        </w:rPr>
      </w:pPr>
    </w:p>
    <w:p>
      <w:pPr>
        <w:spacing w:line="480" w:lineRule="auto"/>
        <w:ind w:firstLine="640" w:firstLineChars="200"/>
        <w:rPr>
          <w:rFonts w:hint="default" w:ascii="Times New Roman" w:hAnsi="Times New Roman" w:eastAsia="方正小标宋简体" w:cs="Times New Roman"/>
          <w:b w:val="0"/>
          <w:bCs w:val="0"/>
          <w:w w:val="90"/>
          <w:sz w:val="44"/>
          <w:szCs w:val="44"/>
        </w:rPr>
      </w:pPr>
      <w:r>
        <w:rPr>
          <w:rFonts w:hint="default" w:ascii="Times New Roman" w:hAnsi="Times New Roman" w:eastAsia="仿宋_GB2312" w:cs="Times New Roman"/>
          <w:sz w:val="32"/>
          <w:szCs w:val="32"/>
        </w:rPr>
        <w:t>贯彻落实党中央全面实施预算绩效管理决策部署，根据《财政部关于开展202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年度中央对地方转移支付预算执行情况绩效自评工作的通知》（</w:t>
      </w:r>
      <w:r>
        <w:rPr>
          <w:rFonts w:hint="eastAsia" w:ascii="Times New Roman" w:hAnsi="Times New Roman" w:eastAsia="仿宋_GB2312" w:cs="Times New Roman"/>
          <w:sz w:val="32"/>
          <w:szCs w:val="32"/>
          <w:lang w:eastAsia="zh-CN"/>
        </w:rPr>
        <w:t>新财社</w:t>
      </w:r>
      <w:r>
        <w:rPr>
          <w:rFonts w:hint="default" w:ascii="Times New Roman" w:hAnsi="Times New Roman" w:eastAsia="仿宋_GB2312" w:cs="Times New Roman"/>
          <w:sz w:val="32"/>
          <w:szCs w:val="32"/>
        </w:rPr>
        <w:t>〔2024〕</w:t>
      </w:r>
      <w:r>
        <w:rPr>
          <w:rFonts w:hint="eastAsia" w:ascii="Times New Roman" w:hAnsi="Times New Roman" w:eastAsia="仿宋_GB2312" w:cs="Times New Roman"/>
          <w:sz w:val="32"/>
          <w:szCs w:val="32"/>
          <w:lang w:val="en-US" w:eastAsia="zh-CN"/>
        </w:rPr>
        <w:t>82</w:t>
      </w:r>
      <w:r>
        <w:rPr>
          <w:rFonts w:hint="default" w:ascii="Times New Roman" w:hAnsi="Times New Roman" w:eastAsia="仿宋_GB2312" w:cs="Times New Roman"/>
          <w:sz w:val="32"/>
          <w:szCs w:val="32"/>
        </w:rPr>
        <w:t>号），自治区卫生健康委员会</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w w:val="90"/>
          <w:sz w:val="32"/>
          <w:szCs w:val="32"/>
          <w:lang w:val="en-US" w:eastAsia="zh-CN"/>
        </w:rPr>
        <w:t>自治区医疗保障局</w:t>
      </w:r>
      <w:r>
        <w:rPr>
          <w:rFonts w:hint="default" w:ascii="Times New Roman" w:hAnsi="Times New Roman" w:eastAsia="仿宋_GB2312" w:cs="Times New Roman"/>
          <w:sz w:val="32"/>
          <w:szCs w:val="32"/>
        </w:rPr>
        <w:t>高度重视、严格按规范要求组织开展了202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年度医疗服务与保障能力提升项目绩效自评工作，现将自评情况报告如下：</w:t>
      </w:r>
    </w:p>
    <w:p>
      <w:pPr>
        <w:numPr>
          <w:ilvl w:val="0"/>
          <w:numId w:val="1"/>
        </w:numPr>
        <w:spacing w:line="480" w:lineRule="auto"/>
        <w:rPr>
          <w:rFonts w:ascii="宋体" w:hAnsi="宋体" w:eastAsia="宋体"/>
          <w:b/>
          <w:bCs/>
          <w:sz w:val="32"/>
          <w:szCs w:val="32"/>
        </w:rPr>
      </w:pPr>
      <w:r>
        <w:rPr>
          <w:rFonts w:hint="eastAsia" w:ascii="宋体" w:hAnsi="宋体" w:eastAsia="宋体"/>
          <w:b/>
          <w:bCs/>
          <w:sz w:val="32"/>
          <w:szCs w:val="32"/>
        </w:rPr>
        <w:t>绩效目标分解下达情况</w:t>
      </w:r>
    </w:p>
    <w:p>
      <w:pPr>
        <w:numPr>
          <w:ilvl w:val="0"/>
          <w:numId w:val="0"/>
        </w:numPr>
        <w:spacing w:line="480" w:lineRule="auto"/>
        <w:rPr>
          <w:rFonts w:ascii="宋体" w:hAnsi="宋体" w:eastAsia="宋体"/>
          <w:b/>
          <w:bCs/>
          <w:sz w:val="32"/>
          <w:szCs w:val="32"/>
        </w:rPr>
      </w:pPr>
      <w:r>
        <w:rPr>
          <w:rFonts w:hint="default" w:ascii="Times New Roman" w:hAnsi="Times New Roman" w:eastAsia="楷体_GB2312" w:cs="Times New Roman"/>
          <w:b/>
          <w:bCs/>
          <w:sz w:val="32"/>
          <w:szCs w:val="32"/>
        </w:rPr>
        <w:t>（一）中央下达医疗服务与保障能力提升（公立医院综合改革）补助资金转移支付预算和绩效目标情况</w:t>
      </w:r>
    </w:p>
    <w:p>
      <w:pPr>
        <w:spacing w:line="480" w:lineRule="auto"/>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1、下达预算情况</w:t>
      </w:r>
    </w:p>
    <w:p>
      <w:pPr>
        <w:spacing w:line="480" w:lineRule="auto"/>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年度，财政部下达新疆202</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年</w:t>
      </w:r>
      <w:r>
        <w:rPr>
          <w:rFonts w:hint="eastAsia" w:ascii="Times New Roman" w:hAnsi="Times New Roman" w:eastAsia="仿宋_GB2312" w:cs="Times New Roman"/>
          <w:sz w:val="32"/>
          <w:szCs w:val="32"/>
          <w:lang w:eastAsia="zh-CN"/>
        </w:rPr>
        <w:t>中央财政医疗服务与保障能力提升（公立医院综合改革）</w:t>
      </w:r>
      <w:r>
        <w:rPr>
          <w:rFonts w:hint="eastAsia" w:ascii="Times New Roman" w:hAnsi="Times New Roman" w:eastAsia="仿宋_GB2312" w:cs="Times New Roman"/>
          <w:sz w:val="32"/>
          <w:szCs w:val="32"/>
        </w:rPr>
        <w:t>项目，资金共计</w:t>
      </w:r>
      <w:r>
        <w:rPr>
          <w:rFonts w:hint="eastAsia" w:ascii="Times New Roman" w:hAnsi="Times New Roman" w:eastAsia="仿宋_GB2312" w:cs="Times New Roman"/>
          <w:sz w:val="32"/>
          <w:szCs w:val="32"/>
          <w:lang w:val="en-US" w:eastAsia="zh-CN"/>
        </w:rPr>
        <w:t>51.8</w:t>
      </w:r>
      <w:r>
        <w:rPr>
          <w:rFonts w:hint="eastAsia" w:ascii="Times New Roman" w:hAnsi="Times New Roman" w:eastAsia="仿宋_GB2312" w:cs="Times New Roman"/>
          <w:sz w:val="32"/>
          <w:szCs w:val="32"/>
        </w:rPr>
        <w:t>万元，</w:t>
      </w:r>
      <w:r>
        <w:rPr>
          <w:rFonts w:hint="default" w:ascii="Times New Roman" w:hAnsi="Times New Roman" w:eastAsia="仿宋_GB2312" w:cs="Times New Roman"/>
          <w:sz w:val="32"/>
          <w:szCs w:val="32"/>
        </w:rPr>
        <w:t>用于公立医院医疗服务与保障能力提升补助项目。具体如下：</w:t>
      </w:r>
    </w:p>
    <w:p>
      <w:pPr>
        <w:spacing w:line="480" w:lineRule="auto"/>
        <w:ind w:firstLine="640" w:firstLineChars="200"/>
        <w:rPr>
          <w:rFonts w:hint="default" w:ascii="Times New Roman" w:hAnsi="Times New Roman" w:eastAsia="仿宋_GB2312" w:cs="Times New Roman"/>
          <w:sz w:val="32"/>
          <w:szCs w:val="32"/>
        </w:rPr>
      </w:pPr>
    </w:p>
    <w:p>
      <w:pPr>
        <w:spacing w:line="480" w:lineRule="auto"/>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20</w:t>
      </w:r>
      <w:r>
        <w:rPr>
          <w:rFonts w:hint="eastAsia" w:ascii="Times New Roman" w:hAnsi="Times New Roman" w:eastAsia="仿宋_GB2312" w:cs="Times New Roman"/>
          <w:sz w:val="32"/>
          <w:szCs w:val="32"/>
          <w:lang w:val="en-US" w:eastAsia="zh-CN"/>
        </w:rPr>
        <w:t>23</w:t>
      </w:r>
      <w:r>
        <w:rPr>
          <w:rFonts w:hint="eastAsia"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12</w:t>
      </w:r>
      <w:r>
        <w:rPr>
          <w:rFonts w:hint="eastAsia" w:ascii="Times New Roman" w:hAnsi="Times New Roman" w:eastAsia="仿宋_GB2312" w:cs="Times New Roman"/>
          <w:sz w:val="32"/>
          <w:szCs w:val="32"/>
        </w:rPr>
        <w:t>月，财政部《</w:t>
      </w:r>
      <w:r>
        <w:rPr>
          <w:rFonts w:hint="eastAsia" w:ascii="Times New Roman" w:hAnsi="Times New Roman" w:eastAsia="仿宋_GB2312" w:cs="Times New Roman"/>
          <w:sz w:val="32"/>
          <w:szCs w:val="32"/>
          <w:lang w:eastAsia="zh-CN"/>
        </w:rPr>
        <w:t>关于中央财政医疗服务与保障能力提升（公立医院综合改革）补助资金预算的</w:t>
      </w:r>
      <w:r>
        <w:rPr>
          <w:rFonts w:hint="eastAsia" w:ascii="Times New Roman" w:hAnsi="Times New Roman" w:eastAsia="仿宋_GB2312" w:cs="Times New Roman"/>
          <w:sz w:val="32"/>
          <w:szCs w:val="32"/>
        </w:rPr>
        <w:t>通知》（</w:t>
      </w:r>
      <w:r>
        <w:rPr>
          <w:rFonts w:hint="eastAsia" w:ascii="Times New Roman" w:hAnsi="Times New Roman" w:eastAsia="仿宋_GB2312" w:cs="Times New Roman"/>
          <w:sz w:val="32"/>
          <w:szCs w:val="32"/>
          <w:lang w:eastAsia="zh-CN"/>
        </w:rPr>
        <w:t>喀地财社</w:t>
      </w:r>
      <w:r>
        <w:rPr>
          <w:rFonts w:hint="eastAsia"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82</w:t>
      </w:r>
      <w:r>
        <w:rPr>
          <w:rFonts w:hint="eastAsia" w:ascii="Times New Roman" w:hAnsi="Times New Roman" w:eastAsia="仿宋_GB2312" w:cs="Times New Roman"/>
          <w:sz w:val="32"/>
          <w:szCs w:val="32"/>
        </w:rPr>
        <w:t>号），</w:t>
      </w:r>
      <w:r>
        <w:rPr>
          <w:rFonts w:hint="eastAsia" w:ascii="Times New Roman" w:hAnsi="Times New Roman" w:eastAsia="仿宋_GB2312" w:cs="Times New Roman"/>
          <w:sz w:val="32"/>
          <w:szCs w:val="32"/>
          <w:lang w:val="en-US" w:eastAsia="zh-CN"/>
        </w:rPr>
        <w:t>资金51.8万元，</w:t>
      </w:r>
      <w:r>
        <w:rPr>
          <w:rFonts w:hint="eastAsia" w:ascii="Times New Roman" w:hAnsi="Times New Roman" w:eastAsia="仿宋_GB2312" w:cs="Times New Roman"/>
          <w:sz w:val="32"/>
          <w:szCs w:val="32"/>
        </w:rPr>
        <w:t>用于</w:t>
      </w:r>
      <w:r>
        <w:rPr>
          <w:rFonts w:hint="eastAsia" w:ascii="Times New Roman" w:hAnsi="Times New Roman" w:eastAsia="仿宋_GB2312" w:cs="Times New Roman"/>
          <w:sz w:val="32"/>
          <w:szCs w:val="32"/>
          <w:lang w:eastAsia="zh-CN"/>
        </w:rPr>
        <w:t>支付</w:t>
      </w:r>
      <w:r>
        <w:rPr>
          <w:rFonts w:hint="eastAsia" w:ascii="Times New Roman" w:hAnsi="Times New Roman" w:eastAsia="仿宋_GB2312" w:cs="Times New Roman"/>
          <w:sz w:val="32"/>
          <w:szCs w:val="32"/>
          <w:lang w:val="en-US" w:eastAsia="zh-CN"/>
        </w:rPr>
        <w:t>2024年药品采购款</w:t>
      </w:r>
      <w:r>
        <w:rPr>
          <w:rFonts w:hint="eastAsia" w:ascii="Times New Roman" w:hAnsi="Times New Roman" w:eastAsia="仿宋_GB2312" w:cs="Times New Roman"/>
          <w:sz w:val="32"/>
          <w:szCs w:val="32"/>
        </w:rPr>
        <w:t>。</w:t>
      </w:r>
    </w:p>
    <w:p>
      <w:pPr>
        <w:spacing w:line="480" w:lineRule="auto"/>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2、下达绩效目标情况</w:t>
      </w:r>
    </w:p>
    <w:p>
      <w:pPr>
        <w:spacing w:line="480" w:lineRule="auto"/>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财政部随文下达新疆区域绩效目标，具体为：</w:t>
      </w:r>
    </w:p>
    <w:p>
      <w:pPr>
        <w:spacing w:line="480" w:lineRule="auto"/>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项目1：</w:t>
      </w:r>
    </w:p>
    <w:tbl>
      <w:tblPr>
        <w:tblStyle w:val="8"/>
        <w:tblW w:w="8340" w:type="dxa"/>
        <w:tblInd w:w="93" w:type="dxa"/>
        <w:tblLayout w:type="fixed"/>
        <w:tblCellMar>
          <w:top w:w="0" w:type="dxa"/>
          <w:left w:w="108" w:type="dxa"/>
          <w:bottom w:w="0" w:type="dxa"/>
          <w:right w:w="108" w:type="dxa"/>
        </w:tblCellMar>
      </w:tblPr>
      <w:tblGrid>
        <w:gridCol w:w="616"/>
        <w:gridCol w:w="599"/>
        <w:gridCol w:w="1334"/>
        <w:gridCol w:w="3222"/>
        <w:gridCol w:w="2569"/>
      </w:tblGrid>
      <w:tr>
        <w:tblPrEx>
          <w:tblLayout w:type="fixed"/>
          <w:tblCellMar>
            <w:top w:w="0" w:type="dxa"/>
            <w:left w:w="108" w:type="dxa"/>
            <w:bottom w:w="0" w:type="dxa"/>
            <w:right w:w="108" w:type="dxa"/>
          </w:tblCellMar>
        </w:tblPrEx>
        <w:trPr>
          <w:trHeight w:val="625" w:hRule="atLeast"/>
        </w:trPr>
        <w:tc>
          <w:tcPr>
            <w:tcW w:w="834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color w:val="000000"/>
                <w:sz w:val="36"/>
                <w:szCs w:val="36"/>
              </w:rPr>
            </w:pPr>
            <w:r>
              <w:rPr>
                <w:rFonts w:hint="default" w:ascii="Times New Roman" w:hAnsi="Times New Roman" w:eastAsia="宋体" w:cs="Times New Roman"/>
                <w:b/>
                <w:bCs/>
                <w:sz w:val="24"/>
                <w:szCs w:val="24"/>
                <w:lang w:val="en-US" w:eastAsia="zh-CN"/>
              </w:rPr>
              <w:t>中央对地方专项转移支付区域绩效目标表</w:t>
            </w:r>
          </w:p>
        </w:tc>
      </w:tr>
      <w:tr>
        <w:tblPrEx>
          <w:tblLayout w:type="fixed"/>
          <w:tblCellMar>
            <w:top w:w="0" w:type="dxa"/>
            <w:left w:w="108" w:type="dxa"/>
            <w:bottom w:w="0" w:type="dxa"/>
            <w:right w:w="108" w:type="dxa"/>
          </w:tblCellMar>
        </w:tblPrEx>
        <w:trPr>
          <w:trHeight w:val="293" w:hRule="atLeast"/>
        </w:trPr>
        <w:tc>
          <w:tcPr>
            <w:tcW w:w="834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sz w:val="16"/>
                <w:szCs w:val="16"/>
              </w:rPr>
            </w:pPr>
            <w:r>
              <w:rPr>
                <w:rFonts w:hint="default" w:ascii="Times New Roman" w:hAnsi="Times New Roman" w:eastAsia="宋体" w:cs="Times New Roman"/>
                <w:i w:val="0"/>
                <w:iCs w:val="0"/>
                <w:color w:val="000000"/>
                <w:kern w:val="0"/>
                <w:sz w:val="16"/>
                <w:szCs w:val="16"/>
                <w:u w:val="none"/>
                <w:lang w:val="en-US" w:eastAsia="zh-CN"/>
              </w:rPr>
              <w:t>（202</w:t>
            </w:r>
            <w:r>
              <w:rPr>
                <w:rFonts w:hint="eastAsia" w:ascii="Times New Roman" w:hAnsi="Times New Roman" w:eastAsia="宋体" w:cs="Times New Roman"/>
                <w:i w:val="0"/>
                <w:iCs w:val="0"/>
                <w:color w:val="000000"/>
                <w:kern w:val="0"/>
                <w:sz w:val="16"/>
                <w:szCs w:val="16"/>
                <w:u w:val="none"/>
                <w:lang w:val="en-US" w:eastAsia="zh-CN"/>
              </w:rPr>
              <w:t>4</w:t>
            </w:r>
            <w:r>
              <w:rPr>
                <w:rFonts w:hint="default" w:ascii="Times New Roman" w:hAnsi="Times New Roman" w:eastAsia="宋体" w:cs="Times New Roman"/>
                <w:i w:val="0"/>
                <w:iCs w:val="0"/>
                <w:color w:val="000000"/>
                <w:kern w:val="0"/>
                <w:sz w:val="16"/>
                <w:szCs w:val="16"/>
                <w:u w:val="none"/>
                <w:lang w:val="en-US" w:eastAsia="zh-CN"/>
              </w:rPr>
              <w:t>年度）</w:t>
            </w:r>
          </w:p>
        </w:tc>
      </w:tr>
      <w:tr>
        <w:tblPrEx>
          <w:tblLayout w:type="fixed"/>
          <w:tblCellMar>
            <w:top w:w="0" w:type="dxa"/>
            <w:left w:w="108" w:type="dxa"/>
            <w:bottom w:w="0" w:type="dxa"/>
            <w:right w:w="108" w:type="dxa"/>
          </w:tblCellMar>
        </w:tblPrEx>
        <w:trPr>
          <w:trHeight w:val="399" w:hRule="atLeast"/>
        </w:trPr>
        <w:tc>
          <w:tcPr>
            <w:tcW w:w="12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专项名称</w:t>
            </w:r>
          </w:p>
        </w:tc>
        <w:tc>
          <w:tcPr>
            <w:tcW w:w="712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医疗服务与保障能力提升（公立医院综合改革）补助资金</w:t>
            </w:r>
          </w:p>
        </w:tc>
      </w:tr>
      <w:tr>
        <w:tblPrEx>
          <w:tblLayout w:type="fixed"/>
          <w:tblCellMar>
            <w:top w:w="0" w:type="dxa"/>
            <w:left w:w="108" w:type="dxa"/>
            <w:bottom w:w="0" w:type="dxa"/>
            <w:right w:w="108" w:type="dxa"/>
          </w:tblCellMar>
        </w:tblPrEx>
        <w:trPr>
          <w:trHeight w:val="358" w:hRule="atLeast"/>
        </w:trPr>
        <w:tc>
          <w:tcPr>
            <w:tcW w:w="12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r>
              <w:rPr>
                <w:rFonts w:hint="eastAsia" w:ascii="Times New Roman" w:hAnsi="Times New Roman" w:eastAsia="宋体" w:cs="Times New Roman"/>
                <w:i w:val="0"/>
                <w:iCs w:val="0"/>
                <w:color w:val="000000"/>
                <w:kern w:val="0"/>
                <w:sz w:val="18"/>
                <w:szCs w:val="18"/>
                <w:u w:val="none"/>
                <w:lang w:val="en-US" w:eastAsia="zh-CN"/>
              </w:rPr>
              <w:t>自治区主管部门</w:t>
            </w:r>
          </w:p>
        </w:tc>
        <w:tc>
          <w:tcPr>
            <w:tcW w:w="712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r>
              <w:rPr>
                <w:rFonts w:hint="eastAsia" w:ascii="Times New Roman" w:hAnsi="Times New Roman" w:eastAsia="宋体" w:cs="Times New Roman"/>
                <w:i w:val="0"/>
                <w:iCs w:val="0"/>
                <w:color w:val="000000"/>
                <w:kern w:val="0"/>
                <w:sz w:val="18"/>
                <w:szCs w:val="18"/>
                <w:u w:val="none"/>
                <w:lang w:val="en-US" w:eastAsia="zh-CN"/>
              </w:rPr>
              <w:t>自治区</w:t>
            </w:r>
            <w:r>
              <w:rPr>
                <w:rFonts w:hint="default" w:ascii="Times New Roman" w:hAnsi="Times New Roman" w:eastAsia="宋体" w:cs="Times New Roman"/>
                <w:i w:val="0"/>
                <w:iCs w:val="0"/>
                <w:color w:val="000000"/>
                <w:kern w:val="0"/>
                <w:sz w:val="18"/>
                <w:szCs w:val="18"/>
                <w:u w:val="none"/>
                <w:lang w:val="en-US" w:eastAsia="zh-CN"/>
              </w:rPr>
              <w:t>卫生健康委员会</w:t>
            </w:r>
          </w:p>
        </w:tc>
      </w:tr>
      <w:tr>
        <w:tblPrEx>
          <w:tblLayout w:type="fixed"/>
          <w:tblCellMar>
            <w:top w:w="0" w:type="dxa"/>
            <w:left w:w="108" w:type="dxa"/>
            <w:bottom w:w="0" w:type="dxa"/>
            <w:right w:w="108" w:type="dxa"/>
          </w:tblCellMar>
        </w:tblPrEx>
        <w:trPr>
          <w:trHeight w:val="332" w:hRule="atLeast"/>
        </w:trPr>
        <w:tc>
          <w:tcPr>
            <w:tcW w:w="12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color w:val="000000"/>
                <w:kern w:val="0"/>
                <w:sz w:val="24"/>
                <w:szCs w:val="24"/>
              </w:rPr>
            </w:pPr>
            <w:r>
              <w:rPr>
                <w:rFonts w:hint="eastAsia" w:ascii="Times New Roman" w:hAnsi="Times New Roman" w:eastAsia="宋体" w:cs="Times New Roman"/>
                <w:i w:val="0"/>
                <w:iCs w:val="0"/>
                <w:color w:val="000000"/>
                <w:kern w:val="0"/>
                <w:sz w:val="18"/>
                <w:szCs w:val="18"/>
                <w:u w:val="none"/>
                <w:lang w:val="en-US" w:eastAsia="zh-CN"/>
              </w:rPr>
              <w:t>地区</w:t>
            </w:r>
            <w:r>
              <w:rPr>
                <w:rFonts w:hint="default" w:ascii="Times New Roman" w:hAnsi="Times New Roman" w:eastAsia="宋体" w:cs="Times New Roman"/>
                <w:i w:val="0"/>
                <w:iCs w:val="0"/>
                <w:color w:val="000000"/>
                <w:kern w:val="0"/>
                <w:sz w:val="18"/>
                <w:szCs w:val="18"/>
                <w:u w:val="none"/>
                <w:lang w:val="en-US" w:eastAsia="zh-CN"/>
              </w:rPr>
              <w:t>财政部门</w:t>
            </w:r>
          </w:p>
        </w:tc>
        <w:tc>
          <w:tcPr>
            <w:tcW w:w="13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r>
              <w:rPr>
                <w:rFonts w:hint="eastAsia" w:ascii="Times New Roman" w:hAnsi="Times New Roman" w:eastAsia="宋体" w:cs="Times New Roman"/>
                <w:i w:val="0"/>
                <w:iCs w:val="0"/>
                <w:color w:val="000000"/>
                <w:kern w:val="0"/>
                <w:sz w:val="18"/>
                <w:szCs w:val="18"/>
                <w:u w:val="none"/>
                <w:lang w:val="en-US" w:eastAsia="zh-CN"/>
              </w:rPr>
              <w:t>喀什地区财政局</w:t>
            </w:r>
          </w:p>
        </w:tc>
        <w:tc>
          <w:tcPr>
            <w:tcW w:w="322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r>
              <w:rPr>
                <w:rFonts w:hint="eastAsia" w:ascii="Times New Roman" w:hAnsi="Times New Roman" w:eastAsia="宋体" w:cs="Times New Roman"/>
                <w:i w:val="0"/>
                <w:iCs w:val="0"/>
                <w:color w:val="000000"/>
                <w:kern w:val="0"/>
                <w:sz w:val="18"/>
                <w:szCs w:val="18"/>
                <w:u w:val="none"/>
                <w:lang w:val="en-US" w:eastAsia="zh-CN"/>
              </w:rPr>
              <w:t>地区</w:t>
            </w:r>
            <w:r>
              <w:rPr>
                <w:rFonts w:hint="default" w:ascii="Times New Roman" w:hAnsi="Times New Roman" w:eastAsia="宋体" w:cs="Times New Roman"/>
                <w:i w:val="0"/>
                <w:iCs w:val="0"/>
                <w:color w:val="000000"/>
                <w:kern w:val="0"/>
                <w:sz w:val="18"/>
                <w:szCs w:val="18"/>
                <w:u w:val="none"/>
                <w:lang w:val="en-US" w:eastAsia="zh-CN"/>
              </w:rPr>
              <w:t>主管部门</w:t>
            </w:r>
          </w:p>
        </w:tc>
        <w:tc>
          <w:tcPr>
            <w:tcW w:w="256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 xml:space="preserve">   </w:t>
            </w:r>
            <w:r>
              <w:rPr>
                <w:rFonts w:hint="eastAsia" w:ascii="Times New Roman" w:hAnsi="Times New Roman" w:eastAsia="宋体" w:cs="Times New Roman"/>
                <w:i w:val="0"/>
                <w:iCs w:val="0"/>
                <w:color w:val="000000"/>
                <w:kern w:val="0"/>
                <w:sz w:val="18"/>
                <w:szCs w:val="18"/>
                <w:u w:val="none"/>
                <w:lang w:val="en-US" w:eastAsia="zh-CN"/>
              </w:rPr>
              <w:t>喀什地区</w:t>
            </w:r>
            <w:r>
              <w:rPr>
                <w:rFonts w:hint="default" w:ascii="Times New Roman" w:hAnsi="Times New Roman" w:eastAsia="宋体" w:cs="Times New Roman"/>
                <w:i w:val="0"/>
                <w:iCs w:val="0"/>
                <w:color w:val="000000"/>
                <w:kern w:val="0"/>
                <w:sz w:val="18"/>
                <w:szCs w:val="18"/>
                <w:u w:val="none"/>
                <w:lang w:val="en-US" w:eastAsia="zh-CN"/>
              </w:rPr>
              <w:t>卫生健康委员会</w:t>
            </w:r>
          </w:p>
        </w:tc>
      </w:tr>
      <w:tr>
        <w:tblPrEx>
          <w:tblLayout w:type="fixed"/>
          <w:tblCellMar>
            <w:top w:w="0" w:type="dxa"/>
            <w:left w:w="108" w:type="dxa"/>
            <w:bottom w:w="0" w:type="dxa"/>
            <w:right w:w="108" w:type="dxa"/>
          </w:tblCellMar>
        </w:tblPrEx>
        <w:trPr>
          <w:trHeight w:val="303" w:hRule="atLeast"/>
        </w:trPr>
        <w:tc>
          <w:tcPr>
            <w:tcW w:w="121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kern w:val="0"/>
                <w:sz w:val="18"/>
                <w:szCs w:val="18"/>
                <w:u w:val="none"/>
                <w:lang w:val="en-US" w:eastAsia="zh-CN"/>
              </w:rPr>
            </w:pPr>
            <w:r>
              <w:rPr>
                <w:rFonts w:hint="default" w:ascii="Times New Roman" w:hAnsi="Times New Roman" w:eastAsia="宋体" w:cs="Times New Roman"/>
                <w:i w:val="0"/>
                <w:iCs w:val="0"/>
                <w:color w:val="000000"/>
                <w:kern w:val="0"/>
                <w:sz w:val="18"/>
                <w:szCs w:val="18"/>
                <w:u w:val="none"/>
                <w:lang w:val="en-US" w:eastAsia="zh-CN"/>
              </w:rPr>
              <w:t xml:space="preserve">  资金情况</w:t>
            </w:r>
          </w:p>
          <w:p>
            <w:pPr>
              <w:keepNext w:val="0"/>
              <w:keepLines w:val="0"/>
              <w:widowControl/>
              <w:suppressLineNumbers w:val="0"/>
              <w:jc w:val="both"/>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 xml:space="preserve">  （万元）</w:t>
            </w:r>
          </w:p>
        </w:tc>
        <w:tc>
          <w:tcPr>
            <w:tcW w:w="13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 xml:space="preserve">  年度金额：</w:t>
            </w:r>
          </w:p>
        </w:tc>
        <w:tc>
          <w:tcPr>
            <w:tcW w:w="579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lang w:val="en-US" w:eastAsia="zh-CN"/>
              </w:rPr>
            </w:pPr>
            <w:r>
              <w:rPr>
                <w:rFonts w:hint="eastAsia" w:ascii="Times New Roman" w:hAnsi="Times New Roman" w:eastAsia="宋体" w:cs="Times New Roman"/>
                <w:color w:val="000000"/>
                <w:kern w:val="0"/>
                <w:sz w:val="24"/>
                <w:szCs w:val="24"/>
                <w:lang w:val="en-US" w:eastAsia="zh-CN"/>
              </w:rPr>
              <w:t>51.8</w:t>
            </w:r>
          </w:p>
        </w:tc>
      </w:tr>
      <w:tr>
        <w:tblPrEx>
          <w:tblLayout w:type="fixed"/>
          <w:tblCellMar>
            <w:top w:w="0" w:type="dxa"/>
            <w:left w:w="108" w:type="dxa"/>
            <w:bottom w:w="0" w:type="dxa"/>
            <w:right w:w="108" w:type="dxa"/>
          </w:tblCellMar>
        </w:tblPrEx>
        <w:trPr>
          <w:trHeight w:val="399" w:hRule="atLeast"/>
        </w:trPr>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kern w:val="0"/>
                <w:sz w:val="24"/>
                <w:szCs w:val="24"/>
              </w:rPr>
            </w:pPr>
          </w:p>
        </w:tc>
        <w:tc>
          <w:tcPr>
            <w:tcW w:w="13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其中：中央补助</w:t>
            </w:r>
          </w:p>
        </w:tc>
        <w:tc>
          <w:tcPr>
            <w:tcW w:w="579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lang w:val="en-US" w:eastAsia="zh-CN"/>
              </w:rPr>
            </w:pPr>
            <w:r>
              <w:rPr>
                <w:rFonts w:hint="eastAsia" w:ascii="Times New Roman" w:hAnsi="Times New Roman" w:eastAsia="宋体" w:cs="Times New Roman"/>
                <w:color w:val="000000"/>
                <w:kern w:val="0"/>
                <w:sz w:val="24"/>
                <w:szCs w:val="24"/>
                <w:lang w:val="en-US" w:eastAsia="zh-CN"/>
              </w:rPr>
              <w:t>51.8</w:t>
            </w:r>
          </w:p>
        </w:tc>
      </w:tr>
      <w:tr>
        <w:tblPrEx>
          <w:tblLayout w:type="fixed"/>
          <w:tblCellMar>
            <w:top w:w="0" w:type="dxa"/>
            <w:left w:w="108" w:type="dxa"/>
            <w:bottom w:w="0" w:type="dxa"/>
            <w:right w:w="108" w:type="dxa"/>
          </w:tblCellMar>
        </w:tblPrEx>
        <w:trPr>
          <w:trHeight w:val="303" w:hRule="atLeast"/>
        </w:trPr>
        <w:tc>
          <w:tcPr>
            <w:tcW w:w="121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kern w:val="0"/>
                <w:sz w:val="24"/>
                <w:szCs w:val="24"/>
              </w:rPr>
            </w:pPr>
          </w:p>
        </w:tc>
        <w:tc>
          <w:tcPr>
            <w:tcW w:w="13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 xml:space="preserve">    地方资金</w:t>
            </w:r>
          </w:p>
        </w:tc>
        <w:tc>
          <w:tcPr>
            <w:tcW w:w="579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kern w:val="0"/>
                <w:sz w:val="24"/>
                <w:szCs w:val="24"/>
              </w:rPr>
            </w:pPr>
          </w:p>
        </w:tc>
      </w:tr>
      <w:tr>
        <w:tblPrEx>
          <w:tblLayout w:type="fixed"/>
          <w:tblCellMar>
            <w:top w:w="0" w:type="dxa"/>
            <w:left w:w="108" w:type="dxa"/>
            <w:bottom w:w="0" w:type="dxa"/>
            <w:right w:w="108" w:type="dxa"/>
          </w:tblCellMar>
        </w:tblPrEx>
        <w:trPr>
          <w:trHeight w:val="903" w:hRule="atLeast"/>
        </w:trPr>
        <w:tc>
          <w:tcPr>
            <w:tcW w:w="6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rPr>
            </w:pPr>
            <w:r>
              <w:rPr>
                <w:rFonts w:hint="default" w:ascii="Times New Roman" w:hAnsi="Times New Roman" w:eastAsia="宋体" w:cs="Times New Roman"/>
                <w:i w:val="0"/>
                <w:iCs w:val="0"/>
                <w:color w:val="000000"/>
                <w:kern w:val="0"/>
                <w:sz w:val="18"/>
                <w:szCs w:val="18"/>
                <w:u w:val="none"/>
                <w:lang w:val="en-US" w:eastAsia="zh-CN"/>
              </w:rPr>
              <w:t>年度</w:t>
            </w:r>
          </w:p>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rPr>
            </w:pPr>
            <w:r>
              <w:rPr>
                <w:rFonts w:hint="default" w:ascii="Times New Roman" w:hAnsi="Times New Roman" w:eastAsia="宋体" w:cs="Times New Roman"/>
                <w:i w:val="0"/>
                <w:iCs w:val="0"/>
                <w:color w:val="000000"/>
                <w:kern w:val="0"/>
                <w:sz w:val="18"/>
                <w:szCs w:val="18"/>
                <w:u w:val="none"/>
                <w:lang w:val="en-US" w:eastAsia="zh-CN"/>
              </w:rPr>
              <w:t>总体</w:t>
            </w:r>
          </w:p>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目标</w:t>
            </w:r>
          </w:p>
        </w:tc>
        <w:tc>
          <w:tcPr>
            <w:tcW w:w="772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4"/>
                <w:szCs w:val="24"/>
                <w:lang w:val="en-US" w:eastAsia="zh-CN"/>
              </w:rPr>
            </w:pPr>
            <w:r>
              <w:rPr>
                <w:rFonts w:hint="eastAsia" w:ascii="Times New Roman" w:hAnsi="Times New Roman" w:eastAsia="宋体" w:cs="Times New Roman"/>
                <w:i w:val="0"/>
                <w:iCs w:val="0"/>
                <w:color w:val="000000"/>
                <w:kern w:val="0"/>
                <w:sz w:val="18"/>
                <w:szCs w:val="18"/>
                <w:u w:val="none"/>
                <w:lang w:val="en-US" w:eastAsia="zh-CN"/>
              </w:rPr>
              <w:t>深化公立医院综合改革，持续推进公立医院高质量发展，基本建立具有中国特色的权责清晰，管理科学、治理完善、运行高效、监督有力的现代医院管理制度，建立维护公益性、调动积极性、保障可持续的运行新机制和科学合理的补偿机制。协调推进医疗价格、人事薪酬、药品物流、医保支付改革、提高医疗卫生服务质量。</w:t>
            </w:r>
          </w:p>
        </w:tc>
      </w:tr>
      <w:tr>
        <w:tblPrEx>
          <w:tblLayout w:type="fixed"/>
          <w:tblCellMar>
            <w:top w:w="0" w:type="dxa"/>
            <w:left w:w="108" w:type="dxa"/>
            <w:bottom w:w="0" w:type="dxa"/>
            <w:right w:w="108" w:type="dxa"/>
          </w:tblCellMar>
        </w:tblPrEx>
        <w:trPr>
          <w:trHeight w:val="594" w:hRule="atLeast"/>
        </w:trPr>
        <w:tc>
          <w:tcPr>
            <w:tcW w:w="6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rPr>
            </w:pPr>
            <w:r>
              <w:rPr>
                <w:rFonts w:hint="default" w:ascii="Times New Roman" w:hAnsi="Times New Roman" w:eastAsia="宋体" w:cs="Times New Roman"/>
                <w:i w:val="0"/>
                <w:iCs w:val="0"/>
                <w:color w:val="000000"/>
                <w:kern w:val="0"/>
                <w:sz w:val="18"/>
                <w:szCs w:val="18"/>
                <w:u w:val="none"/>
                <w:lang w:val="en-US" w:eastAsia="zh-CN"/>
              </w:rPr>
              <w:t>绩</w:t>
            </w:r>
          </w:p>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rPr>
            </w:pPr>
            <w:r>
              <w:rPr>
                <w:rFonts w:hint="default" w:ascii="Times New Roman" w:hAnsi="Times New Roman" w:eastAsia="宋体" w:cs="Times New Roman"/>
                <w:i w:val="0"/>
                <w:iCs w:val="0"/>
                <w:color w:val="000000"/>
                <w:kern w:val="0"/>
                <w:sz w:val="18"/>
                <w:szCs w:val="18"/>
                <w:u w:val="none"/>
                <w:lang w:val="en-US" w:eastAsia="zh-CN"/>
              </w:rPr>
              <w:t>效</w:t>
            </w:r>
          </w:p>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rPr>
            </w:pPr>
            <w:r>
              <w:rPr>
                <w:rFonts w:hint="default" w:ascii="Times New Roman" w:hAnsi="Times New Roman" w:eastAsia="宋体" w:cs="Times New Roman"/>
                <w:i w:val="0"/>
                <w:iCs w:val="0"/>
                <w:color w:val="000000"/>
                <w:kern w:val="0"/>
                <w:sz w:val="18"/>
                <w:szCs w:val="18"/>
                <w:u w:val="none"/>
                <w:lang w:val="en-US" w:eastAsia="zh-CN"/>
              </w:rPr>
              <w:t>指</w:t>
            </w:r>
          </w:p>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标</w:t>
            </w:r>
          </w:p>
        </w:tc>
        <w:tc>
          <w:tcPr>
            <w:tcW w:w="5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rPr>
            </w:pPr>
            <w:r>
              <w:rPr>
                <w:rFonts w:hint="default" w:ascii="Times New Roman" w:hAnsi="Times New Roman" w:eastAsia="宋体" w:cs="Times New Roman"/>
                <w:i w:val="0"/>
                <w:iCs w:val="0"/>
                <w:color w:val="000000"/>
                <w:kern w:val="0"/>
                <w:sz w:val="18"/>
                <w:szCs w:val="18"/>
                <w:u w:val="none"/>
                <w:lang w:val="en-US" w:eastAsia="zh-CN"/>
              </w:rPr>
              <w:t>一级</w:t>
            </w:r>
          </w:p>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指标</w:t>
            </w:r>
          </w:p>
        </w:tc>
        <w:tc>
          <w:tcPr>
            <w:tcW w:w="13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二级指标</w:t>
            </w:r>
          </w:p>
        </w:tc>
        <w:tc>
          <w:tcPr>
            <w:tcW w:w="322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三级指标</w:t>
            </w:r>
          </w:p>
        </w:tc>
        <w:tc>
          <w:tcPr>
            <w:tcW w:w="256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指标值（包含数字及文字描述）</w:t>
            </w:r>
          </w:p>
        </w:tc>
      </w:tr>
      <w:tr>
        <w:tblPrEx>
          <w:tblLayout w:type="fixed"/>
          <w:tblCellMar>
            <w:top w:w="0" w:type="dxa"/>
            <w:left w:w="108" w:type="dxa"/>
            <w:bottom w:w="0" w:type="dxa"/>
            <w:right w:w="108" w:type="dxa"/>
          </w:tblCellMar>
        </w:tblPrEx>
        <w:trPr>
          <w:trHeight w:val="594" w:hRule="atLeast"/>
        </w:trPr>
        <w:tc>
          <w:tcPr>
            <w:tcW w:w="61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kern w:val="0"/>
                <w:sz w:val="24"/>
                <w:szCs w:val="24"/>
              </w:rPr>
            </w:pPr>
          </w:p>
        </w:tc>
        <w:tc>
          <w:tcPr>
            <w:tcW w:w="59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产出指标</w:t>
            </w:r>
          </w:p>
        </w:tc>
        <w:tc>
          <w:tcPr>
            <w:tcW w:w="13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数量指标</w:t>
            </w:r>
          </w:p>
        </w:tc>
        <w:tc>
          <w:tcPr>
            <w:tcW w:w="322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公立医院医疗服务收入（不含药品、耗材、检查、化验收入）占医疗收入的比例</w:t>
            </w:r>
          </w:p>
        </w:tc>
        <w:tc>
          <w:tcPr>
            <w:tcW w:w="256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较上年提高或高于全国平均水平</w:t>
            </w:r>
          </w:p>
        </w:tc>
      </w:tr>
      <w:tr>
        <w:tblPrEx>
          <w:tblLayout w:type="fixed"/>
          <w:tblCellMar>
            <w:top w:w="0" w:type="dxa"/>
            <w:left w:w="108" w:type="dxa"/>
            <w:bottom w:w="0" w:type="dxa"/>
            <w:right w:w="108" w:type="dxa"/>
          </w:tblCellMar>
        </w:tblPrEx>
        <w:trPr>
          <w:trHeight w:val="594" w:hRule="atLeast"/>
        </w:trPr>
        <w:tc>
          <w:tcPr>
            <w:tcW w:w="61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kern w:val="0"/>
                <w:sz w:val="24"/>
                <w:szCs w:val="24"/>
              </w:rPr>
            </w:pPr>
          </w:p>
        </w:tc>
        <w:tc>
          <w:tcPr>
            <w:tcW w:w="59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kern w:val="0"/>
                <w:sz w:val="24"/>
                <w:szCs w:val="24"/>
              </w:rPr>
            </w:pPr>
          </w:p>
        </w:tc>
        <w:tc>
          <w:tcPr>
            <w:tcW w:w="13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kern w:val="0"/>
                <w:sz w:val="24"/>
                <w:szCs w:val="24"/>
              </w:rPr>
            </w:pPr>
          </w:p>
        </w:tc>
        <w:tc>
          <w:tcPr>
            <w:tcW w:w="322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按病种付费（DRG/DIP）的住院参保人员占总住院参保人员的比例</w:t>
            </w:r>
          </w:p>
        </w:tc>
        <w:tc>
          <w:tcPr>
            <w:tcW w:w="256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较上年提高或高于全国平均水平</w:t>
            </w:r>
          </w:p>
        </w:tc>
      </w:tr>
      <w:tr>
        <w:tblPrEx>
          <w:tblLayout w:type="fixed"/>
          <w:tblCellMar>
            <w:top w:w="0" w:type="dxa"/>
            <w:left w:w="108" w:type="dxa"/>
            <w:bottom w:w="0" w:type="dxa"/>
            <w:right w:w="108" w:type="dxa"/>
          </w:tblCellMar>
        </w:tblPrEx>
        <w:trPr>
          <w:trHeight w:val="399" w:hRule="atLeast"/>
        </w:trPr>
        <w:tc>
          <w:tcPr>
            <w:tcW w:w="61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kern w:val="0"/>
                <w:sz w:val="24"/>
                <w:szCs w:val="24"/>
              </w:rPr>
            </w:pPr>
          </w:p>
        </w:tc>
        <w:tc>
          <w:tcPr>
            <w:tcW w:w="59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kern w:val="0"/>
                <w:sz w:val="24"/>
                <w:szCs w:val="24"/>
              </w:rPr>
            </w:pPr>
          </w:p>
        </w:tc>
        <w:tc>
          <w:tcPr>
            <w:tcW w:w="13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kern w:val="0"/>
                <w:sz w:val="24"/>
                <w:szCs w:val="24"/>
              </w:rPr>
            </w:pPr>
          </w:p>
        </w:tc>
        <w:tc>
          <w:tcPr>
            <w:tcW w:w="322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二级公立医院安检覆盖率</w:t>
            </w:r>
          </w:p>
        </w:tc>
        <w:tc>
          <w:tcPr>
            <w:tcW w:w="256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 xml:space="preserve">≥75％ </w:t>
            </w:r>
          </w:p>
        </w:tc>
      </w:tr>
      <w:tr>
        <w:tblPrEx>
          <w:tblLayout w:type="fixed"/>
          <w:tblCellMar>
            <w:top w:w="0" w:type="dxa"/>
            <w:left w:w="108" w:type="dxa"/>
            <w:bottom w:w="0" w:type="dxa"/>
            <w:right w:w="108" w:type="dxa"/>
          </w:tblCellMar>
        </w:tblPrEx>
        <w:trPr>
          <w:trHeight w:val="399" w:hRule="atLeast"/>
        </w:trPr>
        <w:tc>
          <w:tcPr>
            <w:tcW w:w="61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kern w:val="0"/>
                <w:sz w:val="24"/>
                <w:szCs w:val="24"/>
              </w:rPr>
            </w:pPr>
          </w:p>
        </w:tc>
        <w:tc>
          <w:tcPr>
            <w:tcW w:w="59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kern w:val="0"/>
                <w:sz w:val="24"/>
                <w:szCs w:val="24"/>
              </w:rPr>
            </w:pPr>
          </w:p>
        </w:tc>
        <w:tc>
          <w:tcPr>
            <w:tcW w:w="13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kern w:val="0"/>
                <w:sz w:val="24"/>
                <w:szCs w:val="24"/>
              </w:rPr>
            </w:pPr>
          </w:p>
        </w:tc>
        <w:tc>
          <w:tcPr>
            <w:tcW w:w="322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二级公立医院安防系统建设达标率</w:t>
            </w:r>
          </w:p>
        </w:tc>
        <w:tc>
          <w:tcPr>
            <w:tcW w:w="256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≥85％</w:t>
            </w:r>
          </w:p>
        </w:tc>
      </w:tr>
      <w:tr>
        <w:tblPrEx>
          <w:tblLayout w:type="fixed"/>
          <w:tblCellMar>
            <w:top w:w="0" w:type="dxa"/>
            <w:left w:w="108" w:type="dxa"/>
            <w:bottom w:w="0" w:type="dxa"/>
            <w:right w:w="108" w:type="dxa"/>
          </w:tblCellMar>
        </w:tblPrEx>
        <w:trPr>
          <w:trHeight w:val="311" w:hRule="atLeast"/>
        </w:trPr>
        <w:tc>
          <w:tcPr>
            <w:tcW w:w="61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kern w:val="0"/>
                <w:sz w:val="24"/>
                <w:szCs w:val="24"/>
              </w:rPr>
            </w:pPr>
          </w:p>
        </w:tc>
        <w:tc>
          <w:tcPr>
            <w:tcW w:w="59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kern w:val="0"/>
                <w:sz w:val="24"/>
                <w:szCs w:val="24"/>
              </w:rPr>
            </w:pPr>
          </w:p>
        </w:tc>
        <w:tc>
          <w:tcPr>
            <w:tcW w:w="13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质量指标</w:t>
            </w:r>
          </w:p>
        </w:tc>
        <w:tc>
          <w:tcPr>
            <w:tcW w:w="322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三级公立医院平均住院日</w:t>
            </w:r>
          </w:p>
        </w:tc>
        <w:tc>
          <w:tcPr>
            <w:tcW w:w="256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较上年降低或低于全国平均水平</w:t>
            </w:r>
          </w:p>
        </w:tc>
      </w:tr>
      <w:tr>
        <w:tblPrEx>
          <w:tblLayout w:type="fixed"/>
          <w:tblCellMar>
            <w:top w:w="0" w:type="dxa"/>
            <w:left w:w="108" w:type="dxa"/>
            <w:bottom w:w="0" w:type="dxa"/>
            <w:right w:w="108" w:type="dxa"/>
          </w:tblCellMar>
        </w:tblPrEx>
        <w:trPr>
          <w:trHeight w:val="594" w:hRule="atLeast"/>
        </w:trPr>
        <w:tc>
          <w:tcPr>
            <w:tcW w:w="61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kern w:val="0"/>
                <w:sz w:val="24"/>
                <w:szCs w:val="24"/>
              </w:rPr>
            </w:pPr>
          </w:p>
        </w:tc>
        <w:tc>
          <w:tcPr>
            <w:tcW w:w="59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效益指标</w:t>
            </w:r>
          </w:p>
        </w:tc>
        <w:tc>
          <w:tcPr>
            <w:tcW w:w="13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社会效益指标</w:t>
            </w:r>
          </w:p>
        </w:tc>
        <w:tc>
          <w:tcPr>
            <w:tcW w:w="322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基层医疗卫生机构诊疗人次数占医疗卫生机构诊疗人次数的比例</w:t>
            </w:r>
          </w:p>
        </w:tc>
        <w:tc>
          <w:tcPr>
            <w:tcW w:w="256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较上年提高或高于全国平均水平</w:t>
            </w:r>
          </w:p>
        </w:tc>
      </w:tr>
      <w:tr>
        <w:tblPrEx>
          <w:tblLayout w:type="fixed"/>
          <w:tblCellMar>
            <w:top w:w="0" w:type="dxa"/>
            <w:left w:w="108" w:type="dxa"/>
            <w:bottom w:w="0" w:type="dxa"/>
            <w:right w:w="108" w:type="dxa"/>
          </w:tblCellMar>
        </w:tblPrEx>
        <w:trPr>
          <w:trHeight w:val="303" w:hRule="atLeast"/>
        </w:trPr>
        <w:tc>
          <w:tcPr>
            <w:tcW w:w="61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kern w:val="0"/>
                <w:sz w:val="24"/>
                <w:szCs w:val="24"/>
              </w:rPr>
            </w:pPr>
          </w:p>
        </w:tc>
        <w:tc>
          <w:tcPr>
            <w:tcW w:w="59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p>
        </w:tc>
        <w:tc>
          <w:tcPr>
            <w:tcW w:w="13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p>
        </w:tc>
        <w:tc>
          <w:tcPr>
            <w:tcW w:w="322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三级公立医院门诊人次数与出院人次数比</w:t>
            </w:r>
          </w:p>
        </w:tc>
        <w:tc>
          <w:tcPr>
            <w:tcW w:w="256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较上年降低或低于全国平均水平</w:t>
            </w:r>
          </w:p>
        </w:tc>
      </w:tr>
      <w:tr>
        <w:tblPrEx>
          <w:tblLayout w:type="fixed"/>
          <w:tblCellMar>
            <w:top w:w="0" w:type="dxa"/>
            <w:left w:w="108" w:type="dxa"/>
            <w:bottom w:w="0" w:type="dxa"/>
            <w:right w:w="108" w:type="dxa"/>
          </w:tblCellMar>
        </w:tblPrEx>
        <w:trPr>
          <w:trHeight w:val="303" w:hRule="atLeast"/>
        </w:trPr>
        <w:tc>
          <w:tcPr>
            <w:tcW w:w="61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kern w:val="0"/>
                <w:sz w:val="24"/>
                <w:szCs w:val="24"/>
              </w:rPr>
            </w:pPr>
          </w:p>
        </w:tc>
        <w:tc>
          <w:tcPr>
            <w:tcW w:w="59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p>
        </w:tc>
        <w:tc>
          <w:tcPr>
            <w:tcW w:w="13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可持续影响指标</w:t>
            </w:r>
          </w:p>
        </w:tc>
        <w:tc>
          <w:tcPr>
            <w:tcW w:w="322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公立医院资产负债率</w:t>
            </w:r>
          </w:p>
        </w:tc>
        <w:tc>
          <w:tcPr>
            <w:tcW w:w="256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较上年降低或低于全国平均水平</w:t>
            </w:r>
          </w:p>
        </w:tc>
      </w:tr>
      <w:tr>
        <w:tblPrEx>
          <w:tblLayout w:type="fixed"/>
          <w:tblCellMar>
            <w:top w:w="0" w:type="dxa"/>
            <w:left w:w="108" w:type="dxa"/>
            <w:bottom w:w="0" w:type="dxa"/>
            <w:right w:w="108" w:type="dxa"/>
          </w:tblCellMar>
        </w:tblPrEx>
        <w:trPr>
          <w:trHeight w:val="594" w:hRule="atLeast"/>
        </w:trPr>
        <w:tc>
          <w:tcPr>
            <w:tcW w:w="61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kern w:val="0"/>
                <w:sz w:val="24"/>
                <w:szCs w:val="24"/>
              </w:rPr>
            </w:pPr>
          </w:p>
        </w:tc>
        <w:tc>
          <w:tcPr>
            <w:tcW w:w="59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kern w:val="0"/>
                <w:sz w:val="24"/>
                <w:szCs w:val="24"/>
              </w:rPr>
            </w:pPr>
          </w:p>
        </w:tc>
        <w:tc>
          <w:tcPr>
            <w:tcW w:w="13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kern w:val="0"/>
                <w:sz w:val="24"/>
                <w:szCs w:val="24"/>
              </w:rPr>
            </w:pPr>
          </w:p>
        </w:tc>
        <w:tc>
          <w:tcPr>
            <w:tcW w:w="322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实现收支平衡的公立医院占公立医院总数的比例</w:t>
            </w:r>
          </w:p>
        </w:tc>
        <w:tc>
          <w:tcPr>
            <w:tcW w:w="256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较上年提高或高于全国平均水平</w:t>
            </w:r>
          </w:p>
        </w:tc>
      </w:tr>
      <w:tr>
        <w:tblPrEx>
          <w:tblLayout w:type="fixed"/>
          <w:tblCellMar>
            <w:top w:w="0" w:type="dxa"/>
            <w:left w:w="108" w:type="dxa"/>
            <w:bottom w:w="0" w:type="dxa"/>
            <w:right w:w="108" w:type="dxa"/>
          </w:tblCellMar>
        </w:tblPrEx>
        <w:trPr>
          <w:trHeight w:val="399" w:hRule="atLeast"/>
        </w:trPr>
        <w:tc>
          <w:tcPr>
            <w:tcW w:w="61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kern w:val="0"/>
                <w:sz w:val="24"/>
                <w:szCs w:val="24"/>
              </w:rPr>
            </w:pPr>
          </w:p>
        </w:tc>
        <w:tc>
          <w:tcPr>
            <w:tcW w:w="59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满意度指标</w:t>
            </w:r>
          </w:p>
        </w:tc>
        <w:tc>
          <w:tcPr>
            <w:tcW w:w="13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满意度指标</w:t>
            </w:r>
          </w:p>
        </w:tc>
        <w:tc>
          <w:tcPr>
            <w:tcW w:w="322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公立医院次均门诊费用增幅</w:t>
            </w:r>
          </w:p>
        </w:tc>
        <w:tc>
          <w:tcPr>
            <w:tcW w:w="256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较上年降低或低于全国平均水平</w:t>
            </w:r>
          </w:p>
        </w:tc>
      </w:tr>
      <w:tr>
        <w:tblPrEx>
          <w:tblLayout w:type="fixed"/>
          <w:tblCellMar>
            <w:top w:w="0" w:type="dxa"/>
            <w:left w:w="108" w:type="dxa"/>
            <w:bottom w:w="0" w:type="dxa"/>
            <w:right w:w="108" w:type="dxa"/>
          </w:tblCellMar>
        </w:tblPrEx>
        <w:trPr>
          <w:trHeight w:val="501" w:hRule="atLeast"/>
        </w:trPr>
        <w:tc>
          <w:tcPr>
            <w:tcW w:w="61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kern w:val="0"/>
                <w:sz w:val="24"/>
                <w:szCs w:val="24"/>
              </w:rPr>
            </w:pPr>
          </w:p>
        </w:tc>
        <w:tc>
          <w:tcPr>
            <w:tcW w:w="59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kern w:val="0"/>
                <w:sz w:val="24"/>
                <w:szCs w:val="24"/>
              </w:rPr>
            </w:pPr>
          </w:p>
        </w:tc>
        <w:tc>
          <w:tcPr>
            <w:tcW w:w="13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kern w:val="0"/>
                <w:sz w:val="24"/>
                <w:szCs w:val="24"/>
              </w:rPr>
            </w:pPr>
          </w:p>
        </w:tc>
        <w:tc>
          <w:tcPr>
            <w:tcW w:w="322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公立医院人均住院费用增幅</w:t>
            </w:r>
          </w:p>
        </w:tc>
        <w:tc>
          <w:tcPr>
            <w:tcW w:w="256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i w:val="0"/>
                <w:iCs w:val="0"/>
                <w:color w:val="000000"/>
                <w:kern w:val="0"/>
                <w:sz w:val="18"/>
                <w:szCs w:val="18"/>
                <w:u w:val="none"/>
                <w:lang w:val="en-US" w:eastAsia="zh-CN"/>
              </w:rPr>
              <w:t>较上年降低或低于全国平均水平</w:t>
            </w:r>
          </w:p>
        </w:tc>
      </w:tr>
    </w:tbl>
    <w:p>
      <w:pPr>
        <w:spacing w:line="480" w:lineRule="auto"/>
        <w:rPr>
          <w:rFonts w:hint="eastAsia" w:ascii="Times New Roman" w:hAnsi="Times New Roman" w:eastAsia="仿宋_GB2312" w:cs="Times New Roman"/>
          <w:sz w:val="32"/>
          <w:szCs w:val="32"/>
        </w:rPr>
      </w:pPr>
    </w:p>
    <w:p>
      <w:pPr>
        <w:spacing w:line="480" w:lineRule="auto"/>
        <w:ind w:firstLine="643" w:firstLineChars="200"/>
        <w:rPr>
          <w:rFonts w:hint="default"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（二）自治区资金安排、分解下达预算和绩效目标情况。</w:t>
      </w:r>
      <w:r>
        <w:rPr>
          <w:rFonts w:hint="default" w:ascii="Times New Roman" w:hAnsi="Times New Roman" w:eastAsia="仿宋_GB2312" w:cs="Times New Roman"/>
          <w:b/>
          <w:bCs/>
          <w:sz w:val="32"/>
          <w:szCs w:val="32"/>
        </w:rPr>
        <w:t xml:space="preserve"> </w:t>
      </w:r>
    </w:p>
    <w:p>
      <w:pPr>
        <w:spacing w:line="480" w:lineRule="auto"/>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eastAsia" w:ascii="Times New Roman" w:hAnsi="Times New Roman" w:eastAsia="仿宋_GB2312" w:cs="Times New Roman"/>
          <w:b/>
          <w:bCs/>
          <w:sz w:val="32"/>
          <w:szCs w:val="32"/>
        </w:rPr>
        <w:t>自治区分解</w:t>
      </w:r>
      <w:r>
        <w:rPr>
          <w:rFonts w:hint="default" w:ascii="Times New Roman" w:hAnsi="Times New Roman" w:eastAsia="仿宋_GB2312" w:cs="Times New Roman"/>
          <w:b/>
          <w:bCs/>
          <w:sz w:val="32"/>
          <w:szCs w:val="32"/>
        </w:rPr>
        <w:t>下达预算情况</w:t>
      </w:r>
    </w:p>
    <w:p>
      <w:pPr>
        <w:spacing w:line="480" w:lineRule="auto"/>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年度，自治区《202</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年</w:t>
      </w:r>
      <w:r>
        <w:rPr>
          <w:rFonts w:hint="eastAsia" w:ascii="Times New Roman" w:hAnsi="Times New Roman" w:eastAsia="仿宋_GB2312" w:cs="Times New Roman"/>
          <w:sz w:val="32"/>
          <w:szCs w:val="32"/>
          <w:lang w:eastAsia="zh-CN"/>
        </w:rPr>
        <w:t>中央财政医疗服务与保障能力提升（公立医院综合改革）补助资金预算</w:t>
      </w:r>
      <w:r>
        <w:rPr>
          <w:rFonts w:hint="eastAsia" w:ascii="Times New Roman" w:hAnsi="Times New Roman" w:eastAsia="仿宋_GB2312" w:cs="Times New Roman"/>
          <w:sz w:val="32"/>
          <w:szCs w:val="32"/>
        </w:rPr>
        <w:t>的通知》</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喀地财社</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lang w:val="en-US" w:eastAsia="zh-CN"/>
        </w:rPr>
        <w:t>2号</w:t>
      </w:r>
      <w:r>
        <w:rPr>
          <w:rFonts w:hint="eastAsia"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rPr>
        <w:t>共计资金</w:t>
      </w:r>
      <w:r>
        <w:rPr>
          <w:rFonts w:hint="eastAsia" w:ascii="Times New Roman" w:hAnsi="Times New Roman" w:eastAsia="仿宋_GB2312" w:cs="Times New Roman"/>
          <w:sz w:val="32"/>
          <w:szCs w:val="32"/>
          <w:lang w:val="en-US" w:eastAsia="zh-CN"/>
        </w:rPr>
        <w:t>51.8</w:t>
      </w:r>
      <w:r>
        <w:rPr>
          <w:rFonts w:hint="eastAsia" w:ascii="Times New Roman" w:hAnsi="Times New Roman" w:eastAsia="仿宋_GB2312" w:cs="Times New Roman"/>
          <w:sz w:val="32"/>
          <w:szCs w:val="32"/>
        </w:rPr>
        <w:t>万元。</w:t>
      </w:r>
    </w:p>
    <w:p>
      <w:pPr>
        <w:numPr>
          <w:ilvl w:val="0"/>
          <w:numId w:val="0"/>
        </w:numPr>
        <w:spacing w:line="480" w:lineRule="auto"/>
        <w:ind w:firstLine="643" w:firstLineChars="200"/>
        <w:rPr>
          <w:rFonts w:hint="eastAsia" w:ascii="宋体" w:hAnsi="宋体" w:eastAsia="宋体"/>
          <w:b/>
          <w:bCs/>
          <w:color w:val="auto"/>
          <w:sz w:val="24"/>
          <w:szCs w:val="24"/>
          <w:highlight w:val="none"/>
        </w:rPr>
      </w:pPr>
      <w:r>
        <w:rPr>
          <w:rFonts w:hint="eastAsia" w:ascii="Times New Roman" w:hAnsi="Times New Roman" w:eastAsia="仿宋_GB2312" w:cs="Times New Roman"/>
          <w:b/>
          <w:bCs/>
          <w:sz w:val="32"/>
          <w:szCs w:val="32"/>
          <w:lang w:val="en-US" w:eastAsia="zh-CN"/>
        </w:rPr>
        <w:t>2、</w:t>
      </w:r>
      <w:r>
        <w:rPr>
          <w:rFonts w:hint="eastAsia" w:ascii="Times New Roman" w:hAnsi="Times New Roman" w:eastAsia="仿宋_GB2312" w:cs="Times New Roman"/>
          <w:b/>
          <w:bCs/>
          <w:sz w:val="32"/>
          <w:szCs w:val="32"/>
        </w:rPr>
        <w:t>自治区分解</w:t>
      </w:r>
      <w:r>
        <w:rPr>
          <w:rFonts w:hint="default" w:ascii="Times New Roman" w:hAnsi="Times New Roman" w:eastAsia="仿宋_GB2312" w:cs="Times New Roman"/>
          <w:b/>
          <w:bCs/>
          <w:sz w:val="32"/>
          <w:szCs w:val="32"/>
        </w:rPr>
        <w:t>下达绩效目标情况</w:t>
      </w:r>
      <w:r>
        <w:rPr>
          <w:rFonts w:hint="eastAsia" w:ascii="Times New Roman" w:hAnsi="Times New Roman" w:eastAsia="仿宋_GB2312" w:cs="Times New Roman"/>
          <w:b/>
          <w:bCs/>
          <w:sz w:val="32"/>
          <w:szCs w:val="32"/>
        </w:rPr>
        <w:t>如下</w:t>
      </w:r>
    </w:p>
    <w:p>
      <w:pPr>
        <w:spacing w:line="480" w:lineRule="auto"/>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此项目根据（</w:t>
      </w:r>
      <w:r>
        <w:rPr>
          <w:rFonts w:hint="default" w:ascii="Times New Roman" w:hAnsi="Times New Roman" w:eastAsia="仿宋_GB2312" w:cs="Times New Roman"/>
          <w:sz w:val="32"/>
          <w:szCs w:val="32"/>
          <w:lang w:val="en-US" w:eastAsia="zh-CN"/>
        </w:rPr>
        <w:t>喀地财社</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lang w:val="en-US" w:eastAsia="zh-CN"/>
        </w:rPr>
        <w:t>2号</w:t>
      </w:r>
      <w:r>
        <w:rPr>
          <w:rFonts w:hint="eastAsia" w:ascii="Times New Roman" w:hAnsi="Times New Roman" w:eastAsia="仿宋_GB2312" w:cs="Times New Roman"/>
          <w:sz w:val="32"/>
          <w:szCs w:val="32"/>
          <w:lang w:val="en-US" w:eastAsia="zh-CN"/>
        </w:rPr>
        <w:t>），资金51.8万元</w:t>
      </w:r>
      <w:r>
        <w:rPr>
          <w:rFonts w:hint="eastAsia" w:ascii="Times New Roman" w:hAnsi="Times New Roman" w:eastAsia="仿宋_GB2312" w:cs="Times New Roman"/>
          <w:sz w:val="32"/>
          <w:szCs w:val="32"/>
          <w:lang w:eastAsia="zh-CN"/>
        </w:rPr>
        <w:t>，主要用于支付采购药品款，通过实施此项目将会以科学发展专业指导，大力推进医疗卫生事业发展，进一步改善广大群众的就医条件，为全县群众提供优质服务场所。</w:t>
      </w:r>
      <w:r>
        <w:rPr>
          <w:rFonts w:hint="eastAsia" w:ascii="方正仿宋_GBK" w:hAnsi="方正仿宋_GBK" w:eastAsia="方正仿宋_GBK" w:cs="方正仿宋_GBK"/>
          <w:color w:val="auto"/>
          <w:kern w:val="2"/>
          <w:sz w:val="32"/>
          <w:szCs w:val="32"/>
          <w:highlight w:val="none"/>
          <w:lang w:val="en-US" w:eastAsia="zh-CN" w:bidi="ar-SA"/>
        </w:rPr>
        <w:t>通过实施此项目将会进一步改善医疗卫生服务体系，提高就诊率，使县域内医疗服务能力进一步提升，满足广大群众基本医疗卫生服务需求</w:t>
      </w:r>
      <w:r>
        <w:rPr>
          <w:rFonts w:hint="eastAsia" w:ascii="方正仿宋_GBK" w:hAnsi="方正仿宋_GBK" w:eastAsia="方正仿宋_GBK" w:cs="方正仿宋_GBK"/>
          <w:color w:val="auto"/>
          <w:sz w:val="32"/>
          <w:szCs w:val="32"/>
          <w:highlight w:val="none"/>
          <w:lang w:val="en-US" w:eastAsia="zh-CN"/>
        </w:rPr>
        <w:t>，有效提升门诊住院临床用药水平，更好的满足群众就医购药需求。</w:t>
      </w:r>
    </w:p>
    <w:p>
      <w:pPr>
        <w:rPr>
          <w:rFonts w:hint="eastAsia" w:ascii="宋体" w:hAnsi="宋体" w:eastAsia="宋体"/>
          <w:b/>
          <w:bCs/>
          <w:sz w:val="32"/>
          <w:szCs w:val="32"/>
        </w:rPr>
      </w:pPr>
      <w:r>
        <w:rPr>
          <w:rFonts w:ascii="宋体" w:hAnsi="宋体" w:eastAsia="宋体"/>
          <w:b/>
          <w:bCs/>
          <w:sz w:val="32"/>
          <w:szCs w:val="32"/>
        </w:rPr>
        <w:t xml:space="preserve"> </w:t>
      </w:r>
      <w:r>
        <w:rPr>
          <w:rFonts w:hint="eastAsia" w:ascii="宋体" w:hAnsi="宋体" w:eastAsia="宋体"/>
          <w:b/>
          <w:bCs/>
          <w:sz w:val="32"/>
          <w:szCs w:val="32"/>
        </w:rPr>
        <w:t>二、绩效目标完成情况分析</w:t>
      </w:r>
    </w:p>
    <w:p>
      <w:pPr>
        <w:numPr>
          <w:ilvl w:val="0"/>
          <w:numId w:val="0"/>
        </w:numPr>
        <w:spacing w:line="480" w:lineRule="auto"/>
        <w:ind w:firstLine="643" w:firstLineChars="200"/>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（一）资金投入情况分析。</w:t>
      </w:r>
    </w:p>
    <w:p>
      <w:pPr>
        <w:numPr>
          <w:ilvl w:val="0"/>
          <w:numId w:val="0"/>
        </w:numPr>
        <w:spacing w:line="480" w:lineRule="auto"/>
        <w:ind w:firstLine="643" w:firstLineChars="200"/>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1、项目资金到位情况分析。</w:t>
      </w:r>
    </w:p>
    <w:p>
      <w:pPr>
        <w:spacing w:line="480" w:lineRule="auto"/>
        <w:ind w:firstLine="640" w:firstLineChars="200"/>
        <w:rPr>
          <w:rFonts w:hint="eastAsia" w:ascii="宋体" w:hAnsi="宋体" w:eastAsia="宋体"/>
          <w:color w:val="auto"/>
          <w:sz w:val="24"/>
          <w:szCs w:val="24"/>
          <w:highlight w:val="none"/>
          <w:lang w:eastAsia="zh-CN"/>
        </w:rPr>
      </w:pPr>
      <w:r>
        <w:rPr>
          <w:rFonts w:hint="eastAsia" w:ascii="Times New Roman" w:hAnsi="Times New Roman" w:eastAsia="仿宋_GB2312" w:cs="Times New Roman"/>
          <w:sz w:val="32"/>
          <w:szCs w:val="32"/>
          <w:lang w:eastAsia="zh-CN"/>
        </w:rPr>
        <w:t>202</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lang w:eastAsia="zh-CN"/>
        </w:rPr>
        <w:t>年度中央下达我区中央医疗服务与保障能力提升（公立医院综合改革）项目总预算资金为</w:t>
      </w:r>
      <w:r>
        <w:rPr>
          <w:rFonts w:hint="eastAsia" w:ascii="Times New Roman" w:hAnsi="Times New Roman" w:eastAsia="仿宋_GB2312" w:cs="Times New Roman"/>
          <w:sz w:val="32"/>
          <w:szCs w:val="32"/>
          <w:lang w:val="en-US" w:eastAsia="zh-CN"/>
        </w:rPr>
        <w:t>51.8</w:t>
      </w:r>
      <w:r>
        <w:rPr>
          <w:rFonts w:hint="eastAsia" w:ascii="Times New Roman" w:hAnsi="Times New Roman" w:eastAsia="仿宋_GB2312" w:cs="Times New Roman"/>
          <w:sz w:val="32"/>
          <w:szCs w:val="32"/>
          <w:lang w:eastAsia="zh-CN"/>
        </w:rPr>
        <w:t>万元，资金到位</w:t>
      </w:r>
      <w:r>
        <w:rPr>
          <w:rFonts w:hint="eastAsia" w:ascii="Times New Roman" w:hAnsi="Times New Roman" w:eastAsia="仿宋_GB2312" w:cs="Times New Roman"/>
          <w:sz w:val="32"/>
          <w:szCs w:val="32"/>
          <w:lang w:val="en-US" w:eastAsia="zh-CN"/>
        </w:rPr>
        <w:t>51.8万元</w:t>
      </w:r>
      <w:r>
        <w:rPr>
          <w:rFonts w:hint="eastAsia" w:ascii="Times New Roman" w:hAnsi="Times New Roman" w:eastAsia="仿宋_GB2312" w:cs="Times New Roman"/>
          <w:sz w:val="32"/>
          <w:szCs w:val="32"/>
          <w:lang w:eastAsia="zh-CN"/>
        </w:rPr>
        <w:t>，到位率</w:t>
      </w:r>
      <w:r>
        <w:rPr>
          <w:rFonts w:hint="eastAsia" w:ascii="Times New Roman" w:hAnsi="Times New Roman" w:eastAsia="仿宋_GB2312" w:cs="Times New Roman"/>
          <w:sz w:val="32"/>
          <w:szCs w:val="32"/>
          <w:lang w:val="en-US" w:eastAsia="zh-CN"/>
        </w:rPr>
        <w:t>100</w:t>
      </w:r>
      <w:r>
        <w:rPr>
          <w:rFonts w:hint="eastAsia" w:ascii="Times New Roman" w:hAnsi="Times New Roman" w:eastAsia="仿宋_GB2312" w:cs="Times New Roman"/>
          <w:sz w:val="32"/>
          <w:szCs w:val="32"/>
          <w:lang w:eastAsia="zh-CN"/>
        </w:rPr>
        <w:t>%,其中，202</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eastAsia="zh-CN"/>
        </w:rPr>
        <w:t>年</w:t>
      </w:r>
      <w:r>
        <w:rPr>
          <w:rFonts w:hint="eastAsia" w:ascii="Times New Roman" w:hAnsi="Times New Roman" w:eastAsia="仿宋_GB2312" w:cs="Times New Roman"/>
          <w:sz w:val="32"/>
          <w:szCs w:val="32"/>
          <w:lang w:val="en-US" w:eastAsia="zh-CN"/>
        </w:rPr>
        <w:t>12</w:t>
      </w:r>
      <w:r>
        <w:rPr>
          <w:rFonts w:hint="eastAsia" w:ascii="Times New Roman" w:hAnsi="Times New Roman" w:eastAsia="仿宋_GB2312" w:cs="Times New Roman"/>
          <w:sz w:val="32"/>
          <w:szCs w:val="32"/>
          <w:lang w:eastAsia="zh-CN"/>
        </w:rPr>
        <w:t>月中央下达新疆中央医疗服务与保障能力提升（公立医院综合改革）项目预算资金为</w:t>
      </w:r>
      <w:r>
        <w:rPr>
          <w:rFonts w:hint="eastAsia" w:ascii="Times New Roman" w:hAnsi="Times New Roman" w:eastAsia="仿宋_GB2312" w:cs="Times New Roman"/>
          <w:sz w:val="32"/>
          <w:szCs w:val="32"/>
          <w:lang w:val="en-US" w:eastAsia="zh-CN"/>
        </w:rPr>
        <w:t>51.8</w:t>
      </w:r>
      <w:r>
        <w:rPr>
          <w:rFonts w:hint="eastAsia" w:ascii="Times New Roman" w:hAnsi="Times New Roman" w:eastAsia="仿宋_GB2312" w:cs="Times New Roman"/>
          <w:sz w:val="32"/>
          <w:szCs w:val="32"/>
          <w:lang w:eastAsia="zh-CN"/>
        </w:rPr>
        <w:t>万元。</w:t>
      </w:r>
    </w:p>
    <w:p>
      <w:pPr>
        <w:numPr>
          <w:ilvl w:val="0"/>
          <w:numId w:val="0"/>
        </w:numPr>
        <w:spacing w:line="480" w:lineRule="auto"/>
        <w:ind w:firstLine="643" w:firstLineChars="200"/>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2、项目资金执行情况分析。</w:t>
      </w:r>
    </w:p>
    <w:p>
      <w:pPr>
        <w:spacing w:line="480" w:lineRule="auto"/>
        <w:ind w:firstLine="640" w:firstLineChars="200"/>
        <w:rPr>
          <w:rFonts w:hint="eastAsia" w:ascii="宋体" w:hAnsi="宋体" w:eastAsia="宋体"/>
          <w:sz w:val="24"/>
          <w:szCs w:val="24"/>
          <w:lang w:eastAsia="zh-CN"/>
        </w:rPr>
      </w:pPr>
      <w:r>
        <w:rPr>
          <w:rFonts w:hint="eastAsia" w:ascii="Times New Roman" w:hAnsi="Times New Roman" w:eastAsia="仿宋_GB2312" w:cs="Times New Roman"/>
          <w:sz w:val="32"/>
          <w:szCs w:val="32"/>
          <w:lang w:eastAsia="zh-CN"/>
        </w:rPr>
        <w:t>截止到20</w:t>
      </w:r>
      <w:r>
        <w:rPr>
          <w:rFonts w:hint="eastAsia" w:ascii="Times New Roman" w:hAnsi="Times New Roman" w:eastAsia="仿宋_GB2312" w:cs="Times New Roman"/>
          <w:sz w:val="32"/>
          <w:szCs w:val="32"/>
          <w:lang w:val="en-US" w:eastAsia="zh-CN"/>
        </w:rPr>
        <w:t>24</w:t>
      </w:r>
      <w:r>
        <w:rPr>
          <w:rFonts w:hint="eastAsia" w:ascii="Times New Roman" w:hAnsi="Times New Roman" w:eastAsia="仿宋_GB2312" w:cs="Times New Roman"/>
          <w:sz w:val="32"/>
          <w:szCs w:val="32"/>
          <w:lang w:eastAsia="zh-CN"/>
        </w:rPr>
        <w:t>年</w:t>
      </w:r>
      <w:r>
        <w:rPr>
          <w:rFonts w:hint="eastAsia" w:ascii="Times New Roman" w:hAnsi="Times New Roman" w:eastAsia="仿宋_GB2312" w:cs="Times New Roman"/>
          <w:sz w:val="32"/>
          <w:szCs w:val="32"/>
          <w:lang w:val="en-US" w:eastAsia="zh-CN"/>
        </w:rPr>
        <w:t>12</w:t>
      </w:r>
      <w:r>
        <w:rPr>
          <w:rFonts w:hint="eastAsia" w:ascii="Times New Roman" w:hAnsi="Times New Roman" w:eastAsia="仿宋_GB2312" w:cs="Times New Roman"/>
          <w:sz w:val="32"/>
          <w:szCs w:val="32"/>
          <w:lang w:eastAsia="zh-CN"/>
        </w:rPr>
        <w:t>月</w:t>
      </w:r>
      <w:r>
        <w:rPr>
          <w:rFonts w:hint="eastAsia" w:ascii="Times New Roman" w:hAnsi="Times New Roman" w:eastAsia="仿宋_GB2312" w:cs="Times New Roman"/>
          <w:sz w:val="32"/>
          <w:szCs w:val="32"/>
          <w:lang w:val="en-US" w:eastAsia="zh-CN"/>
        </w:rPr>
        <w:t>31</w:t>
      </w:r>
      <w:r>
        <w:rPr>
          <w:rFonts w:hint="eastAsia" w:ascii="Times New Roman" w:hAnsi="Times New Roman" w:eastAsia="仿宋_GB2312" w:cs="Times New Roman"/>
          <w:sz w:val="32"/>
          <w:szCs w:val="32"/>
          <w:lang w:eastAsia="zh-CN"/>
        </w:rPr>
        <w:t>日，202</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lang w:eastAsia="zh-CN"/>
        </w:rPr>
        <w:t>年度用于公立医院综合改革的资金总计</w:t>
      </w:r>
      <w:r>
        <w:rPr>
          <w:rFonts w:hint="eastAsia" w:ascii="Times New Roman" w:hAnsi="Times New Roman" w:eastAsia="仿宋_GB2312" w:cs="Times New Roman"/>
          <w:sz w:val="32"/>
          <w:szCs w:val="32"/>
          <w:lang w:val="en-US" w:eastAsia="zh-CN"/>
        </w:rPr>
        <w:t>51.8</w:t>
      </w:r>
      <w:r>
        <w:rPr>
          <w:rFonts w:hint="eastAsia" w:ascii="Times New Roman" w:hAnsi="Times New Roman" w:eastAsia="仿宋_GB2312" w:cs="Times New Roman"/>
          <w:sz w:val="32"/>
          <w:szCs w:val="32"/>
          <w:lang w:eastAsia="zh-CN"/>
        </w:rPr>
        <w:t>万元、共计执行</w:t>
      </w:r>
      <w:r>
        <w:rPr>
          <w:rFonts w:hint="eastAsia" w:ascii="Times New Roman" w:hAnsi="Times New Roman" w:eastAsia="仿宋_GB2312" w:cs="Times New Roman"/>
          <w:sz w:val="32"/>
          <w:szCs w:val="32"/>
          <w:lang w:val="en-US" w:eastAsia="zh-CN"/>
        </w:rPr>
        <w:t>51.8</w:t>
      </w:r>
      <w:r>
        <w:rPr>
          <w:rFonts w:hint="eastAsia" w:ascii="Times New Roman" w:hAnsi="Times New Roman" w:eastAsia="仿宋_GB2312" w:cs="Times New Roman"/>
          <w:sz w:val="32"/>
          <w:szCs w:val="32"/>
          <w:lang w:eastAsia="zh-CN"/>
        </w:rPr>
        <w:t>万元，执行率</w:t>
      </w:r>
      <w:r>
        <w:rPr>
          <w:rFonts w:hint="eastAsia" w:ascii="Times New Roman" w:hAnsi="Times New Roman" w:eastAsia="仿宋_GB2312" w:cs="Times New Roman"/>
          <w:sz w:val="32"/>
          <w:szCs w:val="32"/>
          <w:lang w:val="en-US" w:eastAsia="zh-CN"/>
        </w:rPr>
        <w:t>100</w:t>
      </w:r>
      <w:r>
        <w:rPr>
          <w:rFonts w:hint="eastAsia" w:ascii="Times New Roman" w:hAnsi="Times New Roman" w:eastAsia="仿宋_GB2312" w:cs="Times New Roman"/>
          <w:sz w:val="32"/>
          <w:szCs w:val="32"/>
          <w:lang w:eastAsia="zh-CN"/>
        </w:rPr>
        <w:t>%。</w:t>
      </w:r>
    </w:p>
    <w:p>
      <w:pPr>
        <w:spacing w:line="480" w:lineRule="auto"/>
        <w:ind w:firstLine="643" w:firstLineChars="200"/>
        <w:rPr>
          <w:rFonts w:ascii="宋体" w:hAnsi="宋体" w:eastAsia="宋体"/>
          <w:b/>
          <w:bCs/>
          <w:sz w:val="24"/>
          <w:szCs w:val="24"/>
        </w:rPr>
      </w:pPr>
      <w:r>
        <w:rPr>
          <w:rFonts w:hint="eastAsia" w:ascii="Times New Roman" w:hAnsi="Times New Roman" w:eastAsia="仿宋_GB2312" w:cs="Times New Roman"/>
          <w:b/>
          <w:bCs/>
          <w:sz w:val="32"/>
          <w:szCs w:val="32"/>
          <w:lang w:val="en-US" w:eastAsia="zh-CN"/>
        </w:rPr>
        <w:t>3、项目资金管理情况分析。</w:t>
      </w:r>
    </w:p>
    <w:p>
      <w:pPr>
        <w:numPr>
          <w:ilvl w:val="0"/>
          <w:numId w:val="0"/>
        </w:numPr>
        <w:spacing w:line="480" w:lineRule="auto"/>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根据中央项目资金管理办法的要求，伽师县维吾尔医院按照项目资金规定的专项资金支持的项目条件和范围要求，严格按照《医院会计支付制度》、《医院财务管理办法》规定管理项目资金,在财务管理上，财务管理制度健全，严格执行管理制度，账务处理及时，资金的拨付严格按照专项资金审批程序审批支付，做到手续完备、内容真实、数字准确、账目清楚， 此项目严格按照项目管理办法，并切实加强专项资金的使用和管理，做到专款专用，没有截留、挤占、挪用、虚列支出等情况发生。资金的支付有完整的审批程序和手续符合制度要求；不存在截留、挤占、挪用、虚列支出等情况。</w:t>
      </w:r>
    </w:p>
    <w:p>
      <w:pPr>
        <w:numPr>
          <w:ilvl w:val="0"/>
          <w:numId w:val="0"/>
        </w:numPr>
        <w:spacing w:line="480" w:lineRule="auto"/>
        <w:ind w:firstLine="643" w:firstLineChars="200"/>
        <w:rPr>
          <w:rFonts w:hint="default"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4、</w:t>
      </w:r>
      <w:r>
        <w:rPr>
          <w:rFonts w:hint="default" w:ascii="Times New Roman" w:hAnsi="Times New Roman" w:eastAsia="楷体_GB2312" w:cs="Times New Roman"/>
          <w:b/>
          <w:bCs/>
          <w:sz w:val="32"/>
          <w:szCs w:val="32"/>
          <w:lang w:val="en-US" w:eastAsia="zh-CN"/>
        </w:rPr>
        <w:t>项目资金管理情况分析</w:t>
      </w:r>
    </w:p>
    <w:p>
      <w:pPr>
        <w:spacing w:line="560" w:lineRule="exact"/>
        <w:ind w:firstLine="643"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b/>
          <w:bCs/>
          <w:color w:val="000000"/>
          <w:sz w:val="32"/>
          <w:szCs w:val="32"/>
        </w:rPr>
        <w:t>1.资金分配科学性</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lang w:val="en-US" w:eastAsia="zh-CN"/>
        </w:rPr>
        <w:t>按照《</w:t>
      </w:r>
      <w:r>
        <w:rPr>
          <w:rFonts w:hint="eastAsia" w:ascii="Times New Roman" w:hAnsi="Times New Roman" w:eastAsia="仿宋_GB2312" w:cs="Times New Roman"/>
          <w:color w:val="000000"/>
          <w:sz w:val="32"/>
          <w:szCs w:val="32"/>
          <w:lang w:val="en-US" w:eastAsia="zh-CN"/>
        </w:rPr>
        <w:t>关于下达2024年中央医疗服务与保障能力提升（公立医院综合改革）补助资金预算的通知</w:t>
      </w:r>
      <w:r>
        <w:rPr>
          <w:rFonts w:hint="default" w:ascii="Times New Roman" w:hAnsi="Times New Roman" w:eastAsia="仿宋_GB2312" w:cs="Times New Roman"/>
          <w:color w:val="000000"/>
          <w:sz w:val="32"/>
          <w:szCs w:val="32"/>
          <w:lang w:val="en-US" w:eastAsia="zh-CN"/>
        </w:rPr>
        <w:t>》（财社〔202</w:t>
      </w:r>
      <w:r>
        <w:rPr>
          <w:rFonts w:hint="eastAsia" w:ascii="Times New Roman" w:hAnsi="Times New Roman" w:eastAsia="仿宋_GB2312" w:cs="Times New Roman"/>
          <w:color w:val="000000"/>
          <w:sz w:val="32"/>
          <w:szCs w:val="32"/>
          <w:lang w:val="en-US" w:eastAsia="zh-CN"/>
        </w:rPr>
        <w:t>4</w:t>
      </w:r>
      <w:r>
        <w:rPr>
          <w:rFonts w:hint="default" w:ascii="Times New Roman" w:hAnsi="Times New Roman"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lang w:val="en-US" w:eastAsia="zh-CN"/>
        </w:rPr>
        <w:t>37</w:t>
      </w:r>
      <w:r>
        <w:rPr>
          <w:rFonts w:hint="default" w:ascii="Times New Roman" w:hAnsi="Times New Roman" w:eastAsia="仿宋_GB2312" w:cs="Times New Roman"/>
          <w:color w:val="000000"/>
          <w:sz w:val="32"/>
          <w:szCs w:val="32"/>
          <w:lang w:val="en-US" w:eastAsia="zh-CN"/>
        </w:rPr>
        <w:t>号）等文件要求，坚持因素分配法，兼顾新疆公立医院综合改革实际需求因素，参照国家测算标准</w:t>
      </w:r>
      <w:r>
        <w:rPr>
          <w:rFonts w:hint="eastAsia" w:ascii="Times New Roman" w:hAnsi="Times New Roman" w:eastAsia="仿宋_GB2312" w:cs="Times New Roman"/>
          <w:color w:val="000000"/>
          <w:sz w:val="32"/>
          <w:szCs w:val="32"/>
          <w:lang w:val="en-US" w:eastAsia="zh-CN"/>
        </w:rPr>
        <w:t>伽师</w:t>
      </w:r>
      <w:r>
        <w:rPr>
          <w:rFonts w:hint="default" w:ascii="Times New Roman" w:hAnsi="Times New Roman" w:eastAsia="仿宋_GB2312" w:cs="Times New Roman"/>
          <w:color w:val="000000"/>
          <w:sz w:val="32"/>
          <w:szCs w:val="32"/>
          <w:lang w:val="en-US" w:eastAsia="zh-CN"/>
        </w:rPr>
        <w:t>县补助</w:t>
      </w:r>
      <w:r>
        <w:rPr>
          <w:rFonts w:hint="eastAsia" w:ascii="Times New Roman" w:hAnsi="Times New Roman" w:eastAsia="仿宋_GB2312" w:cs="Times New Roman"/>
          <w:color w:val="000000"/>
          <w:sz w:val="32"/>
          <w:szCs w:val="32"/>
          <w:lang w:val="en-US" w:eastAsia="zh-CN"/>
        </w:rPr>
        <w:t>148</w:t>
      </w:r>
      <w:r>
        <w:rPr>
          <w:rFonts w:hint="default" w:ascii="Times New Roman" w:hAnsi="Times New Roman" w:eastAsia="仿宋_GB2312" w:cs="Times New Roman"/>
          <w:color w:val="000000"/>
          <w:sz w:val="32"/>
          <w:szCs w:val="32"/>
          <w:lang w:val="en-US" w:eastAsia="zh-CN"/>
        </w:rPr>
        <w:t>万元。</w:t>
      </w:r>
      <w:r>
        <w:rPr>
          <w:rFonts w:hint="eastAsia" w:ascii="Times New Roman" w:hAnsi="Times New Roman" w:eastAsia="仿宋_GB2312" w:cs="Times New Roman"/>
          <w:color w:val="000000"/>
          <w:sz w:val="32"/>
          <w:szCs w:val="32"/>
          <w:lang w:val="en-US" w:eastAsia="zh-CN"/>
        </w:rPr>
        <w:t>2024年中央财政医疗服务与保障能力提升（公立医院综合改革）补助资金148万元</w:t>
      </w:r>
      <w:r>
        <w:rPr>
          <w:rFonts w:hint="default" w:ascii="Times New Roman" w:hAnsi="Times New Roman"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lang w:val="en-US" w:eastAsia="zh-CN"/>
        </w:rPr>
        <w:t>伽师县维吾尔医医院基础因素20%，工作任务量因素5%，绩效因素10%，共35%，应分配补助资金51.8万元。</w:t>
      </w:r>
      <w:r>
        <w:rPr>
          <w:rFonts w:hint="default" w:ascii="Times New Roman" w:hAnsi="Times New Roman" w:eastAsia="仿宋_GB2312" w:cs="Times New Roman"/>
          <w:color w:val="000000"/>
          <w:sz w:val="32"/>
          <w:szCs w:val="32"/>
          <w:lang w:val="en-US" w:eastAsia="zh-CN"/>
        </w:rPr>
        <w:t>绩效分配因素，按照国家卫生健康委奖惩分配原则进行分配</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分配方法较为科学。</w:t>
      </w:r>
    </w:p>
    <w:p>
      <w:pPr>
        <w:spacing w:line="560" w:lineRule="exact"/>
        <w:ind w:firstLine="643"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b/>
          <w:bCs/>
          <w:color w:val="000000"/>
          <w:sz w:val="32"/>
          <w:szCs w:val="32"/>
          <w:lang w:val="en-US" w:eastAsia="zh-CN"/>
        </w:rPr>
        <w:t>2.资金下达及时性</w:t>
      </w:r>
      <w:r>
        <w:rPr>
          <w:rFonts w:hint="default" w:ascii="Times New Roman" w:hAnsi="Times New Roman" w:eastAsia="仿宋_GB2312" w:cs="Times New Roman"/>
          <w:color w:val="000000"/>
          <w:sz w:val="32"/>
          <w:szCs w:val="32"/>
          <w:lang w:val="en-US" w:eastAsia="zh-CN"/>
        </w:rPr>
        <w:t>：资金下达严格按照预算法和资金管理办法规定要求分解下达资金。自治区财政厅做好预算编制、指标安排等相关工作，并收到</w:t>
      </w:r>
      <w:r>
        <w:rPr>
          <w:rFonts w:hint="eastAsia" w:ascii="Times New Roman" w:hAnsi="Times New Roman" w:eastAsia="仿宋_GB2312" w:cs="Times New Roman"/>
          <w:sz w:val="32"/>
          <w:szCs w:val="32"/>
          <w:lang w:eastAsia="zh-CN"/>
        </w:rPr>
        <w:t>202</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lang w:eastAsia="zh-CN"/>
        </w:rPr>
        <w:t>年度中央下达我区中央医疗服务与保障能力提升（公立医院综合改革）项目总预算资金为</w:t>
      </w:r>
      <w:r>
        <w:rPr>
          <w:rFonts w:hint="eastAsia" w:ascii="Times New Roman" w:hAnsi="Times New Roman" w:eastAsia="仿宋_GB2312" w:cs="Times New Roman"/>
          <w:sz w:val="32"/>
          <w:szCs w:val="32"/>
          <w:lang w:val="en-US" w:eastAsia="zh-CN"/>
        </w:rPr>
        <w:t>51.8</w:t>
      </w:r>
      <w:r>
        <w:rPr>
          <w:rFonts w:hint="eastAsia" w:ascii="Times New Roman" w:hAnsi="Times New Roman" w:eastAsia="仿宋_GB2312" w:cs="Times New Roman"/>
          <w:sz w:val="32"/>
          <w:szCs w:val="32"/>
          <w:lang w:eastAsia="zh-CN"/>
        </w:rPr>
        <w:t>万元，资金到位</w:t>
      </w:r>
      <w:r>
        <w:rPr>
          <w:rFonts w:hint="eastAsia" w:ascii="Times New Roman" w:hAnsi="Times New Roman" w:eastAsia="仿宋_GB2312" w:cs="Times New Roman"/>
          <w:sz w:val="32"/>
          <w:szCs w:val="32"/>
          <w:lang w:val="en-US" w:eastAsia="zh-CN"/>
        </w:rPr>
        <w:t>51.8万元</w:t>
      </w:r>
      <w:r>
        <w:rPr>
          <w:rFonts w:hint="eastAsia" w:ascii="Times New Roman" w:hAnsi="Times New Roman" w:eastAsia="仿宋_GB2312" w:cs="Times New Roman"/>
          <w:sz w:val="32"/>
          <w:szCs w:val="32"/>
          <w:lang w:eastAsia="zh-CN"/>
        </w:rPr>
        <w:t>，到位率</w:t>
      </w:r>
      <w:r>
        <w:rPr>
          <w:rFonts w:hint="eastAsia" w:ascii="Times New Roman" w:hAnsi="Times New Roman" w:eastAsia="仿宋_GB2312" w:cs="Times New Roman"/>
          <w:sz w:val="32"/>
          <w:szCs w:val="32"/>
          <w:lang w:val="en-US" w:eastAsia="zh-CN"/>
        </w:rPr>
        <w:t>100</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b/>
          <w:bCs/>
          <w:color w:val="000000"/>
          <w:sz w:val="32"/>
          <w:szCs w:val="32"/>
          <w:lang w:val="en-US" w:eastAsia="zh-CN"/>
        </w:rPr>
        <w:t>3.资金拨付合规性：</w:t>
      </w:r>
      <w:r>
        <w:rPr>
          <w:rFonts w:hint="default" w:ascii="Times New Roman" w:hAnsi="Times New Roman" w:eastAsia="仿宋_GB2312" w:cs="Times New Roman"/>
          <w:color w:val="000000"/>
          <w:sz w:val="32"/>
          <w:szCs w:val="32"/>
          <w:lang w:val="en-US" w:eastAsia="zh-CN"/>
        </w:rPr>
        <w:t>严格按照《财政部 国家卫生健康委国家医保局 国家中医药局 国家疾控局关于修订基本公共卫生服务等5项补助资金管理办法的通知》（财社〔2022〕31号）等文件要求和国库集中支付制度，项目单位按照项目进度核拨资金，未出现以拨代支、虚列支出或违规将资金从国库转入财政专户或支付到预算单位实有资金账户等问题。</w:t>
      </w:r>
    </w:p>
    <w:p>
      <w:pPr>
        <w:spacing w:line="560" w:lineRule="exact"/>
        <w:ind w:firstLine="643"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b/>
          <w:bCs/>
          <w:color w:val="000000"/>
          <w:sz w:val="32"/>
          <w:szCs w:val="32"/>
          <w:lang w:val="en-US" w:eastAsia="zh-CN"/>
        </w:rPr>
        <w:t>4.资金使用规范性</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rPr>
        <w:t>按照《财政部 国家卫生健康委 国家医保局 国家中医药局 国家疾控局 关于修订基本公共卫生服务等</w:t>
      </w:r>
      <w:r>
        <w:rPr>
          <w:rFonts w:hint="default" w:ascii="Times New Roman" w:hAnsi="Times New Roman" w:eastAsia="仿宋_GB2312" w:cs="Times New Roman"/>
          <w:color w:val="000000"/>
          <w:sz w:val="32"/>
          <w:szCs w:val="32"/>
          <w:lang w:val="en-US" w:eastAsia="zh-CN"/>
        </w:rPr>
        <w:t>5</w:t>
      </w:r>
      <w:r>
        <w:rPr>
          <w:rFonts w:hint="default" w:ascii="Times New Roman" w:hAnsi="Times New Roman" w:eastAsia="仿宋_GB2312" w:cs="Times New Roman"/>
          <w:color w:val="000000"/>
          <w:sz w:val="32"/>
          <w:szCs w:val="32"/>
        </w:rPr>
        <w:t>项补助资金管理办法的通知》</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财社〔2022〕</w:t>
      </w:r>
      <w:r>
        <w:rPr>
          <w:rFonts w:hint="default" w:ascii="Times New Roman" w:hAnsi="Times New Roman" w:eastAsia="仿宋_GB2312" w:cs="Times New Roman"/>
          <w:color w:val="000000"/>
          <w:sz w:val="32"/>
          <w:szCs w:val="32"/>
          <w:lang w:val="en-US" w:eastAsia="zh-CN"/>
        </w:rPr>
        <w:t>31</w:t>
      </w:r>
      <w:r>
        <w:rPr>
          <w:rFonts w:hint="default" w:ascii="Times New Roman" w:hAnsi="Times New Roman" w:eastAsia="仿宋_GB2312" w:cs="Times New Roman"/>
          <w:color w:val="000000"/>
          <w:sz w:val="32"/>
          <w:szCs w:val="32"/>
        </w:rPr>
        <w:t>号</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等文件要求，项目支出按规定经过</w:t>
      </w:r>
      <w:r>
        <w:rPr>
          <w:rFonts w:hint="default" w:ascii="Times New Roman" w:hAnsi="Times New Roman" w:eastAsia="仿宋_GB2312" w:cs="Times New Roman"/>
          <w:color w:val="000000"/>
          <w:sz w:val="32"/>
          <w:szCs w:val="32"/>
          <w:lang w:val="en-US" w:eastAsia="zh-CN"/>
        </w:rPr>
        <w:t>科学论证、</w:t>
      </w:r>
      <w:r>
        <w:rPr>
          <w:rFonts w:hint="default" w:ascii="Times New Roman" w:hAnsi="Times New Roman" w:eastAsia="仿宋_GB2312" w:cs="Times New Roman"/>
          <w:color w:val="000000"/>
          <w:sz w:val="32"/>
          <w:szCs w:val="32"/>
        </w:rPr>
        <w:t>支出符合部门预算批复的用途；资金使用无截留、挤占、挪用、虚列支出等情况</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使用规范</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在中央巡视、各级审计和财政监督中未发现问题。</w:t>
      </w:r>
    </w:p>
    <w:p>
      <w:pPr>
        <w:spacing w:before="253" w:line="560" w:lineRule="exact"/>
        <w:ind w:left="26" w:right="81" w:firstLine="643" w:firstLineChars="200"/>
        <w:rPr>
          <w:rFonts w:hint="default" w:ascii="Times New Roman" w:hAnsi="Times New Roman" w:eastAsia="仿宋_GB2312" w:cs="Times New Roman"/>
          <w:color w:val="000000"/>
          <w:kern w:val="2"/>
          <w:sz w:val="32"/>
          <w:szCs w:val="32"/>
          <w:lang w:val="en-US" w:eastAsia="zh-CN" w:bidi="ar-SA"/>
        </w:rPr>
      </w:pPr>
      <w:r>
        <w:rPr>
          <w:rFonts w:hint="default" w:ascii="Times New Roman" w:hAnsi="Times New Roman" w:eastAsia="仿宋_GB2312" w:cs="Times New Roman"/>
          <w:b/>
          <w:bCs/>
          <w:color w:val="000000"/>
          <w:sz w:val="32"/>
          <w:szCs w:val="32"/>
          <w:lang w:val="en-US" w:eastAsia="zh-CN"/>
        </w:rPr>
        <w:t>5.资金执行准确性</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kern w:val="2"/>
          <w:sz w:val="32"/>
          <w:szCs w:val="32"/>
          <w:lang w:val="en-US" w:eastAsia="zh-CN" w:bidi="ar-SA"/>
        </w:rPr>
        <w:t>按照《财政部 国家卫生健康委 国家医保局 国家中医药局 国家疾控局 关于修订基本公共卫生服务等5项补助资金管理办法的通知》（财社〔2022〕 31 号）等文件要求，项目支出的编制遵循“综合预算”，“科学论证、合理排序”，“追踪问效”的原则，符合国家相关法律法规、方针政策、财政资金支持方向，支付按照国库集中支付制度有关规定执行，资金使用过程中，涉及政府采购的，严格按照政府采购有关法律法规及制度执行，资金执行准确。</w:t>
      </w:r>
    </w:p>
    <w:p>
      <w:pPr>
        <w:keepNext w:val="0"/>
        <w:keepLines w:val="0"/>
        <w:pageBreakBefore w:val="0"/>
        <w:widowControl w:val="0"/>
        <w:kinsoku/>
        <w:wordWrap/>
        <w:overflowPunct/>
        <w:autoSpaceDE/>
        <w:autoSpaceDN/>
        <w:bidi w:val="0"/>
        <w:adjustRightInd/>
        <w:snapToGrid/>
        <w:spacing w:line="560" w:lineRule="exact"/>
        <w:ind w:right="-376" w:rightChars="-179" w:firstLine="643" w:firstLineChars="200"/>
        <w:textAlignment w:val="auto"/>
        <w:rPr>
          <w:rFonts w:hint="default" w:ascii="Times New Roman" w:hAnsi="Times New Roman" w:eastAsia="仿宋_GB2312" w:cs="Times New Roman"/>
          <w:color w:val="000000"/>
          <w:spacing w:val="0"/>
          <w:sz w:val="32"/>
          <w:szCs w:val="32"/>
          <w:highlight w:val="none"/>
          <w:lang w:val="en-US" w:eastAsia="zh-CN"/>
        </w:rPr>
      </w:pPr>
      <w:r>
        <w:rPr>
          <w:rFonts w:hint="default" w:ascii="Times New Roman" w:hAnsi="Times New Roman" w:eastAsia="仿宋_GB2312" w:cs="Times New Roman"/>
          <w:b/>
          <w:bCs/>
          <w:color w:val="000000"/>
          <w:sz w:val="32"/>
          <w:szCs w:val="32"/>
          <w:lang w:val="en-US" w:eastAsia="zh-CN"/>
        </w:rPr>
        <w:t>6.预算绩效管理情况：</w:t>
      </w:r>
      <w:r>
        <w:rPr>
          <w:rFonts w:hint="default" w:ascii="Times New Roman" w:hAnsi="Times New Roman" w:eastAsia="仿宋_GB2312" w:cs="Times New Roman"/>
          <w:color w:val="000000"/>
          <w:sz w:val="32"/>
          <w:szCs w:val="32"/>
        </w:rPr>
        <w:t>按照《财政部 国家卫生健康委 国家医保局 国家中医药局 国家疾控局 关于修订基本公共卫生服务等 5 项补助资金管理办法的通知</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中共中央国务院关于全面实施预算绩效管理的意见》等相关文件要求，自治区卫生健康委强化资金使用监管，严格执行有关财经制度，进一步加强预算绩效管理，</w:t>
      </w:r>
      <w:r>
        <w:rPr>
          <w:rFonts w:hint="default" w:ascii="Times New Roman" w:hAnsi="Times New Roman" w:eastAsia="仿宋_GB2312" w:cs="Times New Roman"/>
          <w:color w:val="000000"/>
          <w:sz w:val="32"/>
          <w:szCs w:val="32"/>
          <w:lang w:val="en-US" w:eastAsia="zh-CN"/>
        </w:rPr>
        <w:t>一是</w:t>
      </w:r>
      <w:r>
        <w:rPr>
          <w:rFonts w:hint="default" w:ascii="Times New Roman" w:hAnsi="Times New Roman" w:eastAsia="仿宋_GB2312" w:cs="Times New Roman"/>
          <w:color w:val="000000"/>
          <w:sz w:val="32"/>
          <w:szCs w:val="32"/>
        </w:rPr>
        <w:t>新增重大政策和项目入库前，部门单位必须开展事前绩效评估，评估结果作为项目入库的前置条件。</w:t>
      </w:r>
      <w:r>
        <w:rPr>
          <w:rFonts w:hint="default" w:ascii="Times New Roman" w:hAnsi="Times New Roman" w:eastAsia="仿宋_GB2312" w:cs="Times New Roman"/>
          <w:color w:val="000000"/>
          <w:sz w:val="32"/>
          <w:szCs w:val="32"/>
          <w:lang w:val="en-US" w:eastAsia="zh-CN"/>
        </w:rPr>
        <w:t>二是严格落实绩效事中监控，按期</w:t>
      </w:r>
      <w:r>
        <w:rPr>
          <w:rFonts w:hint="default" w:ascii="Times New Roman" w:hAnsi="Times New Roman" w:eastAsia="仿宋_GB2312" w:cs="Times New Roman"/>
          <w:color w:val="000000"/>
          <w:sz w:val="32"/>
          <w:szCs w:val="32"/>
        </w:rPr>
        <w:t>组织开展单位绩效运行监控；对单位监控情况进行审核，及时发现问题、改进管理、调整预算。</w:t>
      </w:r>
      <w:r>
        <w:rPr>
          <w:rFonts w:hint="default" w:ascii="Times New Roman" w:hAnsi="Times New Roman" w:eastAsia="仿宋_GB2312" w:cs="Times New Roman"/>
          <w:color w:val="000000"/>
          <w:sz w:val="32"/>
          <w:szCs w:val="32"/>
          <w:lang w:val="en-US" w:eastAsia="zh-CN"/>
        </w:rPr>
        <w:t>三是建立“单位自评+部门评价+财政重点评价”机制，努力实现“花钱必问效、无效必问责”</w:t>
      </w:r>
      <w:r>
        <w:rPr>
          <w:rFonts w:hint="default" w:ascii="Times New Roman" w:hAnsi="Times New Roman" w:eastAsia="仿宋_GB2312" w:cs="Times New Roman"/>
          <w:color w:val="000000"/>
          <w:sz w:val="32"/>
          <w:szCs w:val="32"/>
          <w:highlight w:val="none"/>
          <w:lang w:val="en-US" w:eastAsia="zh-CN"/>
        </w:rPr>
        <w:t>，年度内绩效监控、评价结果较好。</w:t>
      </w:r>
    </w:p>
    <w:p>
      <w:pPr>
        <w:spacing w:line="480" w:lineRule="auto"/>
        <w:ind w:firstLine="643" w:firstLineChars="200"/>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b/>
          <w:bCs/>
          <w:color w:val="000000"/>
          <w:sz w:val="32"/>
          <w:szCs w:val="32"/>
          <w:lang w:val="en-US" w:eastAsia="zh-CN"/>
        </w:rPr>
        <w:t>7.支出责任履行情况：</w:t>
      </w:r>
      <w:r>
        <w:rPr>
          <w:rFonts w:hint="default" w:ascii="Times New Roman" w:hAnsi="Times New Roman" w:eastAsia="仿宋_GB2312" w:cs="Times New Roman"/>
          <w:color w:val="000000"/>
          <w:sz w:val="32"/>
          <w:szCs w:val="32"/>
          <w:lang w:val="en-US" w:eastAsia="zh-CN"/>
        </w:rPr>
        <w:t>坚持自治区负总责、地县抓落实、各级公立医院抓落地的工作机制，加大公立医院精细化运营管理。同时，全面履行部门支出责任落实，加大项目实施进度和资金支出进度调度频率，按季度分析通过、全力加快项目实施进度和资金支出进度。压实各单位项目资金支出计划制定进度，提高项目支出细化率，优化支出结构，增强支出预算编制的预见性，杜绝出现应该安排的预算没有申报、不该申报的乱报，或者做小事要大钱的现象。通过持续督促，年底各地支出进度明显提高，支出责任有效压实。</w:t>
      </w:r>
    </w:p>
    <w:p>
      <w:pPr>
        <w:ind w:firstLine="643" w:firstLineChars="200"/>
        <w:rPr>
          <w:rFonts w:hint="eastAsia" w:ascii="宋体" w:hAnsi="宋体" w:eastAsia="宋体"/>
          <w:b/>
          <w:bCs/>
          <w:sz w:val="32"/>
          <w:szCs w:val="32"/>
        </w:rPr>
      </w:pPr>
      <w:r>
        <w:rPr>
          <w:rFonts w:hint="eastAsia" w:ascii="宋体" w:hAnsi="宋体" w:eastAsia="宋体"/>
          <w:b/>
          <w:bCs/>
          <w:sz w:val="32"/>
          <w:szCs w:val="32"/>
        </w:rPr>
        <w:t>（二）总体绩效目标完成情况分析。</w:t>
      </w:r>
    </w:p>
    <w:p>
      <w:pPr>
        <w:spacing w:line="480" w:lineRule="auto"/>
        <w:ind w:firstLine="480" w:firstLineChars="200"/>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 xml:space="preserve"> </w:t>
      </w:r>
      <w:r>
        <w:rPr>
          <w:rFonts w:hint="default" w:ascii="Times New Roman" w:hAnsi="Times New Roman" w:eastAsia="仿宋_GB2312" w:cs="Times New Roman"/>
          <w:sz w:val="32"/>
          <w:szCs w:val="32"/>
          <w:lang w:val="en-US" w:eastAsia="zh-CN"/>
        </w:rPr>
        <w:t>财政部随文下达总体目标是持续深化公立医院综合改革与高质量发展，加快构建有序的就医和诊疗新格局，深入推广三明医改经验，建立维护公益性、调动积极性、保障可持续的运行新机制和科学合理的补偿机制。</w:t>
      </w:r>
      <w:r>
        <w:rPr>
          <w:rFonts w:hint="eastAsia" w:ascii="宋体" w:hAnsi="宋体" w:eastAsia="宋体"/>
          <w:sz w:val="24"/>
          <w:szCs w:val="24"/>
          <w:highlight w:val="none"/>
          <w:lang w:val="en-US" w:eastAsia="zh-CN"/>
        </w:rPr>
        <w:t xml:space="preserve"> </w:t>
      </w:r>
    </w:p>
    <w:p>
      <w:pPr>
        <w:spacing w:line="570" w:lineRule="exact"/>
        <w:ind w:firstLine="640"/>
        <w:rPr>
          <w:rFonts w:hint="eastAsia" w:ascii="方正仿宋_GBK" w:hAnsi="方正仿宋_GBK" w:eastAsia="方正仿宋_GBK" w:cs="方正仿宋_GBK"/>
          <w:color w:val="auto"/>
          <w:spacing w:val="6"/>
          <w:kern w:val="0"/>
          <w:sz w:val="32"/>
          <w:szCs w:val="32"/>
          <w:highlight w:val="none"/>
        </w:rPr>
      </w:pPr>
      <w:r>
        <w:rPr>
          <w:rFonts w:hint="eastAsia" w:eastAsia="方正仿宋_GBK" w:cs="方正仿宋_GBK"/>
          <w:color w:val="auto"/>
          <w:sz w:val="32"/>
          <w:szCs w:val="32"/>
          <w:highlight w:val="none"/>
        </w:rPr>
        <w:t>由部门提出经费预算支出可行性方案，经过与县政府分管领导沟通后，报党支部会议研究执行，财务对资金的使用合法合规性进行监督，年底对资金使用效果进行自评。</w:t>
      </w:r>
      <w:r>
        <w:rPr>
          <w:rFonts w:hint="eastAsia" w:ascii="方正仿宋_GBK" w:hAnsi="方正仿宋_GBK" w:eastAsia="方正仿宋_GBK" w:cs="方正仿宋_GBK"/>
          <w:color w:val="auto"/>
          <w:spacing w:val="6"/>
          <w:kern w:val="0"/>
          <w:sz w:val="32"/>
          <w:szCs w:val="32"/>
          <w:highlight w:val="none"/>
        </w:rPr>
        <w:t>为加强对</w:t>
      </w:r>
      <w:r>
        <w:rPr>
          <w:rFonts w:hint="eastAsia" w:ascii="方正仿宋_GBK" w:hAnsi="方正仿宋_GBK" w:eastAsia="方正仿宋_GBK" w:cs="方正仿宋_GBK"/>
          <w:b w:val="0"/>
          <w:bCs w:val="0"/>
          <w:color w:val="auto"/>
          <w:kern w:val="2"/>
          <w:sz w:val="32"/>
          <w:szCs w:val="32"/>
          <w:lang w:val="en-US" w:eastAsia="zh-CN" w:bidi="ar-SA"/>
        </w:rPr>
        <w:t>伽师县维吾尔医医院2024年中央财政医疗服务与保障能力提升（公立医院综合改革）</w:t>
      </w:r>
      <w:r>
        <w:rPr>
          <w:rFonts w:hint="eastAsia" w:ascii="方正仿宋_GBK" w:hAnsi="方正仿宋_GBK" w:eastAsia="方正仿宋_GBK" w:cs="方正仿宋_GBK"/>
          <w:color w:val="auto"/>
          <w:sz w:val="32"/>
          <w:szCs w:val="32"/>
          <w:highlight w:val="none"/>
        </w:rPr>
        <w:t>补助资金</w:t>
      </w:r>
      <w:r>
        <w:rPr>
          <w:rFonts w:hint="eastAsia" w:ascii="方正仿宋_GBK" w:hAnsi="方正仿宋_GBK" w:eastAsia="方正仿宋_GBK" w:cs="方正仿宋_GBK"/>
          <w:color w:val="auto"/>
          <w:sz w:val="32"/>
          <w:szCs w:val="32"/>
          <w:highlight w:val="none"/>
          <w:lang w:eastAsia="zh-CN"/>
        </w:rPr>
        <w:t>项目</w:t>
      </w:r>
      <w:r>
        <w:rPr>
          <w:rFonts w:hint="eastAsia" w:ascii="方正仿宋_GBK" w:hAnsi="方正仿宋_GBK" w:eastAsia="方正仿宋_GBK" w:cs="方正仿宋_GBK"/>
          <w:color w:val="auto"/>
          <w:spacing w:val="6"/>
          <w:kern w:val="0"/>
          <w:sz w:val="32"/>
          <w:szCs w:val="32"/>
          <w:highlight w:val="none"/>
        </w:rPr>
        <w:t>的组织领导，确保项目保质保量的按照相关规定及程序完成，成立项目领导小组，具体如下：</w:t>
      </w:r>
    </w:p>
    <w:p>
      <w:pPr>
        <w:spacing w:line="570" w:lineRule="exact"/>
        <w:rPr>
          <w:rFonts w:hint="eastAsia" w:ascii="方正仿宋_GBK" w:hAnsi="方正仿宋_GBK" w:eastAsia="方正仿宋_GBK" w:cs="方正仿宋_GBK"/>
          <w:color w:val="auto"/>
          <w:spacing w:val="6"/>
          <w:kern w:val="0"/>
          <w:sz w:val="32"/>
          <w:szCs w:val="32"/>
          <w:highlight w:val="none"/>
        </w:rPr>
      </w:pPr>
      <w:r>
        <w:rPr>
          <w:rFonts w:hint="eastAsia" w:ascii="Times New Roman" w:hAnsi="Times New Roman" w:eastAsia="方正仿宋_GBK" w:cs="方正仿宋_GBK"/>
          <w:color w:val="auto"/>
          <w:sz w:val="32"/>
          <w:szCs w:val="32"/>
          <w:lang w:eastAsia="zh-CN"/>
        </w:rPr>
        <w:t>杨桂花</w:t>
      </w:r>
      <w:r>
        <w:rPr>
          <w:rFonts w:hint="eastAsia" w:ascii="方正仿宋_GBK" w:hAnsi="方正仿宋_GBK" w:eastAsia="方正仿宋_GBK" w:cs="方正仿宋_GBK"/>
          <w:color w:val="auto"/>
          <w:spacing w:val="6"/>
          <w:kern w:val="0"/>
          <w:sz w:val="32"/>
          <w:szCs w:val="32"/>
          <w:highlight w:val="none"/>
        </w:rPr>
        <w:t>任组长，职责为负责全盘工作。</w:t>
      </w:r>
    </w:p>
    <w:p>
      <w:pPr>
        <w:spacing w:line="570" w:lineRule="exact"/>
        <w:ind w:firstLine="664"/>
        <w:rPr>
          <w:rFonts w:hint="eastAsia" w:ascii="方正仿宋_GBK" w:hAnsi="方正仿宋_GBK" w:eastAsia="方正仿宋_GBK" w:cs="方正仿宋_GBK"/>
          <w:color w:val="auto"/>
          <w:spacing w:val="6"/>
          <w:kern w:val="0"/>
          <w:sz w:val="32"/>
          <w:szCs w:val="32"/>
          <w:highlight w:val="none"/>
        </w:rPr>
      </w:pPr>
      <w:r>
        <w:rPr>
          <w:rFonts w:hint="eastAsia" w:ascii="Times New Roman" w:hAnsi="Times New Roman" w:eastAsia="方正仿宋_GBK" w:cs="方正仿宋_GBK"/>
          <w:color w:val="auto"/>
          <w:sz w:val="32"/>
          <w:szCs w:val="32"/>
          <w:lang w:val="en-US" w:eastAsia="zh-CN"/>
        </w:rPr>
        <w:t>吾拉木江·阿布来孜</w:t>
      </w:r>
      <w:r>
        <w:rPr>
          <w:rFonts w:hint="eastAsia" w:ascii="方正仿宋_GBK" w:hAnsi="方正仿宋_GBK" w:eastAsia="方正仿宋_GBK" w:cs="方正仿宋_GBK"/>
          <w:color w:val="auto"/>
          <w:spacing w:val="6"/>
          <w:kern w:val="0"/>
          <w:sz w:val="32"/>
          <w:szCs w:val="32"/>
          <w:highlight w:val="none"/>
        </w:rPr>
        <w:t>副组长，职责为对项目实施情况进行实地调查。</w:t>
      </w:r>
    </w:p>
    <w:p>
      <w:pPr>
        <w:spacing w:line="570" w:lineRule="exact"/>
        <w:rPr>
          <w:rFonts w:hint="eastAsia" w:ascii="方正仿宋_GBK" w:hAnsi="方正仿宋_GBK" w:eastAsia="方正仿宋_GBK" w:cs="方正仿宋_GBK"/>
          <w:color w:val="auto"/>
          <w:spacing w:val="6"/>
          <w:kern w:val="0"/>
          <w:sz w:val="32"/>
          <w:szCs w:val="32"/>
          <w:highlight w:val="none"/>
        </w:rPr>
      </w:pPr>
      <w:r>
        <w:rPr>
          <w:rFonts w:hint="eastAsia" w:ascii="Times New Roman" w:hAnsi="Times New Roman" w:eastAsia="方正仿宋_GBK" w:cs="方正仿宋_GBK"/>
          <w:color w:val="auto"/>
          <w:sz w:val="32"/>
          <w:szCs w:val="32"/>
          <w:lang w:val="en-US" w:eastAsia="zh-CN"/>
        </w:rPr>
        <w:t>郭艳萍</w:t>
      </w:r>
      <w:r>
        <w:rPr>
          <w:rFonts w:hint="eastAsia" w:ascii="方正仿宋_GBK" w:hAnsi="方正仿宋_GBK" w:eastAsia="方正仿宋_GBK" w:cs="方正仿宋_GBK"/>
          <w:color w:val="auto"/>
          <w:spacing w:val="6"/>
          <w:kern w:val="0"/>
          <w:sz w:val="32"/>
          <w:szCs w:val="32"/>
          <w:highlight w:val="none"/>
        </w:rPr>
        <w:t>任成员，职责为负责资料审核等工作。</w:t>
      </w:r>
    </w:p>
    <w:p>
      <w:pPr>
        <w:spacing w:line="570" w:lineRule="exact"/>
        <w:ind w:firstLine="664"/>
        <w:rPr>
          <w:rFonts w:hint="eastAsia"/>
          <w:lang w:val="en-US" w:eastAsia="zh-CN"/>
        </w:rPr>
      </w:pPr>
      <w:r>
        <w:rPr>
          <w:rFonts w:hint="eastAsia" w:ascii="方正仿宋_GBK" w:hAnsi="方正仿宋_GBK" w:eastAsia="方正仿宋_GBK" w:cs="方正仿宋_GBK"/>
          <w:color w:val="auto"/>
          <w:spacing w:val="6"/>
          <w:kern w:val="0"/>
          <w:sz w:val="32"/>
          <w:szCs w:val="32"/>
          <w:highlight w:val="none"/>
        </w:rPr>
        <w:t>本项目有效执行各项制度，根据评分标准，该指标不扣分，得3分。</w:t>
      </w:r>
    </w:p>
    <w:p>
      <w:pPr>
        <w:spacing w:line="480" w:lineRule="auto"/>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此项目根据</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喀地财社</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lang w:val="en-US" w:eastAsia="zh-CN"/>
        </w:rPr>
        <w:t>2号</w:t>
      </w:r>
      <w:r>
        <w:rPr>
          <w:rFonts w:hint="eastAsia" w:ascii="Times New Roman" w:hAnsi="Times New Roman" w:eastAsia="仿宋_GB2312" w:cs="Times New Roman"/>
          <w:sz w:val="32"/>
          <w:szCs w:val="32"/>
          <w:lang w:val="en-US" w:eastAsia="zh-CN"/>
        </w:rPr>
        <w:t>） ,下发资金为51.8万元，主要用于支付采购药品款，</w:t>
      </w:r>
      <w:r>
        <w:rPr>
          <w:rFonts w:hint="eastAsia" w:ascii="Times New Roman" w:hAnsi="Times New Roman" w:eastAsia="仿宋_GB2312" w:cs="Times New Roman"/>
          <w:sz w:val="32"/>
          <w:szCs w:val="32"/>
          <w:lang w:eastAsia="zh-CN"/>
        </w:rPr>
        <w:t>通过实施此项目将会以科学发展专业指导，大力推进医疗卫生事业发展，进一步改善广大群众的就医条件，为全县群众提供优质服务场所。</w:t>
      </w:r>
      <w:r>
        <w:rPr>
          <w:rFonts w:hint="eastAsia" w:ascii="方正仿宋_GBK" w:hAnsi="方正仿宋_GBK" w:eastAsia="方正仿宋_GBK" w:cs="方正仿宋_GBK"/>
          <w:color w:val="auto"/>
          <w:kern w:val="2"/>
          <w:sz w:val="32"/>
          <w:szCs w:val="32"/>
          <w:highlight w:val="none"/>
          <w:lang w:val="en-US" w:eastAsia="zh-CN" w:bidi="ar-SA"/>
        </w:rPr>
        <w:t>通过实施此项目将会进一步改善医疗卫生服务体系，提高就诊率，使县域内医疗服务能力进一步提升，满足广大群众基本医疗卫生服务需求</w:t>
      </w:r>
      <w:r>
        <w:rPr>
          <w:rFonts w:hint="eastAsia" w:ascii="方正仿宋_GBK" w:hAnsi="方正仿宋_GBK" w:eastAsia="方正仿宋_GBK" w:cs="方正仿宋_GBK"/>
          <w:color w:val="auto"/>
          <w:sz w:val="32"/>
          <w:szCs w:val="32"/>
          <w:highlight w:val="none"/>
          <w:lang w:val="en-US" w:eastAsia="zh-CN"/>
        </w:rPr>
        <w:t>，有效提升门诊住院临床用药水平，更好的满足群众就医购药需求。</w:t>
      </w:r>
    </w:p>
    <w:p>
      <w:pPr>
        <w:spacing w:line="480" w:lineRule="auto"/>
        <w:ind w:firstLine="643" w:firstLineChars="200"/>
        <w:rPr>
          <w:rFonts w:ascii="宋体" w:hAnsi="宋体" w:eastAsia="宋体"/>
          <w:b/>
          <w:bCs/>
          <w:sz w:val="24"/>
          <w:szCs w:val="24"/>
        </w:rPr>
      </w:pPr>
      <w:r>
        <w:rPr>
          <w:rFonts w:hint="eastAsia" w:ascii="宋体" w:hAnsi="宋体" w:eastAsia="宋体"/>
          <w:b/>
          <w:bCs/>
          <w:sz w:val="32"/>
          <w:szCs w:val="32"/>
        </w:rPr>
        <w:t>（三）绩效指标完成情况分析。</w:t>
      </w:r>
    </w:p>
    <w:p>
      <w:pPr>
        <w:spacing w:line="480" w:lineRule="auto"/>
        <w:rPr>
          <w:rFonts w:ascii="宋体" w:hAnsi="宋体" w:eastAsia="宋体"/>
          <w:b/>
          <w:bCs/>
          <w:sz w:val="24"/>
          <w:szCs w:val="24"/>
        </w:rPr>
      </w:pPr>
      <w:r>
        <w:rPr>
          <w:rFonts w:hint="eastAsia" w:ascii="Times New Roman" w:hAnsi="Times New Roman" w:eastAsia="仿宋_GB2312" w:cs="Times New Roman"/>
          <w:b/>
          <w:bCs/>
          <w:sz w:val="32"/>
          <w:szCs w:val="32"/>
          <w:lang w:val="en-US" w:eastAsia="zh-CN"/>
        </w:rPr>
        <w:t>1、产出指标完成情况分析。</w:t>
      </w:r>
    </w:p>
    <w:p>
      <w:pPr>
        <w:spacing w:line="480" w:lineRule="auto"/>
        <w:ind w:firstLine="643" w:firstLineChars="200"/>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（1）数量指标。</w:t>
      </w:r>
    </w:p>
    <w:p>
      <w:pPr>
        <w:pStyle w:val="2"/>
        <w:ind w:firstLine="640" w:firstLineChars="200"/>
        <w:rPr>
          <w:rFonts w:hint="eastAsia" w:ascii="Times New Roman" w:hAnsi="Times New Roman" w:eastAsia="仿宋_GB2312" w:cs="Times New Roman"/>
          <w:bCs w:val="0"/>
          <w:kern w:val="2"/>
          <w:sz w:val="32"/>
          <w:szCs w:val="32"/>
          <w:lang w:val="en-US" w:eastAsia="zh-CN" w:bidi="ar-SA"/>
        </w:rPr>
      </w:pPr>
      <w:r>
        <w:rPr>
          <w:rFonts w:hint="eastAsia" w:ascii="Times New Roman" w:hAnsi="Times New Roman" w:eastAsia="仿宋_GB2312" w:cs="Times New Roman"/>
          <w:bCs w:val="0"/>
          <w:kern w:val="2"/>
          <w:sz w:val="32"/>
          <w:szCs w:val="32"/>
          <w:lang w:val="en-US" w:eastAsia="zh-CN" w:bidi="ar-SA"/>
        </w:rPr>
        <w:t>指标值为公立医院医疗服务收入（不含药品、耗材、检查、化验收入）占医疗收入的比例，实际完成51.8，完成率100%、无偏差。</w:t>
      </w:r>
    </w:p>
    <w:p>
      <w:pPr>
        <w:spacing w:line="560" w:lineRule="exact"/>
        <w:ind w:firstLine="640"/>
        <w:rPr>
          <w:rFonts w:hint="eastAsia" w:ascii="Times New Roman" w:hAnsi="Times New Roman" w:eastAsia="仿宋_GB2312" w:cs="Times New Roman"/>
          <w:bCs w:val="0"/>
          <w:kern w:val="2"/>
          <w:sz w:val="32"/>
          <w:szCs w:val="32"/>
          <w:lang w:val="en-US" w:eastAsia="zh-CN" w:bidi="ar-SA"/>
        </w:rPr>
      </w:pPr>
      <w:r>
        <w:rPr>
          <w:rFonts w:hint="eastAsia" w:ascii="Times New Roman" w:hAnsi="Times New Roman" w:eastAsia="仿宋_GB2312" w:cs="Times New Roman"/>
          <w:bCs w:val="0"/>
          <w:kern w:val="2"/>
          <w:sz w:val="32"/>
          <w:szCs w:val="32"/>
          <w:lang w:val="en-US" w:eastAsia="zh-CN" w:bidi="ar-SA"/>
        </w:rPr>
        <w:t>项目产出类指标包括产出数量、产出质量、产出时效、产出成本四方面的内容，由4个三级指标构成，权重分为40分，实际得分40分，得分率为100%。</w:t>
      </w:r>
    </w:p>
    <w:p>
      <w:pPr>
        <w:spacing w:line="560" w:lineRule="exact"/>
        <w:ind w:firstLine="640"/>
        <w:jc w:val="center"/>
        <w:rPr>
          <w:rFonts w:hint="eastAsia" w:eastAsia="方正仿宋_GBK" w:cs="方正仿宋_GBK"/>
          <w:color w:val="auto"/>
          <w:kern w:val="0"/>
          <w:sz w:val="32"/>
          <w:szCs w:val="32"/>
          <w:highlight w:val="none"/>
        </w:rPr>
      </w:pPr>
      <w:r>
        <w:rPr>
          <w:rFonts w:hint="eastAsia" w:eastAsia="方正仿宋_GBK" w:cs="方正仿宋_GBK"/>
          <w:color w:val="auto"/>
          <w:kern w:val="0"/>
          <w:sz w:val="32"/>
          <w:szCs w:val="32"/>
          <w:highlight w:val="none"/>
        </w:rPr>
        <w:t>项目产出指标得分情况</w:t>
      </w:r>
    </w:p>
    <w:tbl>
      <w:tblPr>
        <w:tblStyle w:val="8"/>
        <w:tblW w:w="8519" w:type="dxa"/>
        <w:tblInd w:w="0" w:type="dxa"/>
        <w:tblLayout w:type="fixed"/>
        <w:tblCellMar>
          <w:top w:w="0" w:type="dxa"/>
          <w:left w:w="108" w:type="dxa"/>
          <w:bottom w:w="0" w:type="dxa"/>
          <w:right w:w="108" w:type="dxa"/>
        </w:tblCellMar>
      </w:tblPr>
      <w:tblGrid>
        <w:gridCol w:w="3024"/>
        <w:gridCol w:w="1682"/>
        <w:gridCol w:w="2131"/>
        <w:gridCol w:w="1682"/>
      </w:tblGrid>
      <w:tr>
        <w:tblPrEx>
          <w:tblLayout w:type="fixed"/>
          <w:tblCellMar>
            <w:top w:w="0" w:type="dxa"/>
            <w:left w:w="108" w:type="dxa"/>
            <w:bottom w:w="0" w:type="dxa"/>
            <w:right w:w="108" w:type="dxa"/>
          </w:tblCellMar>
        </w:tblPrEx>
        <w:trPr>
          <w:trHeight w:val="283" w:hRule="atLeast"/>
        </w:trPr>
        <w:tc>
          <w:tcPr>
            <w:tcW w:w="3024" w:type="dxa"/>
            <w:tcBorders>
              <w:top w:val="single" w:color="auto" w:sz="4" w:space="0"/>
              <w:left w:val="single" w:color="auto" w:sz="4" w:space="0"/>
              <w:bottom w:val="single" w:color="auto" w:sz="4" w:space="0"/>
              <w:right w:val="single" w:color="auto" w:sz="4" w:space="0"/>
            </w:tcBorders>
            <w:noWrap/>
            <w:vAlign w:val="bottom"/>
          </w:tcPr>
          <w:p>
            <w:pPr>
              <w:spacing w:line="560" w:lineRule="exact"/>
              <w:ind w:firstLine="0" w:firstLineChars="0"/>
              <w:jc w:val="center"/>
              <w:rPr>
                <w:rFonts w:hint="eastAsia" w:eastAsia="方正仿宋_GBK" w:cs="方正仿宋_GBK"/>
                <w:color w:val="auto"/>
                <w:highlight w:val="none"/>
              </w:rPr>
            </w:pPr>
            <w:r>
              <w:rPr>
                <w:rFonts w:hint="eastAsia" w:eastAsia="方正仿宋_GBK" w:cs="方正仿宋_GBK"/>
                <w:color w:val="auto"/>
                <w:highlight w:val="none"/>
              </w:rPr>
              <w:t>三级指标</w:t>
            </w:r>
          </w:p>
        </w:tc>
        <w:tc>
          <w:tcPr>
            <w:tcW w:w="1682" w:type="dxa"/>
            <w:tcBorders>
              <w:top w:val="single" w:color="auto" w:sz="4" w:space="0"/>
              <w:left w:val="single" w:color="auto" w:sz="4" w:space="0"/>
              <w:bottom w:val="single" w:color="auto" w:sz="4" w:space="0"/>
              <w:right w:val="single" w:color="auto" w:sz="4" w:space="0"/>
            </w:tcBorders>
            <w:noWrap/>
            <w:vAlign w:val="bottom"/>
          </w:tcPr>
          <w:p>
            <w:pPr>
              <w:spacing w:line="560" w:lineRule="exact"/>
              <w:ind w:firstLine="0" w:firstLineChars="0"/>
              <w:jc w:val="center"/>
              <w:rPr>
                <w:rFonts w:hint="eastAsia" w:eastAsia="方正仿宋_GBK" w:cs="方正仿宋_GBK"/>
                <w:color w:val="auto"/>
                <w:highlight w:val="none"/>
              </w:rPr>
            </w:pPr>
            <w:r>
              <w:rPr>
                <w:rFonts w:hint="eastAsia" w:eastAsia="方正仿宋_GBK" w:cs="方正仿宋_GBK"/>
                <w:color w:val="auto"/>
                <w:highlight w:val="none"/>
              </w:rPr>
              <w:t>权重</w:t>
            </w:r>
          </w:p>
        </w:tc>
        <w:tc>
          <w:tcPr>
            <w:tcW w:w="2131" w:type="dxa"/>
            <w:tcBorders>
              <w:top w:val="single" w:color="auto" w:sz="4" w:space="0"/>
              <w:left w:val="single" w:color="auto" w:sz="4" w:space="0"/>
              <w:bottom w:val="single" w:color="auto" w:sz="4" w:space="0"/>
              <w:right w:val="single" w:color="auto" w:sz="4" w:space="0"/>
            </w:tcBorders>
            <w:noWrap/>
            <w:vAlign w:val="bottom"/>
          </w:tcPr>
          <w:p>
            <w:pPr>
              <w:spacing w:line="560" w:lineRule="exact"/>
              <w:ind w:firstLine="0" w:firstLineChars="0"/>
              <w:jc w:val="center"/>
              <w:rPr>
                <w:rFonts w:hint="eastAsia" w:eastAsia="方正仿宋_GBK" w:cs="方正仿宋_GBK"/>
                <w:color w:val="auto"/>
                <w:highlight w:val="none"/>
              </w:rPr>
            </w:pPr>
            <w:r>
              <w:rPr>
                <w:rFonts w:hint="eastAsia" w:eastAsia="方正仿宋_GBK" w:cs="方正仿宋_GBK"/>
                <w:color w:val="auto"/>
                <w:highlight w:val="none"/>
              </w:rPr>
              <w:t>得分率</w:t>
            </w:r>
          </w:p>
        </w:tc>
        <w:tc>
          <w:tcPr>
            <w:tcW w:w="1682" w:type="dxa"/>
            <w:tcBorders>
              <w:top w:val="single" w:color="auto" w:sz="4" w:space="0"/>
              <w:left w:val="single" w:color="auto" w:sz="4" w:space="0"/>
              <w:bottom w:val="single" w:color="auto" w:sz="4" w:space="0"/>
              <w:right w:val="single" w:color="auto" w:sz="4" w:space="0"/>
            </w:tcBorders>
            <w:noWrap/>
            <w:vAlign w:val="bottom"/>
          </w:tcPr>
          <w:p>
            <w:pPr>
              <w:spacing w:line="560" w:lineRule="exact"/>
              <w:ind w:firstLine="0" w:firstLineChars="0"/>
              <w:jc w:val="center"/>
              <w:rPr>
                <w:rFonts w:hint="eastAsia" w:eastAsia="方正仿宋_GBK" w:cs="方正仿宋_GBK"/>
                <w:color w:val="auto"/>
                <w:highlight w:val="none"/>
              </w:rPr>
            </w:pPr>
            <w:r>
              <w:rPr>
                <w:rFonts w:hint="eastAsia" w:eastAsia="方正仿宋_GBK" w:cs="方正仿宋_GBK"/>
                <w:color w:val="auto"/>
                <w:highlight w:val="none"/>
              </w:rPr>
              <w:t>实际得分</w:t>
            </w:r>
          </w:p>
        </w:tc>
      </w:tr>
      <w:tr>
        <w:tblPrEx>
          <w:tblLayout w:type="fixed"/>
          <w:tblCellMar>
            <w:top w:w="0" w:type="dxa"/>
            <w:left w:w="108" w:type="dxa"/>
            <w:bottom w:w="0" w:type="dxa"/>
            <w:right w:w="108" w:type="dxa"/>
          </w:tblCellMar>
        </w:tblPrEx>
        <w:trPr>
          <w:trHeight w:val="283" w:hRule="atLeast"/>
        </w:trPr>
        <w:tc>
          <w:tcPr>
            <w:tcW w:w="3024" w:type="dxa"/>
            <w:tcBorders>
              <w:top w:val="single" w:color="auto" w:sz="4" w:space="0"/>
              <w:left w:val="single" w:color="auto" w:sz="4" w:space="0"/>
              <w:bottom w:val="single" w:color="auto" w:sz="4" w:space="0"/>
              <w:right w:val="single" w:color="auto" w:sz="4" w:space="0"/>
            </w:tcBorders>
            <w:noWrap/>
            <w:vAlign w:val="bottom"/>
          </w:tcPr>
          <w:p>
            <w:pPr>
              <w:spacing w:line="560" w:lineRule="exact"/>
              <w:ind w:firstLine="0" w:firstLineChars="0"/>
              <w:jc w:val="center"/>
              <w:rPr>
                <w:rFonts w:hint="eastAsia" w:eastAsia="方正仿宋_GBK" w:cs="方正仿宋_GBK"/>
                <w:color w:val="auto"/>
                <w:highlight w:val="none"/>
              </w:rPr>
            </w:pPr>
            <w:r>
              <w:rPr>
                <w:rFonts w:hint="eastAsia" w:eastAsia="方正仿宋_GBK" w:cs="方正仿宋_GBK"/>
                <w:color w:val="auto"/>
                <w:highlight w:val="none"/>
              </w:rPr>
              <w:t>产出数量</w:t>
            </w:r>
          </w:p>
        </w:tc>
        <w:tc>
          <w:tcPr>
            <w:tcW w:w="1682" w:type="dxa"/>
            <w:tcBorders>
              <w:top w:val="single" w:color="auto" w:sz="4" w:space="0"/>
              <w:left w:val="single" w:color="auto" w:sz="4" w:space="0"/>
              <w:bottom w:val="single" w:color="auto" w:sz="4" w:space="0"/>
              <w:right w:val="single" w:color="auto" w:sz="4" w:space="0"/>
            </w:tcBorders>
            <w:noWrap/>
            <w:vAlign w:val="bottom"/>
          </w:tcPr>
          <w:p>
            <w:pPr>
              <w:spacing w:line="560" w:lineRule="exact"/>
              <w:ind w:firstLine="0" w:firstLineChars="0"/>
              <w:jc w:val="center"/>
              <w:rPr>
                <w:rFonts w:hint="eastAsia" w:eastAsia="方正仿宋_GBK" w:cs="方正仿宋_GBK"/>
                <w:color w:val="auto"/>
                <w:highlight w:val="none"/>
              </w:rPr>
            </w:pPr>
            <w:r>
              <w:rPr>
                <w:rFonts w:hint="eastAsia" w:eastAsia="方正仿宋_GBK" w:cs="方正仿宋_GBK"/>
                <w:color w:val="auto"/>
                <w:highlight w:val="none"/>
              </w:rPr>
              <w:t>10</w:t>
            </w:r>
          </w:p>
        </w:tc>
        <w:tc>
          <w:tcPr>
            <w:tcW w:w="2131" w:type="dxa"/>
            <w:tcBorders>
              <w:top w:val="single" w:color="auto" w:sz="4" w:space="0"/>
              <w:left w:val="single" w:color="auto" w:sz="4" w:space="0"/>
              <w:bottom w:val="single" w:color="auto" w:sz="4" w:space="0"/>
              <w:right w:val="single" w:color="auto" w:sz="4" w:space="0"/>
            </w:tcBorders>
            <w:noWrap/>
            <w:vAlign w:val="bottom"/>
          </w:tcPr>
          <w:p>
            <w:pPr>
              <w:spacing w:line="560" w:lineRule="exact"/>
              <w:ind w:firstLine="0" w:firstLineChars="0"/>
              <w:jc w:val="center"/>
              <w:rPr>
                <w:rFonts w:hint="eastAsia" w:eastAsia="方正仿宋_GBK" w:cs="方正仿宋_GBK"/>
                <w:color w:val="auto"/>
                <w:highlight w:val="none"/>
              </w:rPr>
            </w:pPr>
            <w:r>
              <w:rPr>
                <w:rFonts w:hint="eastAsia" w:eastAsia="方正仿宋_GBK" w:cs="方正仿宋_GBK"/>
                <w:color w:val="auto"/>
                <w:highlight w:val="none"/>
              </w:rPr>
              <w:t>100%</w:t>
            </w:r>
          </w:p>
        </w:tc>
        <w:tc>
          <w:tcPr>
            <w:tcW w:w="1682" w:type="dxa"/>
            <w:tcBorders>
              <w:top w:val="single" w:color="auto" w:sz="4" w:space="0"/>
              <w:left w:val="single" w:color="auto" w:sz="4" w:space="0"/>
              <w:bottom w:val="single" w:color="auto" w:sz="4" w:space="0"/>
              <w:right w:val="single" w:color="auto" w:sz="4" w:space="0"/>
            </w:tcBorders>
            <w:noWrap/>
            <w:vAlign w:val="bottom"/>
          </w:tcPr>
          <w:p>
            <w:pPr>
              <w:spacing w:line="560" w:lineRule="exact"/>
              <w:ind w:firstLine="0" w:firstLineChars="0"/>
              <w:jc w:val="center"/>
              <w:rPr>
                <w:rFonts w:hint="default" w:eastAsia="方正仿宋_GBK" w:cs="方正仿宋_GBK"/>
                <w:color w:val="auto"/>
                <w:highlight w:val="none"/>
                <w:lang w:val="en-US" w:eastAsia="zh-CN"/>
              </w:rPr>
            </w:pPr>
            <w:r>
              <w:rPr>
                <w:rFonts w:hint="eastAsia" w:eastAsia="方正仿宋_GBK" w:cs="方正仿宋_GBK"/>
                <w:color w:val="auto"/>
                <w:highlight w:val="none"/>
                <w:lang w:val="en-US" w:eastAsia="zh-CN"/>
              </w:rPr>
              <w:t>10</w:t>
            </w:r>
          </w:p>
        </w:tc>
      </w:tr>
      <w:tr>
        <w:tblPrEx>
          <w:tblLayout w:type="fixed"/>
          <w:tblCellMar>
            <w:top w:w="0" w:type="dxa"/>
            <w:left w:w="108" w:type="dxa"/>
            <w:bottom w:w="0" w:type="dxa"/>
            <w:right w:w="108" w:type="dxa"/>
          </w:tblCellMar>
        </w:tblPrEx>
        <w:trPr>
          <w:trHeight w:val="283" w:hRule="atLeast"/>
        </w:trPr>
        <w:tc>
          <w:tcPr>
            <w:tcW w:w="3024" w:type="dxa"/>
            <w:tcBorders>
              <w:top w:val="single" w:color="auto" w:sz="4" w:space="0"/>
              <w:left w:val="single" w:color="auto" w:sz="4" w:space="0"/>
              <w:bottom w:val="single" w:color="auto" w:sz="4" w:space="0"/>
              <w:right w:val="single" w:color="auto" w:sz="4" w:space="0"/>
            </w:tcBorders>
            <w:noWrap/>
            <w:vAlign w:val="bottom"/>
          </w:tcPr>
          <w:p>
            <w:pPr>
              <w:spacing w:line="560" w:lineRule="exact"/>
              <w:ind w:firstLine="0" w:firstLineChars="0"/>
              <w:jc w:val="center"/>
              <w:rPr>
                <w:rFonts w:hint="eastAsia" w:eastAsia="方正仿宋_GBK" w:cs="方正仿宋_GBK"/>
                <w:color w:val="auto"/>
                <w:highlight w:val="none"/>
              </w:rPr>
            </w:pPr>
            <w:r>
              <w:rPr>
                <w:rFonts w:hint="eastAsia" w:eastAsia="方正仿宋_GBK" w:cs="方正仿宋_GBK"/>
                <w:color w:val="auto"/>
                <w:highlight w:val="none"/>
              </w:rPr>
              <w:t>产出质量</w:t>
            </w:r>
          </w:p>
        </w:tc>
        <w:tc>
          <w:tcPr>
            <w:tcW w:w="1682" w:type="dxa"/>
            <w:tcBorders>
              <w:top w:val="single" w:color="auto" w:sz="4" w:space="0"/>
              <w:left w:val="single" w:color="auto" w:sz="4" w:space="0"/>
              <w:bottom w:val="single" w:color="auto" w:sz="4" w:space="0"/>
              <w:right w:val="single" w:color="auto" w:sz="4" w:space="0"/>
            </w:tcBorders>
            <w:noWrap/>
            <w:vAlign w:val="bottom"/>
          </w:tcPr>
          <w:p>
            <w:pPr>
              <w:spacing w:line="560" w:lineRule="exact"/>
              <w:ind w:firstLine="0" w:firstLineChars="0"/>
              <w:jc w:val="center"/>
              <w:rPr>
                <w:rFonts w:hint="eastAsia" w:eastAsia="方正仿宋_GBK" w:cs="方正仿宋_GBK"/>
                <w:color w:val="auto"/>
                <w:highlight w:val="none"/>
              </w:rPr>
            </w:pPr>
            <w:r>
              <w:rPr>
                <w:rFonts w:hint="eastAsia" w:eastAsia="方正仿宋_GBK" w:cs="方正仿宋_GBK"/>
                <w:color w:val="auto"/>
                <w:highlight w:val="none"/>
              </w:rPr>
              <w:t>10</w:t>
            </w:r>
          </w:p>
        </w:tc>
        <w:tc>
          <w:tcPr>
            <w:tcW w:w="2131" w:type="dxa"/>
            <w:tcBorders>
              <w:top w:val="single" w:color="auto" w:sz="4" w:space="0"/>
              <w:left w:val="single" w:color="auto" w:sz="4" w:space="0"/>
              <w:bottom w:val="single" w:color="auto" w:sz="4" w:space="0"/>
              <w:right w:val="single" w:color="auto" w:sz="4" w:space="0"/>
            </w:tcBorders>
            <w:noWrap/>
            <w:vAlign w:val="bottom"/>
          </w:tcPr>
          <w:p>
            <w:pPr>
              <w:spacing w:line="560" w:lineRule="exact"/>
              <w:ind w:firstLine="0" w:firstLineChars="0"/>
              <w:jc w:val="center"/>
              <w:rPr>
                <w:rFonts w:hint="eastAsia" w:eastAsia="方正仿宋_GBK" w:cs="方正仿宋_GBK"/>
                <w:color w:val="auto"/>
                <w:highlight w:val="none"/>
              </w:rPr>
            </w:pPr>
            <w:r>
              <w:rPr>
                <w:rFonts w:hint="eastAsia" w:eastAsia="方正仿宋_GBK" w:cs="方正仿宋_GBK"/>
                <w:color w:val="auto"/>
                <w:highlight w:val="none"/>
              </w:rPr>
              <w:t>100%</w:t>
            </w:r>
          </w:p>
        </w:tc>
        <w:tc>
          <w:tcPr>
            <w:tcW w:w="1682" w:type="dxa"/>
            <w:tcBorders>
              <w:top w:val="single" w:color="auto" w:sz="4" w:space="0"/>
              <w:left w:val="single" w:color="auto" w:sz="4" w:space="0"/>
              <w:bottom w:val="single" w:color="auto" w:sz="4" w:space="0"/>
              <w:right w:val="single" w:color="auto" w:sz="4" w:space="0"/>
            </w:tcBorders>
            <w:noWrap/>
            <w:vAlign w:val="bottom"/>
          </w:tcPr>
          <w:p>
            <w:pPr>
              <w:spacing w:line="560" w:lineRule="exact"/>
              <w:ind w:firstLine="0" w:firstLineChars="0"/>
              <w:jc w:val="center"/>
              <w:rPr>
                <w:rFonts w:hint="default" w:eastAsia="方正仿宋_GBK" w:cs="方正仿宋_GBK"/>
                <w:color w:val="auto"/>
                <w:highlight w:val="none"/>
                <w:lang w:val="en-US" w:eastAsia="zh-CN"/>
              </w:rPr>
            </w:pPr>
            <w:r>
              <w:rPr>
                <w:rFonts w:hint="eastAsia" w:eastAsia="方正仿宋_GBK" w:cs="方正仿宋_GBK"/>
                <w:color w:val="auto"/>
                <w:highlight w:val="none"/>
                <w:lang w:val="en-US" w:eastAsia="zh-CN"/>
              </w:rPr>
              <w:t>10</w:t>
            </w:r>
          </w:p>
        </w:tc>
      </w:tr>
      <w:tr>
        <w:tblPrEx>
          <w:tblLayout w:type="fixed"/>
          <w:tblCellMar>
            <w:top w:w="0" w:type="dxa"/>
            <w:left w:w="108" w:type="dxa"/>
            <w:bottom w:w="0" w:type="dxa"/>
            <w:right w:w="108" w:type="dxa"/>
          </w:tblCellMar>
        </w:tblPrEx>
        <w:trPr>
          <w:trHeight w:val="283" w:hRule="atLeast"/>
        </w:trPr>
        <w:tc>
          <w:tcPr>
            <w:tcW w:w="3024" w:type="dxa"/>
            <w:tcBorders>
              <w:top w:val="single" w:color="auto" w:sz="4" w:space="0"/>
              <w:left w:val="single" w:color="auto" w:sz="4" w:space="0"/>
              <w:bottom w:val="single" w:color="auto" w:sz="4" w:space="0"/>
              <w:right w:val="single" w:color="auto" w:sz="4" w:space="0"/>
            </w:tcBorders>
            <w:noWrap/>
            <w:vAlign w:val="bottom"/>
          </w:tcPr>
          <w:p>
            <w:pPr>
              <w:spacing w:line="560" w:lineRule="exact"/>
              <w:ind w:firstLine="0" w:firstLineChars="0"/>
              <w:jc w:val="center"/>
              <w:rPr>
                <w:rFonts w:hint="eastAsia" w:eastAsia="方正仿宋_GBK" w:cs="方正仿宋_GBK"/>
                <w:color w:val="auto"/>
                <w:highlight w:val="none"/>
              </w:rPr>
            </w:pPr>
            <w:r>
              <w:rPr>
                <w:rFonts w:hint="eastAsia" w:eastAsia="方正仿宋_GBK" w:cs="方正仿宋_GBK"/>
                <w:color w:val="auto"/>
                <w:highlight w:val="none"/>
              </w:rPr>
              <w:t>产出时效</w:t>
            </w:r>
          </w:p>
        </w:tc>
        <w:tc>
          <w:tcPr>
            <w:tcW w:w="1682" w:type="dxa"/>
            <w:tcBorders>
              <w:top w:val="single" w:color="auto" w:sz="4" w:space="0"/>
              <w:left w:val="single" w:color="auto" w:sz="4" w:space="0"/>
              <w:bottom w:val="single" w:color="auto" w:sz="4" w:space="0"/>
              <w:right w:val="single" w:color="auto" w:sz="4" w:space="0"/>
            </w:tcBorders>
            <w:noWrap/>
            <w:vAlign w:val="bottom"/>
          </w:tcPr>
          <w:p>
            <w:pPr>
              <w:spacing w:line="560" w:lineRule="exact"/>
              <w:ind w:firstLine="0" w:firstLineChars="0"/>
              <w:jc w:val="center"/>
              <w:rPr>
                <w:rFonts w:hint="eastAsia" w:eastAsia="方正仿宋_GBK" w:cs="方正仿宋_GBK"/>
                <w:color w:val="auto"/>
                <w:highlight w:val="none"/>
              </w:rPr>
            </w:pPr>
            <w:r>
              <w:rPr>
                <w:rFonts w:hint="eastAsia" w:eastAsia="方正仿宋_GBK" w:cs="方正仿宋_GBK"/>
                <w:color w:val="auto"/>
                <w:highlight w:val="none"/>
              </w:rPr>
              <w:t>10</w:t>
            </w:r>
          </w:p>
        </w:tc>
        <w:tc>
          <w:tcPr>
            <w:tcW w:w="2131" w:type="dxa"/>
            <w:tcBorders>
              <w:top w:val="single" w:color="auto" w:sz="4" w:space="0"/>
              <w:left w:val="single" w:color="auto" w:sz="4" w:space="0"/>
              <w:bottom w:val="single" w:color="auto" w:sz="4" w:space="0"/>
              <w:right w:val="single" w:color="auto" w:sz="4" w:space="0"/>
            </w:tcBorders>
            <w:noWrap/>
            <w:vAlign w:val="bottom"/>
          </w:tcPr>
          <w:p>
            <w:pPr>
              <w:spacing w:line="560" w:lineRule="exact"/>
              <w:ind w:firstLine="0" w:firstLineChars="0"/>
              <w:jc w:val="center"/>
              <w:rPr>
                <w:rFonts w:hint="eastAsia" w:eastAsia="方正仿宋_GBK" w:cs="方正仿宋_GBK"/>
                <w:color w:val="auto"/>
                <w:highlight w:val="none"/>
              </w:rPr>
            </w:pPr>
            <w:r>
              <w:rPr>
                <w:rFonts w:hint="eastAsia" w:eastAsia="方正仿宋_GBK" w:cs="方正仿宋_GBK"/>
                <w:color w:val="auto"/>
                <w:highlight w:val="none"/>
              </w:rPr>
              <w:t>100%</w:t>
            </w:r>
          </w:p>
        </w:tc>
        <w:tc>
          <w:tcPr>
            <w:tcW w:w="1682" w:type="dxa"/>
            <w:tcBorders>
              <w:top w:val="single" w:color="auto" w:sz="4" w:space="0"/>
              <w:left w:val="single" w:color="auto" w:sz="4" w:space="0"/>
              <w:bottom w:val="single" w:color="auto" w:sz="4" w:space="0"/>
              <w:right w:val="single" w:color="auto" w:sz="4" w:space="0"/>
            </w:tcBorders>
            <w:noWrap/>
            <w:vAlign w:val="bottom"/>
          </w:tcPr>
          <w:p>
            <w:pPr>
              <w:spacing w:line="560" w:lineRule="exact"/>
              <w:ind w:firstLine="0" w:firstLineChars="0"/>
              <w:jc w:val="center"/>
              <w:rPr>
                <w:rFonts w:hint="default" w:eastAsia="方正仿宋_GBK" w:cs="方正仿宋_GBK"/>
                <w:color w:val="auto"/>
                <w:highlight w:val="none"/>
                <w:lang w:val="en-US" w:eastAsia="zh-CN"/>
              </w:rPr>
            </w:pPr>
            <w:r>
              <w:rPr>
                <w:rFonts w:hint="eastAsia" w:eastAsia="方正仿宋_GBK" w:cs="方正仿宋_GBK"/>
                <w:color w:val="auto"/>
                <w:highlight w:val="none"/>
                <w:lang w:val="en-US" w:eastAsia="zh-CN"/>
              </w:rPr>
              <w:t>10</w:t>
            </w:r>
          </w:p>
        </w:tc>
      </w:tr>
      <w:tr>
        <w:tblPrEx>
          <w:tblLayout w:type="fixed"/>
          <w:tblCellMar>
            <w:top w:w="0" w:type="dxa"/>
            <w:left w:w="108" w:type="dxa"/>
            <w:bottom w:w="0" w:type="dxa"/>
            <w:right w:w="108" w:type="dxa"/>
          </w:tblCellMar>
        </w:tblPrEx>
        <w:trPr>
          <w:trHeight w:val="283" w:hRule="atLeast"/>
        </w:trPr>
        <w:tc>
          <w:tcPr>
            <w:tcW w:w="3024" w:type="dxa"/>
            <w:tcBorders>
              <w:top w:val="single" w:color="auto" w:sz="4" w:space="0"/>
              <w:left w:val="single" w:color="auto" w:sz="4" w:space="0"/>
              <w:bottom w:val="single" w:color="auto" w:sz="4" w:space="0"/>
              <w:right w:val="single" w:color="auto" w:sz="4" w:space="0"/>
            </w:tcBorders>
            <w:noWrap/>
            <w:vAlign w:val="bottom"/>
          </w:tcPr>
          <w:p>
            <w:pPr>
              <w:spacing w:line="560" w:lineRule="exact"/>
              <w:ind w:firstLine="0" w:firstLineChars="0"/>
              <w:jc w:val="center"/>
              <w:rPr>
                <w:rFonts w:hint="eastAsia" w:eastAsia="方正仿宋_GBK" w:cs="方正仿宋_GBK"/>
                <w:color w:val="auto"/>
                <w:highlight w:val="none"/>
              </w:rPr>
            </w:pPr>
            <w:r>
              <w:rPr>
                <w:rFonts w:hint="eastAsia" w:eastAsia="方正仿宋_GBK" w:cs="方正仿宋_GBK"/>
                <w:color w:val="auto"/>
                <w:highlight w:val="none"/>
              </w:rPr>
              <w:t>成本情况</w:t>
            </w:r>
          </w:p>
        </w:tc>
        <w:tc>
          <w:tcPr>
            <w:tcW w:w="1682" w:type="dxa"/>
            <w:tcBorders>
              <w:top w:val="single" w:color="auto" w:sz="4" w:space="0"/>
              <w:left w:val="single" w:color="auto" w:sz="4" w:space="0"/>
              <w:bottom w:val="single" w:color="auto" w:sz="4" w:space="0"/>
              <w:right w:val="single" w:color="auto" w:sz="4" w:space="0"/>
            </w:tcBorders>
            <w:noWrap/>
            <w:vAlign w:val="bottom"/>
          </w:tcPr>
          <w:p>
            <w:pPr>
              <w:spacing w:line="560" w:lineRule="exact"/>
              <w:ind w:firstLine="0" w:firstLineChars="0"/>
              <w:jc w:val="center"/>
              <w:rPr>
                <w:rFonts w:hint="eastAsia" w:eastAsia="方正仿宋_GBK" w:cs="方正仿宋_GBK"/>
                <w:color w:val="auto"/>
                <w:highlight w:val="none"/>
              </w:rPr>
            </w:pPr>
            <w:r>
              <w:rPr>
                <w:rFonts w:hint="eastAsia" w:eastAsia="方正仿宋_GBK" w:cs="方正仿宋_GBK"/>
                <w:color w:val="auto"/>
                <w:highlight w:val="none"/>
              </w:rPr>
              <w:t>10</w:t>
            </w:r>
          </w:p>
        </w:tc>
        <w:tc>
          <w:tcPr>
            <w:tcW w:w="2131" w:type="dxa"/>
            <w:tcBorders>
              <w:top w:val="single" w:color="auto" w:sz="4" w:space="0"/>
              <w:left w:val="single" w:color="auto" w:sz="4" w:space="0"/>
              <w:bottom w:val="single" w:color="auto" w:sz="4" w:space="0"/>
              <w:right w:val="single" w:color="auto" w:sz="4" w:space="0"/>
            </w:tcBorders>
            <w:noWrap/>
            <w:vAlign w:val="bottom"/>
          </w:tcPr>
          <w:p>
            <w:pPr>
              <w:spacing w:line="560" w:lineRule="exact"/>
              <w:ind w:firstLine="0" w:firstLineChars="0"/>
              <w:jc w:val="center"/>
              <w:rPr>
                <w:rFonts w:hint="eastAsia" w:eastAsia="方正仿宋_GBK" w:cs="方正仿宋_GBK"/>
                <w:color w:val="auto"/>
                <w:highlight w:val="none"/>
              </w:rPr>
            </w:pPr>
            <w:r>
              <w:rPr>
                <w:rFonts w:hint="eastAsia" w:eastAsia="方正仿宋_GBK" w:cs="方正仿宋_GBK"/>
                <w:color w:val="auto"/>
                <w:highlight w:val="none"/>
                <w:lang w:val="en-US" w:eastAsia="zh-CN"/>
              </w:rPr>
              <w:t>100</w:t>
            </w:r>
            <w:r>
              <w:rPr>
                <w:rFonts w:hint="eastAsia" w:eastAsia="方正仿宋_GBK" w:cs="方正仿宋_GBK"/>
                <w:color w:val="auto"/>
                <w:highlight w:val="none"/>
              </w:rPr>
              <w:t>%</w:t>
            </w:r>
          </w:p>
        </w:tc>
        <w:tc>
          <w:tcPr>
            <w:tcW w:w="1682" w:type="dxa"/>
            <w:tcBorders>
              <w:top w:val="single" w:color="auto" w:sz="4" w:space="0"/>
              <w:left w:val="single" w:color="auto" w:sz="4" w:space="0"/>
              <w:bottom w:val="single" w:color="auto" w:sz="4" w:space="0"/>
              <w:right w:val="single" w:color="auto" w:sz="4" w:space="0"/>
            </w:tcBorders>
            <w:noWrap/>
            <w:vAlign w:val="bottom"/>
          </w:tcPr>
          <w:p>
            <w:pPr>
              <w:spacing w:line="560" w:lineRule="exact"/>
              <w:ind w:firstLine="0" w:firstLineChars="0"/>
              <w:jc w:val="center"/>
              <w:rPr>
                <w:rFonts w:hint="default" w:eastAsia="方正仿宋_GBK" w:cs="方正仿宋_GBK"/>
                <w:color w:val="auto"/>
                <w:highlight w:val="none"/>
                <w:lang w:val="en-US" w:eastAsia="zh-CN"/>
              </w:rPr>
            </w:pPr>
            <w:r>
              <w:rPr>
                <w:rFonts w:hint="eastAsia" w:eastAsia="方正仿宋_GBK" w:cs="方正仿宋_GBK"/>
                <w:color w:val="auto"/>
                <w:highlight w:val="none"/>
                <w:lang w:val="en-US" w:eastAsia="zh-CN"/>
              </w:rPr>
              <w:t>10</w:t>
            </w:r>
          </w:p>
        </w:tc>
      </w:tr>
      <w:tr>
        <w:tblPrEx>
          <w:tblLayout w:type="fixed"/>
          <w:tblCellMar>
            <w:top w:w="0" w:type="dxa"/>
            <w:left w:w="108" w:type="dxa"/>
            <w:bottom w:w="0" w:type="dxa"/>
            <w:right w:w="108" w:type="dxa"/>
          </w:tblCellMar>
        </w:tblPrEx>
        <w:trPr>
          <w:trHeight w:val="283" w:hRule="atLeast"/>
        </w:trPr>
        <w:tc>
          <w:tcPr>
            <w:tcW w:w="3024" w:type="dxa"/>
            <w:tcBorders>
              <w:top w:val="single" w:color="auto" w:sz="4" w:space="0"/>
              <w:left w:val="single" w:color="auto" w:sz="4" w:space="0"/>
              <w:bottom w:val="single" w:color="auto" w:sz="4" w:space="0"/>
              <w:right w:val="single" w:color="auto" w:sz="4" w:space="0"/>
            </w:tcBorders>
            <w:noWrap/>
            <w:vAlign w:val="bottom"/>
          </w:tcPr>
          <w:p>
            <w:pPr>
              <w:spacing w:line="560" w:lineRule="exact"/>
              <w:ind w:firstLine="0" w:firstLineChars="0"/>
              <w:jc w:val="center"/>
              <w:rPr>
                <w:rFonts w:hint="eastAsia" w:eastAsia="方正仿宋_GBK" w:cs="方正仿宋_GBK"/>
                <w:color w:val="auto"/>
                <w:highlight w:val="none"/>
              </w:rPr>
            </w:pPr>
            <w:r>
              <w:rPr>
                <w:rFonts w:hint="eastAsia" w:eastAsia="方正仿宋_GBK" w:cs="方正仿宋_GBK"/>
                <w:color w:val="auto"/>
                <w:highlight w:val="none"/>
              </w:rPr>
              <w:t>合计</w:t>
            </w:r>
          </w:p>
        </w:tc>
        <w:tc>
          <w:tcPr>
            <w:tcW w:w="1682" w:type="dxa"/>
            <w:tcBorders>
              <w:top w:val="single" w:color="auto" w:sz="4" w:space="0"/>
              <w:left w:val="single" w:color="auto" w:sz="4" w:space="0"/>
              <w:bottom w:val="single" w:color="auto" w:sz="4" w:space="0"/>
              <w:right w:val="single" w:color="auto" w:sz="4" w:space="0"/>
            </w:tcBorders>
            <w:noWrap/>
            <w:vAlign w:val="bottom"/>
          </w:tcPr>
          <w:p>
            <w:pPr>
              <w:spacing w:line="560" w:lineRule="exact"/>
              <w:ind w:firstLine="0" w:firstLineChars="0"/>
              <w:jc w:val="center"/>
              <w:rPr>
                <w:rFonts w:hint="eastAsia" w:eastAsia="方正仿宋_GBK" w:cs="方正仿宋_GBK"/>
                <w:color w:val="auto"/>
                <w:highlight w:val="none"/>
              </w:rPr>
            </w:pPr>
            <w:r>
              <w:rPr>
                <w:rFonts w:hint="eastAsia" w:eastAsia="方正仿宋_GBK" w:cs="方正仿宋_GBK"/>
                <w:color w:val="auto"/>
                <w:highlight w:val="none"/>
              </w:rPr>
              <w:t>40</w:t>
            </w:r>
          </w:p>
        </w:tc>
        <w:tc>
          <w:tcPr>
            <w:tcW w:w="2131" w:type="dxa"/>
            <w:tcBorders>
              <w:top w:val="single" w:color="auto" w:sz="4" w:space="0"/>
              <w:left w:val="single" w:color="auto" w:sz="4" w:space="0"/>
              <w:bottom w:val="single" w:color="auto" w:sz="4" w:space="0"/>
              <w:right w:val="single" w:color="auto" w:sz="4" w:space="0"/>
            </w:tcBorders>
            <w:noWrap/>
            <w:vAlign w:val="bottom"/>
          </w:tcPr>
          <w:p>
            <w:pPr>
              <w:spacing w:line="560" w:lineRule="exact"/>
              <w:ind w:firstLine="0" w:firstLineChars="0"/>
              <w:jc w:val="center"/>
              <w:rPr>
                <w:rFonts w:hint="eastAsia" w:eastAsia="方正仿宋_GBK" w:cs="方正仿宋_GBK"/>
                <w:color w:val="auto"/>
                <w:highlight w:val="none"/>
              </w:rPr>
            </w:pPr>
            <w:r>
              <w:rPr>
                <w:rFonts w:hint="eastAsia" w:eastAsia="方正仿宋_GBK" w:cs="方正仿宋_GBK"/>
                <w:color w:val="auto"/>
                <w:highlight w:val="none"/>
                <w:lang w:val="en-US" w:eastAsia="zh-CN"/>
              </w:rPr>
              <w:t>100</w:t>
            </w:r>
            <w:r>
              <w:rPr>
                <w:rFonts w:hint="eastAsia" w:eastAsia="方正仿宋_GBK" w:cs="方正仿宋_GBK"/>
                <w:color w:val="auto"/>
                <w:highlight w:val="none"/>
              </w:rPr>
              <w:t>%</w:t>
            </w:r>
          </w:p>
        </w:tc>
        <w:tc>
          <w:tcPr>
            <w:tcW w:w="1682" w:type="dxa"/>
            <w:tcBorders>
              <w:top w:val="single" w:color="auto" w:sz="4" w:space="0"/>
              <w:left w:val="single" w:color="auto" w:sz="4" w:space="0"/>
              <w:bottom w:val="single" w:color="auto" w:sz="4" w:space="0"/>
              <w:right w:val="single" w:color="auto" w:sz="4" w:space="0"/>
            </w:tcBorders>
            <w:noWrap/>
            <w:vAlign w:val="bottom"/>
          </w:tcPr>
          <w:p>
            <w:pPr>
              <w:spacing w:line="560" w:lineRule="exact"/>
              <w:ind w:firstLine="0" w:firstLineChars="0"/>
              <w:jc w:val="center"/>
              <w:rPr>
                <w:rFonts w:hint="default" w:eastAsia="方正仿宋_GBK" w:cs="方正仿宋_GBK"/>
                <w:color w:val="auto"/>
                <w:highlight w:val="none"/>
                <w:lang w:val="en-US" w:eastAsia="zh-CN"/>
              </w:rPr>
            </w:pPr>
            <w:r>
              <w:rPr>
                <w:rFonts w:hint="eastAsia" w:eastAsia="方正仿宋_GBK" w:cs="方正仿宋_GBK"/>
                <w:color w:val="auto"/>
                <w:highlight w:val="none"/>
                <w:lang w:val="en-US" w:eastAsia="zh-CN"/>
              </w:rPr>
              <w:t>40</w:t>
            </w:r>
          </w:p>
        </w:tc>
      </w:tr>
    </w:tbl>
    <w:p>
      <w:pPr>
        <w:numPr>
          <w:ilvl w:val="0"/>
          <w:numId w:val="2"/>
        </w:numPr>
        <w:spacing w:line="560" w:lineRule="exact"/>
        <w:ind w:firstLine="643"/>
        <w:rPr>
          <w:rFonts w:hint="eastAsia" w:eastAsia="方正仿宋_GBK" w:cs="方正仿宋_GBK"/>
          <w:b/>
          <w:bCs/>
          <w:color w:val="auto"/>
          <w:sz w:val="32"/>
          <w:szCs w:val="32"/>
          <w:highlight w:val="none"/>
        </w:rPr>
      </w:pPr>
      <w:r>
        <w:rPr>
          <w:rFonts w:hint="eastAsia" w:eastAsia="方正仿宋_GBK" w:cs="方正仿宋_GBK"/>
          <w:b/>
          <w:bCs/>
          <w:color w:val="auto"/>
          <w:sz w:val="32"/>
          <w:szCs w:val="32"/>
          <w:highlight w:val="none"/>
        </w:rPr>
        <w:t>对于“产出数量”</w:t>
      </w:r>
    </w:p>
    <w:p>
      <w:pPr>
        <w:spacing w:line="560" w:lineRule="exact"/>
        <w:ind w:firstLine="640"/>
        <w:rPr>
          <w:rFonts w:hint="default" w:ascii="Times New Roman" w:hAnsi="Times New Roman" w:eastAsia="仿宋_GB2312" w:cs="Times New Roman"/>
          <w:bCs w:val="0"/>
          <w:kern w:val="2"/>
          <w:sz w:val="32"/>
          <w:szCs w:val="32"/>
          <w:lang w:val="en-US" w:eastAsia="zh-CN" w:bidi="ar-SA"/>
        </w:rPr>
      </w:pPr>
      <w:r>
        <w:rPr>
          <w:rFonts w:hint="eastAsia" w:ascii="Times New Roman" w:hAnsi="Times New Roman" w:eastAsia="仿宋_GB2312" w:cs="Times New Roman"/>
          <w:bCs w:val="0"/>
          <w:kern w:val="2"/>
          <w:sz w:val="32"/>
          <w:szCs w:val="32"/>
          <w:lang w:val="en-US" w:eastAsia="zh-CN" w:bidi="ar-SA"/>
        </w:rPr>
        <w:t>采购药品数量指标，预期指标值为2（批），实际完成值为2（批），与预期目标一致，根据评分标准，该指标不扣分，得10分。</w:t>
      </w:r>
    </w:p>
    <w:p>
      <w:pPr>
        <w:spacing w:line="560" w:lineRule="exact"/>
        <w:ind w:firstLine="640"/>
        <w:rPr>
          <w:rFonts w:hint="eastAsia" w:eastAsia="方正仿宋_GBK" w:cs="方正仿宋_GBK"/>
          <w:color w:val="auto"/>
          <w:sz w:val="32"/>
          <w:szCs w:val="32"/>
          <w:highlight w:val="none"/>
        </w:rPr>
      </w:pPr>
      <w:r>
        <w:rPr>
          <w:rFonts w:hint="eastAsia" w:ascii="Times New Roman" w:hAnsi="Times New Roman" w:eastAsia="仿宋_GB2312" w:cs="Times New Roman"/>
          <w:bCs w:val="0"/>
          <w:kern w:val="2"/>
          <w:sz w:val="32"/>
          <w:szCs w:val="32"/>
          <w:lang w:val="en-US" w:eastAsia="zh-CN" w:bidi="ar-SA"/>
        </w:rPr>
        <w:t>合计得10分。</w:t>
      </w:r>
    </w:p>
    <w:p>
      <w:pPr>
        <w:numPr>
          <w:ilvl w:val="0"/>
          <w:numId w:val="2"/>
        </w:numPr>
        <w:spacing w:line="560" w:lineRule="exact"/>
        <w:ind w:firstLine="643"/>
        <w:rPr>
          <w:rFonts w:hint="eastAsia" w:eastAsia="方正仿宋_GBK" w:cs="方正仿宋_GBK"/>
          <w:b/>
          <w:bCs/>
          <w:color w:val="auto"/>
          <w:sz w:val="32"/>
          <w:szCs w:val="32"/>
          <w:highlight w:val="none"/>
        </w:rPr>
      </w:pPr>
      <w:r>
        <w:rPr>
          <w:rFonts w:hint="eastAsia" w:eastAsia="方正仿宋_GBK" w:cs="方正仿宋_GBK"/>
          <w:b/>
          <w:bCs/>
          <w:color w:val="auto"/>
          <w:sz w:val="32"/>
          <w:szCs w:val="32"/>
          <w:highlight w:val="none"/>
        </w:rPr>
        <w:t>对于“产出质量”：</w:t>
      </w:r>
    </w:p>
    <w:p>
      <w:pPr>
        <w:spacing w:line="560" w:lineRule="exact"/>
        <w:ind w:firstLine="640"/>
        <w:rPr>
          <w:rFonts w:hint="eastAsia" w:ascii="Times New Roman" w:hAnsi="Times New Roman" w:eastAsia="仿宋_GB2312" w:cs="Times New Roman"/>
          <w:bCs w:val="0"/>
          <w:kern w:val="2"/>
          <w:sz w:val="32"/>
          <w:szCs w:val="32"/>
          <w:lang w:val="en-US" w:eastAsia="zh-CN" w:bidi="ar-SA"/>
        </w:rPr>
      </w:pPr>
      <w:r>
        <w:rPr>
          <w:rFonts w:hint="eastAsia" w:ascii="Times New Roman" w:hAnsi="Times New Roman" w:eastAsia="仿宋_GB2312" w:cs="Times New Roman"/>
          <w:bCs w:val="0"/>
          <w:kern w:val="2"/>
          <w:sz w:val="32"/>
          <w:szCs w:val="32"/>
          <w:lang w:val="en-US" w:eastAsia="zh-CN" w:bidi="ar-SA"/>
        </w:rPr>
        <w:t>药品验收合规率指标，预期指标值为100%，实际完成值为100%，与预期目标一致，根据评分标准，该指标不扣分，得5分。</w:t>
      </w:r>
    </w:p>
    <w:p>
      <w:pPr>
        <w:spacing w:line="560" w:lineRule="exact"/>
        <w:ind w:firstLine="640"/>
        <w:rPr>
          <w:rFonts w:hint="eastAsia" w:ascii="Times New Roman" w:hAnsi="Times New Roman" w:eastAsia="仿宋_GB2312" w:cs="Times New Roman"/>
          <w:bCs w:val="0"/>
          <w:kern w:val="2"/>
          <w:sz w:val="32"/>
          <w:szCs w:val="32"/>
          <w:lang w:val="en-US" w:eastAsia="zh-CN" w:bidi="ar-SA"/>
        </w:rPr>
      </w:pPr>
      <w:r>
        <w:rPr>
          <w:rFonts w:hint="eastAsia" w:ascii="Times New Roman" w:hAnsi="Times New Roman" w:eastAsia="仿宋_GB2312" w:cs="Times New Roman"/>
          <w:bCs w:val="0"/>
          <w:kern w:val="2"/>
          <w:sz w:val="32"/>
          <w:szCs w:val="32"/>
          <w:lang w:val="en-US" w:eastAsia="zh-CN" w:bidi="ar-SA"/>
        </w:rPr>
        <w:t>资金使用合规率指标，预期指标值为100%，实际完成值为100%，与预期目标一致，根据评分标准，该指标不扣分，得5分。</w:t>
      </w:r>
    </w:p>
    <w:p>
      <w:pPr>
        <w:spacing w:line="560" w:lineRule="exact"/>
        <w:ind w:firstLine="640"/>
        <w:rPr>
          <w:rFonts w:hint="eastAsia" w:ascii="Times New Roman" w:hAnsi="Times New Roman" w:eastAsia="仿宋_GB2312" w:cs="Times New Roman"/>
          <w:bCs w:val="0"/>
          <w:kern w:val="2"/>
          <w:sz w:val="32"/>
          <w:szCs w:val="32"/>
          <w:lang w:val="en-US" w:eastAsia="zh-CN" w:bidi="ar-SA"/>
        </w:rPr>
      </w:pPr>
      <w:r>
        <w:rPr>
          <w:rFonts w:hint="eastAsia" w:ascii="Times New Roman" w:hAnsi="Times New Roman" w:eastAsia="仿宋_GB2312" w:cs="Times New Roman"/>
          <w:bCs w:val="0"/>
          <w:kern w:val="2"/>
          <w:sz w:val="32"/>
          <w:szCs w:val="32"/>
          <w:lang w:val="en-US" w:eastAsia="zh-CN" w:bidi="ar-SA"/>
        </w:rPr>
        <w:t>合计得10分。</w:t>
      </w:r>
    </w:p>
    <w:p>
      <w:pPr>
        <w:pStyle w:val="4"/>
        <w:numPr>
          <w:ilvl w:val="0"/>
          <w:numId w:val="2"/>
        </w:numPr>
        <w:spacing w:before="0" w:after="0" w:line="560" w:lineRule="exact"/>
        <w:ind w:firstLine="643"/>
        <w:jc w:val="both"/>
        <w:rPr>
          <w:rFonts w:hint="eastAsia" w:eastAsia="方正仿宋_GBK" w:cs="方正仿宋_GBK"/>
          <w:bCs/>
          <w:color w:val="auto"/>
          <w:sz w:val="32"/>
          <w:szCs w:val="32"/>
          <w:highlight w:val="none"/>
        </w:rPr>
      </w:pPr>
      <w:r>
        <w:rPr>
          <w:rFonts w:hint="eastAsia" w:ascii="宋体" w:hAnsi="宋体" w:eastAsia="宋体" w:cstheme="minorBidi"/>
          <w:b/>
          <w:bCs/>
          <w:kern w:val="2"/>
          <w:sz w:val="24"/>
          <w:szCs w:val="24"/>
          <w:lang w:val="en-US" w:eastAsia="zh-CN" w:bidi="ar-SA"/>
        </w:rPr>
        <w:t>对于“产出时效”：</w:t>
      </w:r>
    </w:p>
    <w:p>
      <w:pPr>
        <w:spacing w:line="560" w:lineRule="exact"/>
        <w:ind w:firstLine="640"/>
        <w:rPr>
          <w:rFonts w:hint="eastAsia" w:ascii="Times New Roman" w:hAnsi="Times New Roman" w:eastAsia="仿宋_GB2312" w:cs="Times New Roman"/>
          <w:bCs w:val="0"/>
          <w:kern w:val="2"/>
          <w:sz w:val="32"/>
          <w:szCs w:val="32"/>
          <w:lang w:val="en-US" w:eastAsia="zh-CN" w:bidi="ar-SA"/>
        </w:rPr>
      </w:pPr>
      <w:r>
        <w:rPr>
          <w:rFonts w:hint="eastAsia" w:ascii="Times New Roman" w:hAnsi="Times New Roman" w:eastAsia="仿宋_GB2312" w:cs="Times New Roman"/>
          <w:bCs w:val="0"/>
          <w:kern w:val="2"/>
          <w:sz w:val="32"/>
          <w:szCs w:val="32"/>
          <w:lang w:val="en-US" w:eastAsia="zh-CN" w:bidi="ar-SA"/>
        </w:rPr>
        <w:t>药品采购及时率指标，预期指标值为100%，实际完成值为100%，与预期目标一致，根据评分标准，该指标不扣分，得10分。</w:t>
      </w:r>
    </w:p>
    <w:p>
      <w:pPr>
        <w:spacing w:line="560" w:lineRule="exact"/>
        <w:ind w:firstLine="640"/>
        <w:rPr>
          <w:rFonts w:hint="eastAsia" w:ascii="Times New Roman" w:hAnsi="Times New Roman" w:eastAsia="仿宋_GB2312" w:cs="Times New Roman"/>
          <w:bCs w:val="0"/>
          <w:kern w:val="2"/>
          <w:sz w:val="32"/>
          <w:szCs w:val="32"/>
          <w:lang w:val="en-US" w:eastAsia="zh-CN" w:bidi="ar-SA"/>
        </w:rPr>
      </w:pPr>
      <w:r>
        <w:rPr>
          <w:rFonts w:hint="eastAsia" w:ascii="Times New Roman" w:hAnsi="Times New Roman" w:eastAsia="仿宋_GB2312" w:cs="Times New Roman"/>
          <w:bCs w:val="0"/>
          <w:kern w:val="2"/>
          <w:sz w:val="32"/>
          <w:szCs w:val="32"/>
          <w:lang w:val="en-US" w:eastAsia="zh-CN" w:bidi="ar-SA"/>
        </w:rPr>
        <w:t>合计得10分。</w:t>
      </w:r>
    </w:p>
    <w:p>
      <w:pPr>
        <w:spacing w:line="480" w:lineRule="auto"/>
        <w:rPr>
          <w:rFonts w:hint="eastAsia" w:ascii="宋体" w:hAnsi="宋体" w:eastAsia="宋体"/>
          <w:b/>
          <w:bCs/>
          <w:sz w:val="24"/>
          <w:szCs w:val="24"/>
        </w:rPr>
      </w:pPr>
      <w:r>
        <w:rPr>
          <w:rFonts w:hint="eastAsia" w:ascii="宋体" w:hAnsi="宋体" w:eastAsia="宋体"/>
          <w:b/>
          <w:bCs/>
          <w:sz w:val="24"/>
          <w:szCs w:val="24"/>
        </w:rPr>
        <w:t>（4）对于“产出成本”：</w:t>
      </w:r>
    </w:p>
    <w:p>
      <w:pPr>
        <w:spacing w:line="560" w:lineRule="exact"/>
        <w:ind w:firstLine="640"/>
        <w:rPr>
          <w:rFonts w:hint="eastAsia" w:ascii="Times New Roman" w:hAnsi="Times New Roman" w:eastAsia="仿宋_GB2312" w:cs="Times New Roman"/>
          <w:bCs w:val="0"/>
          <w:kern w:val="2"/>
          <w:sz w:val="32"/>
          <w:szCs w:val="32"/>
          <w:lang w:val="en-US" w:eastAsia="zh-CN" w:bidi="ar-SA"/>
        </w:rPr>
      </w:pPr>
      <w:r>
        <w:rPr>
          <w:rFonts w:hint="eastAsia" w:ascii="Times New Roman" w:hAnsi="Times New Roman" w:eastAsia="仿宋_GB2312" w:cs="Times New Roman"/>
          <w:bCs w:val="0"/>
          <w:kern w:val="2"/>
          <w:sz w:val="32"/>
          <w:szCs w:val="32"/>
          <w:lang w:val="en-US" w:eastAsia="zh-CN" w:bidi="ar-SA"/>
        </w:rPr>
        <w:t>采购药品成本指标，预期指标值为51.8万元，实际完成值为51.8万元，指标完成率为100%，与预期目标一致，项目经费都能控制在绩效目标范围内，根据评分标准，该指标不扣分，得10分。</w:t>
      </w:r>
    </w:p>
    <w:p>
      <w:pPr>
        <w:spacing w:line="560" w:lineRule="exact"/>
        <w:ind w:firstLine="640"/>
        <w:rPr>
          <w:rFonts w:hint="eastAsia" w:ascii="Times New Roman" w:hAnsi="Times New Roman" w:eastAsia="仿宋_GB2312" w:cs="Times New Roman"/>
          <w:bCs w:val="0"/>
          <w:kern w:val="2"/>
          <w:sz w:val="32"/>
          <w:szCs w:val="32"/>
          <w:lang w:val="en-US" w:eastAsia="zh-CN" w:bidi="ar-SA"/>
        </w:rPr>
      </w:pPr>
    </w:p>
    <w:p>
      <w:pPr>
        <w:spacing w:line="480" w:lineRule="auto"/>
        <w:rPr>
          <w:rFonts w:ascii="宋体" w:hAnsi="宋体" w:eastAsia="宋体"/>
          <w:b/>
          <w:bCs/>
          <w:sz w:val="24"/>
          <w:szCs w:val="24"/>
        </w:rPr>
      </w:pPr>
      <w:r>
        <w:rPr>
          <w:rFonts w:ascii="宋体" w:hAnsi="宋体" w:eastAsia="宋体"/>
          <w:b/>
          <w:bCs/>
          <w:sz w:val="24"/>
          <w:szCs w:val="24"/>
        </w:rPr>
        <w:t>2、效益指标完成情况分析。</w:t>
      </w:r>
    </w:p>
    <w:p>
      <w:pPr>
        <w:spacing w:line="480" w:lineRule="auto"/>
        <w:ind w:firstLine="482" w:firstLineChars="200"/>
        <w:rPr>
          <w:rFonts w:hint="eastAsia" w:eastAsia="方正仿宋_GBK" w:cs="方正仿宋_GBK"/>
          <w:b/>
          <w:bCs/>
          <w:color w:val="auto"/>
          <w:sz w:val="32"/>
          <w:szCs w:val="32"/>
          <w:highlight w:val="none"/>
        </w:rPr>
      </w:pPr>
      <w:r>
        <w:rPr>
          <w:rFonts w:hint="eastAsia" w:ascii="宋体" w:hAnsi="宋体" w:eastAsia="宋体"/>
          <w:b/>
          <w:bCs/>
          <w:sz w:val="24"/>
          <w:szCs w:val="24"/>
        </w:rPr>
        <w:t>（</w:t>
      </w:r>
      <w:r>
        <w:rPr>
          <w:rFonts w:ascii="宋体" w:hAnsi="宋体" w:eastAsia="宋体"/>
          <w:b/>
          <w:bCs/>
          <w:sz w:val="24"/>
          <w:szCs w:val="24"/>
        </w:rPr>
        <w:t>3）</w:t>
      </w:r>
      <w:r>
        <w:rPr>
          <w:rFonts w:hint="eastAsia" w:ascii="宋体" w:hAnsi="宋体" w:eastAsia="宋体"/>
          <w:b/>
          <w:bCs/>
          <w:sz w:val="24"/>
          <w:szCs w:val="24"/>
          <w:lang w:eastAsia="zh-CN"/>
        </w:rPr>
        <w:t>社会</w:t>
      </w:r>
      <w:r>
        <w:rPr>
          <w:rFonts w:ascii="宋体" w:hAnsi="宋体" w:eastAsia="宋体"/>
          <w:b/>
          <w:bCs/>
          <w:sz w:val="24"/>
          <w:szCs w:val="24"/>
        </w:rPr>
        <w:t>效益</w:t>
      </w:r>
      <w:r>
        <w:rPr>
          <w:rFonts w:hint="eastAsia" w:ascii="宋体" w:hAnsi="宋体" w:eastAsia="宋体"/>
          <w:b/>
          <w:bCs/>
          <w:sz w:val="24"/>
          <w:szCs w:val="24"/>
          <w:lang w:val="en-US" w:eastAsia="zh-CN"/>
        </w:rPr>
        <w:t xml:space="preserve"> </w:t>
      </w:r>
    </w:p>
    <w:p>
      <w:pPr>
        <w:pStyle w:val="2"/>
        <w:ind w:firstLine="640" w:firstLineChars="200"/>
        <w:rPr>
          <w:rFonts w:hint="eastAsia" w:ascii="Times New Roman" w:hAnsi="Times New Roman" w:eastAsia="仿宋_GB2312" w:cs="Times New Roman"/>
          <w:bCs w:val="0"/>
          <w:kern w:val="2"/>
          <w:sz w:val="32"/>
          <w:szCs w:val="32"/>
          <w:lang w:val="en-US" w:eastAsia="zh-CN" w:bidi="ar-SA"/>
        </w:rPr>
      </w:pPr>
      <w:r>
        <w:rPr>
          <w:rFonts w:hint="eastAsia" w:ascii="Times New Roman" w:hAnsi="Times New Roman" w:eastAsia="仿宋_GB2312" w:cs="Times New Roman"/>
          <w:bCs w:val="0"/>
          <w:kern w:val="2"/>
          <w:sz w:val="32"/>
          <w:szCs w:val="32"/>
          <w:lang w:val="en-US" w:eastAsia="zh-CN" w:bidi="ar-SA"/>
        </w:rPr>
        <w:t>提高医疗卫生服务水平指标，该指标预期指标值为100%，实际完成值为100%，与预期指标一致，根据评分标准，该指标不扣分，得10分。</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w:t>
      </w:r>
      <w:r>
        <w:rPr>
          <w:rFonts w:ascii="宋体" w:hAnsi="宋体" w:eastAsia="宋体"/>
          <w:b/>
          <w:bCs/>
          <w:sz w:val="24"/>
          <w:szCs w:val="24"/>
        </w:rPr>
        <w:t>4）可持续影响。</w:t>
      </w:r>
    </w:p>
    <w:p>
      <w:pPr>
        <w:pStyle w:val="2"/>
        <w:ind w:firstLine="640" w:firstLineChars="200"/>
        <w:rPr>
          <w:rFonts w:hint="eastAsia" w:ascii="Times New Roman" w:hAnsi="Times New Roman" w:eastAsia="仿宋_GB2312" w:cs="Times New Roman"/>
          <w:bCs w:val="0"/>
          <w:kern w:val="2"/>
          <w:sz w:val="32"/>
          <w:szCs w:val="32"/>
          <w:lang w:val="en-US" w:eastAsia="zh-CN" w:bidi="ar-SA"/>
        </w:rPr>
      </w:pPr>
      <w:r>
        <w:rPr>
          <w:rFonts w:hint="eastAsia" w:ascii="Times New Roman" w:hAnsi="Times New Roman" w:eastAsia="仿宋_GB2312" w:cs="Times New Roman"/>
          <w:bCs w:val="0"/>
          <w:kern w:val="2"/>
          <w:sz w:val="32"/>
          <w:szCs w:val="32"/>
          <w:lang w:val="en-US" w:eastAsia="zh-CN" w:bidi="ar-SA"/>
        </w:rPr>
        <w:t>指标值为公立医院资产负债率，实际完成9.08%，完成率100%、无偏差。</w:t>
      </w:r>
    </w:p>
    <w:p>
      <w:pPr>
        <w:pStyle w:val="2"/>
        <w:ind w:firstLine="640" w:firstLineChars="200"/>
        <w:rPr>
          <w:rFonts w:hint="eastAsia" w:ascii="Times New Roman" w:hAnsi="Times New Roman" w:eastAsia="仿宋_GB2312" w:cs="Times New Roman"/>
          <w:bCs w:val="0"/>
          <w:kern w:val="2"/>
          <w:sz w:val="32"/>
          <w:szCs w:val="32"/>
          <w:lang w:val="en-US" w:eastAsia="zh-CN" w:bidi="ar-SA"/>
        </w:rPr>
      </w:pPr>
      <w:r>
        <w:rPr>
          <w:rFonts w:hint="eastAsia" w:ascii="Times New Roman" w:hAnsi="Times New Roman" w:eastAsia="仿宋_GB2312" w:cs="Times New Roman"/>
          <w:bCs w:val="0"/>
          <w:kern w:val="2"/>
          <w:sz w:val="32"/>
          <w:szCs w:val="32"/>
          <w:lang w:val="en-US" w:eastAsia="zh-CN" w:bidi="ar-SA"/>
        </w:rPr>
        <w:t>指标值为实现收支平衡的公立医院占公立医院总数的比例，实际完成较上年提高，完成率较上年提高、无偏差</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3、满意度指标完成情况分析。</w:t>
      </w:r>
    </w:p>
    <w:p>
      <w:pPr>
        <w:pStyle w:val="15"/>
        <w:spacing w:line="560" w:lineRule="exact"/>
        <w:ind w:firstLine="640"/>
        <w:rPr>
          <w:rFonts w:hint="eastAsia" w:eastAsia="方正仿宋_GBK" w:cs="方正仿宋_GBK"/>
          <w:color w:val="auto"/>
          <w:sz w:val="32"/>
          <w:szCs w:val="32"/>
          <w:highlight w:val="none"/>
          <w:lang w:val="en-US" w:eastAsia="zh-CN"/>
        </w:rPr>
      </w:pPr>
      <w:r>
        <w:rPr>
          <w:rFonts w:hint="eastAsia" w:eastAsia="方正仿宋_GBK" w:cs="方正仿宋_GBK"/>
          <w:color w:val="auto"/>
          <w:sz w:val="32"/>
          <w:szCs w:val="32"/>
          <w:highlight w:val="none"/>
        </w:rPr>
        <w:t>对于“满意度指标：使用人员满意度95%，该指标预期指标值为95%，实际完成值为95%，指标完成率为</w:t>
      </w:r>
      <w:r>
        <w:rPr>
          <w:rFonts w:hint="eastAsia" w:eastAsia="方正仿宋_GBK" w:cs="方正仿宋_GBK"/>
          <w:color w:val="auto"/>
          <w:sz w:val="32"/>
          <w:szCs w:val="32"/>
          <w:highlight w:val="none"/>
          <w:lang w:val="en-US" w:eastAsia="zh-CN"/>
        </w:rPr>
        <w:t>100%,</w:t>
      </w:r>
      <w:r>
        <w:rPr>
          <w:rFonts w:hint="eastAsia" w:eastAsia="方正仿宋_GBK" w:cs="方正仿宋_GBK"/>
          <w:color w:val="auto"/>
          <w:sz w:val="32"/>
          <w:szCs w:val="32"/>
          <w:highlight w:val="none"/>
        </w:rPr>
        <w:t>达到预期目标，根据评分标准，该指标不扣分,得10分。</w:t>
      </w:r>
    </w:p>
    <w:p>
      <w:pPr>
        <w:spacing w:line="560" w:lineRule="exact"/>
        <w:ind w:firstLine="640"/>
        <w:rPr>
          <w:rFonts w:hint="eastAsia" w:eastAsia="方正仿宋_GBK" w:cs="方正仿宋_GBK"/>
          <w:color w:val="auto"/>
          <w:sz w:val="32"/>
          <w:szCs w:val="32"/>
          <w:highlight w:val="none"/>
        </w:rPr>
      </w:pPr>
      <w:r>
        <w:rPr>
          <w:rFonts w:hint="eastAsia" w:eastAsia="方正仿宋_GBK" w:cs="方正仿宋_GBK"/>
          <w:color w:val="auto"/>
          <w:sz w:val="32"/>
          <w:szCs w:val="32"/>
          <w:highlight w:val="none"/>
        </w:rPr>
        <w:t>（1）调研对象</w:t>
      </w:r>
    </w:p>
    <w:p>
      <w:pPr>
        <w:spacing w:line="560" w:lineRule="exact"/>
        <w:ind w:firstLine="640"/>
        <w:rPr>
          <w:rFonts w:hint="eastAsia" w:eastAsia="方正仿宋_GBK" w:cs="方正仿宋_GBK"/>
          <w:color w:val="auto"/>
          <w:sz w:val="32"/>
          <w:szCs w:val="32"/>
          <w:highlight w:val="none"/>
        </w:rPr>
      </w:pPr>
      <w:r>
        <w:rPr>
          <w:rFonts w:hint="eastAsia" w:eastAsia="方正仿宋_GBK" w:cs="方正仿宋_GBK"/>
          <w:color w:val="auto"/>
          <w:sz w:val="32"/>
          <w:szCs w:val="32"/>
          <w:highlight w:val="none"/>
        </w:rPr>
        <w:t>本次问卷调查的对象为</w:t>
      </w:r>
      <w:r>
        <w:rPr>
          <w:rFonts w:hint="eastAsia" w:eastAsia="方正仿宋_GBK" w:cs="方正仿宋_GBK"/>
          <w:color w:val="auto"/>
          <w:sz w:val="32"/>
          <w:szCs w:val="32"/>
          <w:highlight w:val="none"/>
          <w:lang w:eastAsia="zh-CN"/>
        </w:rPr>
        <w:t>医务</w:t>
      </w:r>
      <w:r>
        <w:rPr>
          <w:rFonts w:hint="eastAsia" w:eastAsia="方正仿宋_GBK" w:cs="方正仿宋_GBK"/>
          <w:color w:val="auto"/>
          <w:sz w:val="32"/>
          <w:szCs w:val="32"/>
          <w:highlight w:val="none"/>
        </w:rPr>
        <w:t>使用</w:t>
      </w:r>
      <w:r>
        <w:rPr>
          <w:rFonts w:hint="eastAsia" w:eastAsia="方正仿宋_GBK" w:cs="方正仿宋_GBK"/>
          <w:color w:val="auto"/>
          <w:sz w:val="32"/>
          <w:szCs w:val="32"/>
          <w:highlight w:val="none"/>
          <w:lang w:eastAsia="zh-CN"/>
        </w:rPr>
        <w:t>人员</w:t>
      </w:r>
      <w:r>
        <w:rPr>
          <w:rFonts w:hint="eastAsia" w:eastAsia="方正仿宋_GBK" w:cs="方正仿宋_GBK"/>
          <w:color w:val="auto"/>
          <w:sz w:val="32"/>
          <w:szCs w:val="32"/>
          <w:highlight w:val="none"/>
        </w:rPr>
        <w:t>。</w:t>
      </w:r>
    </w:p>
    <w:p>
      <w:pPr>
        <w:spacing w:line="560" w:lineRule="exact"/>
        <w:ind w:firstLine="640"/>
        <w:rPr>
          <w:rFonts w:hint="eastAsia" w:eastAsia="方正仿宋_GBK" w:cs="方正仿宋_GBK"/>
          <w:color w:val="auto"/>
          <w:sz w:val="32"/>
          <w:szCs w:val="32"/>
          <w:highlight w:val="none"/>
        </w:rPr>
      </w:pPr>
      <w:r>
        <w:rPr>
          <w:rFonts w:hint="eastAsia" w:eastAsia="方正仿宋_GBK" w:cs="方正仿宋_GBK"/>
          <w:color w:val="auto"/>
          <w:sz w:val="32"/>
          <w:szCs w:val="32"/>
          <w:highlight w:val="none"/>
        </w:rPr>
        <w:t>（2）调研方式</w:t>
      </w:r>
    </w:p>
    <w:p>
      <w:pPr>
        <w:spacing w:line="560" w:lineRule="exact"/>
        <w:ind w:firstLine="640"/>
        <w:rPr>
          <w:rFonts w:hint="eastAsia" w:eastAsia="方正仿宋_GBK" w:cs="方正仿宋_GBK"/>
          <w:color w:val="auto"/>
          <w:sz w:val="32"/>
          <w:szCs w:val="32"/>
          <w:highlight w:val="none"/>
        </w:rPr>
      </w:pPr>
      <w:r>
        <w:rPr>
          <w:rFonts w:hint="eastAsia" w:eastAsia="方正仿宋_GBK" w:cs="方正仿宋_GBK"/>
          <w:color w:val="auto"/>
          <w:sz w:val="32"/>
          <w:szCs w:val="32"/>
          <w:highlight w:val="none"/>
        </w:rPr>
        <w:t>本次计划采取简单随机抽样的方式，对</w:t>
      </w:r>
      <w:r>
        <w:rPr>
          <w:rFonts w:hint="eastAsia" w:ascii="方正仿宋_GBK" w:hAnsi="方正仿宋_GBK" w:eastAsia="方正仿宋_GBK" w:cs="方正仿宋_GBK"/>
          <w:color w:val="auto"/>
          <w:kern w:val="0"/>
          <w:sz w:val="32"/>
          <w:szCs w:val="32"/>
          <w:lang w:eastAsia="zh-CN" w:bidi="en-US"/>
        </w:rPr>
        <w:t>伽师县维吾尔医医院2023年中央财政医疗服务与保障能力提升（公立医院综合改革）补助资金项目</w:t>
      </w:r>
      <w:r>
        <w:rPr>
          <w:rFonts w:hint="eastAsia" w:eastAsia="方正仿宋_GBK" w:cs="方正仿宋_GBK"/>
          <w:color w:val="auto"/>
          <w:sz w:val="32"/>
          <w:szCs w:val="32"/>
          <w:highlight w:val="none"/>
        </w:rPr>
        <w:t>的受益对象进行线下问卷调查；在</w:t>
      </w:r>
      <w:r>
        <w:rPr>
          <w:rFonts w:hint="eastAsia" w:eastAsia="方正仿宋_GBK" w:cs="方正仿宋_GBK"/>
          <w:color w:val="auto"/>
          <w:sz w:val="32"/>
          <w:szCs w:val="32"/>
          <w:highlight w:val="none"/>
          <w:lang w:eastAsia="zh-CN"/>
        </w:rPr>
        <w:t>领导班子</w:t>
      </w:r>
      <w:r>
        <w:rPr>
          <w:rFonts w:hint="eastAsia" w:eastAsia="方正仿宋_GBK" w:cs="方正仿宋_GBK"/>
          <w:color w:val="auto"/>
          <w:sz w:val="32"/>
          <w:szCs w:val="32"/>
          <w:highlight w:val="none"/>
        </w:rPr>
        <w:t>的协调下，组织安排了问卷调研工作。本次问卷调查采取线下问卷调查方式，回收有效问卷共计</w:t>
      </w:r>
      <w:r>
        <w:rPr>
          <w:rFonts w:hint="eastAsia" w:eastAsia="方正仿宋_GBK" w:cs="方正仿宋_GBK"/>
          <w:color w:val="auto"/>
          <w:sz w:val="32"/>
          <w:szCs w:val="32"/>
          <w:highlight w:val="none"/>
          <w:lang w:val="en-US" w:eastAsia="zh-CN"/>
        </w:rPr>
        <w:t>100</w:t>
      </w:r>
      <w:r>
        <w:rPr>
          <w:rFonts w:hint="eastAsia" w:eastAsia="方正仿宋_GBK" w:cs="方正仿宋_GBK"/>
          <w:color w:val="auto"/>
          <w:sz w:val="32"/>
          <w:szCs w:val="32"/>
          <w:highlight w:val="none"/>
        </w:rPr>
        <w:t>份。</w:t>
      </w:r>
    </w:p>
    <w:p>
      <w:pPr>
        <w:spacing w:line="560" w:lineRule="exact"/>
        <w:ind w:firstLine="640"/>
        <w:rPr>
          <w:rFonts w:hint="eastAsia" w:eastAsia="方正仿宋_GBK" w:cs="方正仿宋_GBK"/>
          <w:color w:val="auto"/>
          <w:sz w:val="32"/>
          <w:szCs w:val="32"/>
          <w:highlight w:val="none"/>
        </w:rPr>
      </w:pPr>
      <w:r>
        <w:rPr>
          <w:rFonts w:hint="eastAsia" w:eastAsia="方正仿宋_GBK" w:cs="方正仿宋_GBK"/>
          <w:color w:val="auto"/>
          <w:sz w:val="32"/>
          <w:szCs w:val="32"/>
          <w:highlight w:val="none"/>
        </w:rPr>
        <w:t>（3）满意度计算模型</w:t>
      </w:r>
    </w:p>
    <w:p>
      <w:pPr>
        <w:spacing w:line="560" w:lineRule="exact"/>
        <w:ind w:firstLine="640"/>
        <w:rPr>
          <w:rFonts w:hint="eastAsia" w:eastAsia="方正仿宋_GBK" w:cs="方正仿宋_GBK"/>
          <w:color w:val="auto"/>
          <w:sz w:val="32"/>
          <w:szCs w:val="32"/>
          <w:highlight w:val="none"/>
        </w:rPr>
      </w:pPr>
      <w:r>
        <w:rPr>
          <w:rFonts w:hint="eastAsia" w:eastAsia="方正仿宋_GBK" w:cs="方正仿宋_GBK"/>
          <w:color w:val="auto"/>
          <w:sz w:val="32"/>
          <w:szCs w:val="32"/>
          <w:highlight w:val="none"/>
        </w:rPr>
        <w:t>满意度=∑样本数（“非常满意”×1.0分+“满意”×0.</w:t>
      </w:r>
      <w:r>
        <w:rPr>
          <w:rFonts w:hint="eastAsia" w:eastAsia="方正仿宋_GBK" w:cs="方正仿宋_GBK"/>
          <w:color w:val="auto"/>
          <w:sz w:val="32"/>
          <w:szCs w:val="32"/>
          <w:highlight w:val="none"/>
          <w:lang w:val="en-US" w:eastAsia="zh-CN"/>
        </w:rPr>
        <w:t>8</w:t>
      </w:r>
      <w:r>
        <w:rPr>
          <w:rFonts w:hint="eastAsia" w:eastAsia="方正仿宋_GBK" w:cs="方正仿宋_GBK"/>
          <w:color w:val="auto"/>
          <w:sz w:val="32"/>
          <w:szCs w:val="32"/>
          <w:highlight w:val="none"/>
        </w:rPr>
        <w:t>分+“比较满意”×0.6分+“不满意”×0.</w:t>
      </w:r>
      <w:r>
        <w:rPr>
          <w:rFonts w:hint="eastAsia" w:eastAsia="方正仿宋_GBK" w:cs="方正仿宋_GBK"/>
          <w:color w:val="auto"/>
          <w:sz w:val="32"/>
          <w:szCs w:val="32"/>
          <w:highlight w:val="none"/>
          <w:lang w:val="en-US" w:eastAsia="zh-CN"/>
        </w:rPr>
        <w:t>3</w:t>
      </w:r>
      <w:r>
        <w:rPr>
          <w:rFonts w:hint="eastAsia" w:eastAsia="方正仿宋_GBK" w:cs="方正仿宋_GBK"/>
          <w:color w:val="auto"/>
          <w:sz w:val="32"/>
          <w:szCs w:val="32"/>
          <w:highlight w:val="none"/>
        </w:rPr>
        <w:t>分+“非常不满意”×0分）/总样本数×100%</w:t>
      </w:r>
    </w:p>
    <w:p>
      <w:pPr>
        <w:pStyle w:val="2"/>
        <w:ind w:firstLine="640" w:firstLineChars="200"/>
        <w:rPr>
          <w:rFonts w:hint="eastAsia" w:ascii="Times New Roman" w:hAnsi="Times New Roman" w:eastAsia="仿宋_GB2312" w:cs="Times New Roman"/>
          <w:bCs w:val="0"/>
          <w:kern w:val="2"/>
          <w:sz w:val="32"/>
          <w:szCs w:val="32"/>
          <w:lang w:val="en-US" w:eastAsia="zh-CN" w:bidi="ar-SA"/>
        </w:rPr>
      </w:pPr>
    </w:p>
    <w:p>
      <w:pPr>
        <w:spacing w:line="480" w:lineRule="auto"/>
        <w:rPr>
          <w:rFonts w:ascii="宋体" w:hAnsi="宋体" w:eastAsia="宋体"/>
          <w:b/>
          <w:bCs/>
          <w:sz w:val="32"/>
          <w:szCs w:val="32"/>
        </w:rPr>
      </w:pPr>
      <w:r>
        <w:rPr>
          <w:rFonts w:hint="eastAsia" w:ascii="宋体" w:hAnsi="宋体" w:eastAsia="宋体"/>
          <w:b/>
          <w:bCs/>
          <w:sz w:val="32"/>
          <w:szCs w:val="32"/>
        </w:rPr>
        <w:t>三、偏离绩效目标的原因和下一步改进措施</w:t>
      </w:r>
    </w:p>
    <w:p>
      <w:pPr>
        <w:pStyle w:val="15"/>
        <w:spacing w:line="560" w:lineRule="exact"/>
        <w:ind w:firstLine="640"/>
        <w:rPr>
          <w:rFonts w:hint="eastAsia" w:ascii="Times New Roman" w:hAnsi="Times New Roman" w:eastAsia="方正仿宋_GBK" w:cs="方正仿宋_GBK"/>
          <w:color w:val="auto"/>
          <w:sz w:val="32"/>
          <w:szCs w:val="32"/>
          <w:highlight w:val="none"/>
          <w:lang w:eastAsia="zh-CN"/>
        </w:rPr>
      </w:pPr>
      <w:r>
        <w:rPr>
          <w:rFonts w:hint="eastAsia" w:eastAsia="方正仿宋_GBK" w:cs="方正仿宋_GBK"/>
          <w:color w:val="auto"/>
          <w:sz w:val="32"/>
          <w:szCs w:val="32"/>
          <w:lang w:eastAsia="zh-CN"/>
        </w:rPr>
        <w:t>伽师县</w:t>
      </w:r>
      <w:r>
        <w:rPr>
          <w:rFonts w:hint="eastAsia" w:ascii="方正仿宋_GBK" w:hAnsi="方正仿宋_GBK" w:eastAsia="方正仿宋_GBK" w:cs="方正仿宋_GBK"/>
          <w:color w:val="auto"/>
          <w:kern w:val="0"/>
          <w:sz w:val="32"/>
          <w:szCs w:val="32"/>
          <w:lang w:eastAsia="zh-CN" w:bidi="en-US"/>
        </w:rPr>
        <w:t>伽师县维吾尔医医院202</w:t>
      </w:r>
      <w:r>
        <w:rPr>
          <w:rFonts w:hint="eastAsia" w:ascii="方正仿宋_GBK" w:hAnsi="方正仿宋_GBK" w:eastAsia="方正仿宋_GBK" w:cs="方正仿宋_GBK"/>
          <w:color w:val="auto"/>
          <w:kern w:val="0"/>
          <w:sz w:val="32"/>
          <w:szCs w:val="32"/>
          <w:lang w:val="en-US" w:eastAsia="zh-CN" w:bidi="en-US"/>
        </w:rPr>
        <w:t>4</w:t>
      </w:r>
      <w:r>
        <w:rPr>
          <w:rFonts w:hint="eastAsia" w:ascii="方正仿宋_GBK" w:hAnsi="方正仿宋_GBK" w:eastAsia="方正仿宋_GBK" w:cs="方正仿宋_GBK"/>
          <w:color w:val="auto"/>
          <w:kern w:val="0"/>
          <w:sz w:val="32"/>
          <w:szCs w:val="32"/>
          <w:lang w:eastAsia="zh-CN" w:bidi="en-US"/>
        </w:rPr>
        <w:t>年中央财政医疗服务与保障能力提升（公立医院综合改革）补助资金</w:t>
      </w:r>
      <w:r>
        <w:rPr>
          <w:rFonts w:hint="eastAsia" w:eastAsia="方正仿宋_GBK" w:cs="方正仿宋_GBK"/>
          <w:color w:val="auto"/>
          <w:sz w:val="32"/>
          <w:szCs w:val="32"/>
        </w:rPr>
        <w:t>项目</w:t>
      </w:r>
      <w:r>
        <w:rPr>
          <w:rFonts w:hint="eastAsia" w:ascii="Times New Roman" w:hAnsi="Times New Roman" w:eastAsia="方正仿宋_GBK" w:cs="方正仿宋_GBK"/>
          <w:color w:val="auto"/>
          <w:sz w:val="32"/>
          <w:szCs w:val="32"/>
          <w:highlight w:val="none"/>
        </w:rPr>
        <w:t>预算</w:t>
      </w:r>
      <w:r>
        <w:rPr>
          <w:rFonts w:hint="eastAsia" w:eastAsia="方正仿宋_GBK" w:cs="方正仿宋_GBK"/>
          <w:color w:val="auto"/>
          <w:sz w:val="32"/>
          <w:szCs w:val="32"/>
          <w:highlight w:val="none"/>
          <w:lang w:val="en-US" w:eastAsia="zh-CN"/>
        </w:rPr>
        <w:t>51.8</w:t>
      </w:r>
      <w:r>
        <w:rPr>
          <w:rFonts w:hint="eastAsia" w:ascii="Times New Roman" w:hAnsi="Times New Roman" w:eastAsia="方正仿宋_GBK" w:cs="方正仿宋_GBK"/>
          <w:color w:val="auto"/>
          <w:sz w:val="32"/>
          <w:szCs w:val="32"/>
          <w:highlight w:val="none"/>
        </w:rPr>
        <w:t>万元，到位</w:t>
      </w:r>
      <w:r>
        <w:rPr>
          <w:rFonts w:hint="eastAsia" w:eastAsia="方正仿宋_GBK" w:cs="方正仿宋_GBK"/>
          <w:color w:val="auto"/>
          <w:sz w:val="32"/>
          <w:szCs w:val="32"/>
          <w:highlight w:val="none"/>
          <w:lang w:val="en-US" w:eastAsia="zh-CN"/>
        </w:rPr>
        <w:t>51.8</w:t>
      </w:r>
      <w:r>
        <w:rPr>
          <w:rFonts w:hint="eastAsia" w:ascii="Times New Roman" w:hAnsi="Times New Roman" w:eastAsia="方正仿宋_GBK" w:cs="方正仿宋_GBK"/>
          <w:color w:val="auto"/>
          <w:sz w:val="32"/>
          <w:szCs w:val="32"/>
          <w:highlight w:val="none"/>
        </w:rPr>
        <w:t>万元，实际支出</w:t>
      </w:r>
      <w:r>
        <w:rPr>
          <w:rFonts w:hint="eastAsia" w:eastAsia="方正仿宋_GBK" w:cs="方正仿宋_GBK"/>
          <w:color w:val="auto"/>
          <w:sz w:val="32"/>
          <w:szCs w:val="32"/>
          <w:highlight w:val="none"/>
          <w:lang w:val="en-US" w:eastAsia="zh-CN"/>
        </w:rPr>
        <w:t>51.8</w:t>
      </w:r>
      <w:r>
        <w:rPr>
          <w:rFonts w:hint="eastAsia" w:ascii="Times New Roman" w:hAnsi="Times New Roman" w:eastAsia="方正仿宋_GBK" w:cs="方正仿宋_GBK"/>
          <w:color w:val="auto"/>
          <w:sz w:val="32"/>
          <w:szCs w:val="32"/>
          <w:highlight w:val="none"/>
        </w:rPr>
        <w:t>万元，预算执行率为</w:t>
      </w:r>
      <w:r>
        <w:rPr>
          <w:rFonts w:hint="eastAsia" w:ascii="Times New Roman" w:hAnsi="Times New Roman" w:eastAsia="方正仿宋_GBK" w:cs="方正仿宋_GBK"/>
          <w:color w:val="auto"/>
          <w:sz w:val="32"/>
          <w:szCs w:val="32"/>
          <w:highlight w:val="none"/>
          <w:lang w:val="en-US" w:eastAsia="zh-CN"/>
        </w:rPr>
        <w:t>100</w:t>
      </w:r>
      <w:r>
        <w:rPr>
          <w:rFonts w:hint="eastAsia" w:ascii="Times New Roman" w:hAnsi="Times New Roman" w:eastAsia="方正仿宋_GBK" w:cs="方正仿宋_GBK"/>
          <w:color w:val="auto"/>
          <w:sz w:val="32"/>
          <w:szCs w:val="32"/>
          <w:highlight w:val="none"/>
        </w:rPr>
        <w:t>%，项目绩效指标总体完成率为</w:t>
      </w:r>
      <w:r>
        <w:rPr>
          <w:rFonts w:hint="eastAsia" w:ascii="Times New Roman" w:hAnsi="Times New Roman" w:eastAsia="方正仿宋_GBK" w:cs="方正仿宋_GBK"/>
          <w:color w:val="auto"/>
          <w:sz w:val="32"/>
          <w:szCs w:val="32"/>
          <w:highlight w:val="none"/>
          <w:lang w:val="en-US" w:eastAsia="zh-CN"/>
        </w:rPr>
        <w:t>100</w:t>
      </w:r>
      <w:r>
        <w:rPr>
          <w:rFonts w:hint="eastAsia" w:ascii="Times New Roman" w:hAnsi="Times New Roman" w:eastAsia="方正仿宋_GBK" w:cs="方正仿宋_GBK"/>
          <w:color w:val="auto"/>
          <w:sz w:val="32"/>
          <w:szCs w:val="32"/>
          <w:highlight w:val="none"/>
        </w:rPr>
        <w:t>%</w:t>
      </w:r>
      <w:r>
        <w:rPr>
          <w:rFonts w:hint="eastAsia" w:ascii="Times New Roman" w:hAnsi="Times New Roman" w:eastAsia="方正仿宋_GBK" w:cs="方正仿宋_GBK"/>
          <w:color w:val="auto"/>
          <w:sz w:val="32"/>
          <w:szCs w:val="32"/>
          <w:highlight w:val="none"/>
          <w:lang w:eastAsia="zh-CN"/>
        </w:rPr>
        <w:t>。</w:t>
      </w:r>
    </w:p>
    <w:p>
      <w:pPr>
        <w:spacing w:line="480" w:lineRule="auto"/>
        <w:ind w:firstLine="643" w:firstLineChars="200"/>
        <w:rPr>
          <w:rFonts w:hint="default" w:ascii="Times New Roman" w:hAnsi="Times New Roman" w:eastAsia="仿宋_GB2312" w:cs="Times New Roman"/>
          <w:b/>
          <w:bCs/>
          <w:sz w:val="32"/>
          <w:szCs w:val="32"/>
          <w:lang w:eastAsia="zh-CN"/>
        </w:rPr>
      </w:pPr>
    </w:p>
    <w:p>
      <w:pPr>
        <w:spacing w:line="480" w:lineRule="auto"/>
        <w:ind w:firstLine="643" w:firstLineChars="200"/>
        <w:rPr>
          <w:rFonts w:hint="default" w:ascii="Times New Roman" w:hAnsi="Times New Roman" w:eastAsia="仿宋_GB2312" w:cs="Times New Roman"/>
          <w:b/>
          <w:bCs/>
          <w:sz w:val="32"/>
          <w:szCs w:val="32"/>
          <w:lang w:eastAsia="zh-CN"/>
        </w:rPr>
      </w:pPr>
      <w:r>
        <w:rPr>
          <w:rFonts w:hint="default" w:ascii="Times New Roman" w:hAnsi="Times New Roman" w:eastAsia="仿宋_GB2312" w:cs="Times New Roman"/>
          <w:b/>
          <w:bCs/>
          <w:sz w:val="32"/>
          <w:szCs w:val="32"/>
          <w:lang w:eastAsia="zh-CN"/>
        </w:rPr>
        <w:t>2.下一步改进措施</w:t>
      </w:r>
    </w:p>
    <w:p>
      <w:pPr>
        <w:spacing w:line="480" w:lineRule="auto"/>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通过自评发现，各级医院仍然存在一是医院财务运行方式抗风险能力弱，二是现有</w:t>
      </w:r>
      <w:r>
        <w:rPr>
          <w:rFonts w:hint="eastAsia" w:ascii="Times New Roman" w:hAnsi="Times New Roman" w:eastAsia="仿宋_GB2312" w:cs="Times New Roman"/>
          <w:sz w:val="32"/>
          <w:szCs w:val="32"/>
          <w:lang w:val="en-US" w:eastAsia="zh-CN"/>
        </w:rPr>
        <w:t>应急</w:t>
      </w:r>
      <w:bookmarkStart w:id="0" w:name="_GoBack"/>
      <w:bookmarkEnd w:id="0"/>
      <w:r>
        <w:rPr>
          <w:rFonts w:hint="eastAsia" w:ascii="Times New Roman" w:hAnsi="Times New Roman" w:eastAsia="仿宋_GB2312" w:cs="Times New Roman"/>
          <w:sz w:val="32"/>
          <w:szCs w:val="32"/>
          <w:lang w:val="en-US" w:eastAsia="zh-CN"/>
        </w:rPr>
        <w:t>预案</w:t>
      </w:r>
      <w:r>
        <w:rPr>
          <w:rFonts w:hint="default" w:ascii="Times New Roman" w:hAnsi="Times New Roman" w:eastAsia="仿宋_GB2312" w:cs="Times New Roman"/>
          <w:sz w:val="32"/>
          <w:szCs w:val="32"/>
          <w:lang w:val="en-US" w:eastAsia="zh-CN"/>
        </w:rPr>
        <w:t>管理的可操作性有待加强。三是内部治理与监管机制不够健全。</w:t>
      </w:r>
    </w:p>
    <w:p>
      <w:pPr>
        <w:spacing w:line="480" w:lineRule="auto"/>
        <w:ind w:firstLine="643"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val="en-US" w:eastAsia="zh-CN"/>
        </w:rPr>
        <w:t>下一步工作实施改进措施</w:t>
      </w:r>
      <w:r>
        <w:rPr>
          <w:rFonts w:hint="default" w:ascii="Times New Roman" w:hAnsi="Times New Roman" w:eastAsia="仿宋_GB2312" w:cs="Times New Roman"/>
          <w:sz w:val="32"/>
          <w:szCs w:val="32"/>
          <w:lang w:val="en-US" w:eastAsia="zh-CN"/>
        </w:rPr>
        <w:t>。加大公立医院预算管理和运行管理，严格控制</w:t>
      </w:r>
      <w:r>
        <w:rPr>
          <w:rFonts w:hint="default" w:ascii="Times New Roman" w:hAnsi="Times New Roman" w:eastAsia="仿宋_GB2312" w:cs="Times New Roman"/>
          <w:sz w:val="32"/>
          <w:szCs w:val="32"/>
          <w:lang w:eastAsia="zh-CN"/>
        </w:rPr>
        <w:t>公立医院次均门诊费用增幅和人均住院费用增幅</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eastAsia="zh-CN"/>
        </w:rPr>
        <w:t>加强</w:t>
      </w:r>
      <w:r>
        <w:rPr>
          <w:rFonts w:hint="default" w:ascii="Times New Roman" w:hAnsi="Times New Roman" w:eastAsia="仿宋_GB2312" w:cs="Times New Roman"/>
          <w:sz w:val="32"/>
          <w:szCs w:val="32"/>
          <w:lang w:val="en-US" w:eastAsia="zh-CN"/>
        </w:rPr>
        <w:t>公立</w:t>
      </w:r>
      <w:r>
        <w:rPr>
          <w:rFonts w:hint="default" w:ascii="Times New Roman" w:hAnsi="Times New Roman" w:eastAsia="仿宋_GB2312" w:cs="Times New Roman"/>
          <w:sz w:val="32"/>
          <w:szCs w:val="32"/>
          <w:lang w:eastAsia="zh-CN"/>
        </w:rPr>
        <w:t>医院医疗费用不合理增长，促进合理检查、合理用药，稳步推进公立医院高质量发展。</w:t>
      </w:r>
    </w:p>
    <w:p>
      <w:pPr>
        <w:spacing w:line="480" w:lineRule="auto"/>
        <w:ind w:firstLine="643" w:firstLineChars="200"/>
        <w:rPr>
          <w:rFonts w:hint="default" w:ascii="Times New Roman" w:hAnsi="Times New Roman" w:eastAsia="黑体" w:cs="Times New Roman"/>
          <w:b/>
          <w:bCs/>
          <w:sz w:val="32"/>
          <w:szCs w:val="32"/>
        </w:rPr>
      </w:pPr>
      <w:r>
        <w:rPr>
          <w:rFonts w:hint="default" w:ascii="Times New Roman" w:hAnsi="Times New Roman" w:eastAsia="黑体" w:cs="Times New Roman"/>
          <w:b/>
          <w:bCs/>
          <w:sz w:val="32"/>
          <w:szCs w:val="32"/>
        </w:rPr>
        <w:t>四、绩效自评结果及拟应用和公开情况</w:t>
      </w:r>
    </w:p>
    <w:p>
      <w:pPr>
        <w:spacing w:line="48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1.按照财政部《项目支出绩效评价管理办法》（财预〔2020〕10号）规定，单位自评标准是：预算执行10分、产出指标50分、效益指标30分、服务对象满意度指标10分。经自评，202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年度医疗服务与保障能力提升（公立医院综合改革）补助资金绩效自评价得分为</w:t>
      </w:r>
      <w:r>
        <w:rPr>
          <w:rFonts w:hint="default" w:ascii="Times New Roman" w:hAnsi="Times New Roman" w:eastAsia="仿宋_GB2312" w:cs="Times New Roman"/>
          <w:sz w:val="32"/>
          <w:szCs w:val="32"/>
          <w:lang w:val="en-US" w:eastAsia="zh-CN"/>
        </w:rPr>
        <w:t>94.38</w:t>
      </w:r>
      <w:r>
        <w:rPr>
          <w:rFonts w:hint="default" w:ascii="Times New Roman" w:hAnsi="Times New Roman" w:eastAsia="仿宋_GB2312" w:cs="Times New Roman"/>
          <w:sz w:val="32"/>
          <w:szCs w:val="32"/>
        </w:rPr>
        <w:t>分，其中：预算执行</w:t>
      </w:r>
      <w:r>
        <w:rPr>
          <w:rFonts w:hint="default" w:ascii="Times New Roman" w:hAnsi="Times New Roman" w:eastAsia="仿宋_GB2312" w:cs="Times New Roman"/>
          <w:sz w:val="32"/>
          <w:szCs w:val="32"/>
          <w:lang w:val="en-US" w:eastAsia="zh-CN"/>
        </w:rPr>
        <w:t>91.44</w:t>
      </w:r>
      <w:r>
        <w:rPr>
          <w:rFonts w:hint="default" w:ascii="Times New Roman" w:hAnsi="Times New Roman" w:eastAsia="仿宋_GB2312" w:cs="Times New Roman"/>
          <w:sz w:val="32"/>
          <w:szCs w:val="32"/>
        </w:rPr>
        <w:t>分、产出指标50分、效益指标</w:t>
      </w:r>
      <w:r>
        <w:rPr>
          <w:rFonts w:hint="default" w:ascii="Times New Roman" w:hAnsi="Times New Roman" w:eastAsia="仿宋_GB2312" w:cs="Times New Roman"/>
          <w:sz w:val="32"/>
          <w:szCs w:val="32"/>
          <w:lang w:val="en-US" w:eastAsia="zh-CN"/>
        </w:rPr>
        <w:t>30</w:t>
      </w:r>
      <w:r>
        <w:rPr>
          <w:rFonts w:hint="default" w:ascii="Times New Roman" w:hAnsi="Times New Roman" w:eastAsia="仿宋_GB2312" w:cs="Times New Roman"/>
          <w:sz w:val="32"/>
          <w:szCs w:val="32"/>
        </w:rPr>
        <w:t>分、服务对象满意度指标</w:t>
      </w:r>
      <w:r>
        <w:rPr>
          <w:rFonts w:hint="default" w:ascii="Times New Roman" w:hAnsi="Times New Roman" w:eastAsia="仿宋_GB2312" w:cs="Times New Roman"/>
          <w:sz w:val="32"/>
          <w:szCs w:val="32"/>
          <w:lang w:val="en-US" w:eastAsia="zh-CN"/>
        </w:rPr>
        <w:t>5.24</w:t>
      </w:r>
      <w:r>
        <w:rPr>
          <w:rFonts w:hint="default" w:ascii="Times New Roman" w:hAnsi="Times New Roman" w:eastAsia="仿宋_GB2312" w:cs="Times New Roman"/>
          <w:sz w:val="32"/>
          <w:szCs w:val="32"/>
        </w:rPr>
        <w:t>分，自评结果为“优”。</w:t>
      </w:r>
    </w:p>
    <w:p>
      <w:pPr>
        <w:spacing w:line="48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eastAsia="zh-CN"/>
        </w:rPr>
        <w:t>自评价中发现</w:t>
      </w:r>
      <w:r>
        <w:rPr>
          <w:rFonts w:hint="default" w:ascii="Times New Roman" w:hAnsi="Times New Roman" w:eastAsia="仿宋_GB2312" w:cs="Times New Roman"/>
          <w:sz w:val="32"/>
          <w:szCs w:val="32"/>
          <w:lang w:val="en-US" w:eastAsia="zh-CN"/>
        </w:rPr>
        <w:t>公立医院</w:t>
      </w:r>
      <w:r>
        <w:rPr>
          <w:rFonts w:hint="default" w:ascii="Times New Roman" w:hAnsi="Times New Roman" w:eastAsia="仿宋_GB2312" w:cs="Times New Roman"/>
          <w:sz w:val="32"/>
          <w:szCs w:val="32"/>
        </w:rPr>
        <w:t>次均门诊费用</w:t>
      </w:r>
      <w:r>
        <w:rPr>
          <w:rFonts w:hint="default" w:ascii="Times New Roman" w:hAnsi="Times New Roman" w:eastAsia="仿宋_GB2312" w:cs="Times New Roman"/>
          <w:sz w:val="32"/>
          <w:szCs w:val="32"/>
          <w:lang w:val="en-US" w:eastAsia="zh-CN"/>
        </w:rPr>
        <w:t>和住院人均费用较上年增长的问题，针对</w:t>
      </w:r>
      <w:r>
        <w:rPr>
          <w:rFonts w:hint="default" w:ascii="Times New Roman" w:hAnsi="Times New Roman" w:eastAsia="仿宋_GB2312" w:cs="Times New Roman"/>
          <w:sz w:val="32"/>
          <w:szCs w:val="32"/>
          <w:lang w:eastAsia="zh-CN"/>
        </w:rPr>
        <w:t>问题我们将</w:t>
      </w:r>
      <w:r>
        <w:rPr>
          <w:rFonts w:hint="default" w:ascii="Times New Roman" w:hAnsi="Times New Roman" w:eastAsia="仿宋_GB2312" w:cs="Times New Roman"/>
          <w:sz w:val="32"/>
          <w:szCs w:val="32"/>
          <w:lang w:val="en-US" w:eastAsia="zh-CN"/>
        </w:rPr>
        <w:t>加大公立医院运行管理，严格控制公立医院次均门诊费用和人均住院费用的不合理增长</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指导推动各地全面加强</w:t>
      </w:r>
      <w:r>
        <w:rPr>
          <w:rFonts w:hint="default" w:ascii="Times New Roman" w:hAnsi="Times New Roman" w:eastAsia="仿宋_GB2312" w:cs="Times New Roman"/>
          <w:sz w:val="32"/>
          <w:szCs w:val="32"/>
          <w:lang w:eastAsia="zh-CN"/>
        </w:rPr>
        <w:t>合理检查、合理用药，稳步推进公立医院高质量发展。</w:t>
      </w:r>
      <w:r>
        <w:rPr>
          <w:rFonts w:hint="default" w:ascii="Times New Roman" w:hAnsi="Times New Roman" w:eastAsia="仿宋_GB2312" w:cs="Times New Roman"/>
          <w:sz w:val="32"/>
          <w:szCs w:val="32"/>
        </w:rPr>
        <w:t>在今后的工作中，我们将会把绩效自评结果作为以后年度专项转移支付预算申请、安排、分配的重要依据。根据绩效自评结果，进一步加大对各地</w:t>
      </w:r>
      <w:r>
        <w:rPr>
          <w:rFonts w:hint="default" w:ascii="Times New Roman" w:hAnsi="Times New Roman" w:eastAsia="仿宋_GB2312" w:cs="Times New Roman"/>
          <w:sz w:val="32"/>
          <w:szCs w:val="32"/>
          <w:lang w:eastAsia="zh-CN"/>
        </w:rPr>
        <w:t>绩效指标完成情况、</w:t>
      </w:r>
      <w:r>
        <w:rPr>
          <w:rFonts w:hint="default" w:ascii="Times New Roman" w:hAnsi="Times New Roman" w:eastAsia="仿宋_GB2312" w:cs="Times New Roman"/>
          <w:sz w:val="32"/>
          <w:szCs w:val="32"/>
        </w:rPr>
        <w:t>资金执行情况的督促检查工作力度。</w:t>
      </w:r>
    </w:p>
    <w:p>
      <w:pPr>
        <w:pStyle w:val="2"/>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eastAsia" w:ascii="Times New Roman" w:hAnsi="Times New Roman" w:eastAsia="仿宋_GB2312" w:cs="Times New Roman"/>
          <w:bCs w:val="0"/>
          <w:kern w:val="2"/>
          <w:sz w:val="32"/>
          <w:szCs w:val="32"/>
          <w:lang w:val="en-US" w:eastAsia="zh-CN" w:bidi="ar-SA"/>
        </w:rPr>
        <w:t>评价结果将在伽师县人民政府门户网站上公示公开，广泛接受社会监督。</w:t>
      </w:r>
    </w:p>
    <w:p>
      <w:pPr>
        <w:spacing w:line="480" w:lineRule="auto"/>
        <w:ind w:firstLine="643" w:firstLineChars="200"/>
        <w:rPr>
          <w:rFonts w:hint="default" w:ascii="Times New Roman" w:hAnsi="Times New Roman" w:eastAsia="黑体" w:cs="Times New Roman"/>
          <w:b/>
          <w:bCs/>
          <w:sz w:val="32"/>
          <w:szCs w:val="32"/>
        </w:rPr>
      </w:pPr>
      <w:r>
        <w:rPr>
          <w:rFonts w:hint="default" w:ascii="Times New Roman" w:hAnsi="Times New Roman" w:eastAsia="黑体" w:cs="Times New Roman"/>
          <w:b/>
          <w:bCs/>
          <w:sz w:val="32"/>
          <w:szCs w:val="32"/>
        </w:rPr>
        <w:t>五、其他需要说明的问题</w:t>
      </w:r>
    </w:p>
    <w:p>
      <w:pPr>
        <w:spacing w:line="48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中央巡视、各级审计和财政监督中未发现问题。</w:t>
      </w:r>
    </w:p>
    <w:p>
      <w:pPr>
        <w:spacing w:line="480" w:lineRule="auto"/>
        <w:ind w:firstLine="640" w:firstLineChars="200"/>
        <w:rPr>
          <w:rFonts w:hint="default" w:ascii="Times New Roman" w:hAnsi="Times New Roman" w:cs="Times New Roman"/>
        </w:rPr>
        <w:sectPr>
          <w:footerReference r:id="rId3" w:type="default"/>
          <w:pgSz w:w="11906" w:h="16838"/>
          <w:pgMar w:top="1440" w:right="1800" w:bottom="1440" w:left="1800" w:header="851" w:footer="992" w:gutter="0"/>
          <w:pgNumType w:fmt="decimal" w:start="1"/>
          <w:cols w:space="425" w:num="1"/>
          <w:docGrid w:type="lines" w:linePitch="312" w:charSpace="0"/>
        </w:sectPr>
      </w:pPr>
      <w:r>
        <w:rPr>
          <w:rFonts w:hint="default" w:ascii="Times New Roman" w:hAnsi="Times New Roman" w:eastAsia="仿宋_GB2312" w:cs="Times New Roman"/>
          <w:sz w:val="32"/>
          <w:szCs w:val="32"/>
        </w:rPr>
        <w:t>附</w:t>
      </w:r>
      <w:r>
        <w:rPr>
          <w:rFonts w:hint="default" w:ascii="Times New Roman" w:hAnsi="Times New Roman" w:eastAsia="仿宋_GB2312" w:cs="Times New Roman"/>
          <w:sz w:val="32"/>
          <w:szCs w:val="32"/>
          <w:lang w:eastAsia="zh-CN"/>
        </w:rPr>
        <w:t>件</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中央转移支付区域（项目）绩效目标自评表</w:t>
      </w:r>
    </w:p>
    <w:p>
      <w:pPr>
        <w:pStyle w:val="2"/>
        <w:ind w:firstLine="640" w:firstLineChars="200"/>
        <w:rPr>
          <w:rFonts w:hint="eastAsia" w:ascii="Times New Roman" w:hAnsi="Times New Roman" w:eastAsia="仿宋_GB2312" w:cs="Times New Roman"/>
          <w:bCs w:val="0"/>
          <w:kern w:val="2"/>
          <w:sz w:val="32"/>
          <w:szCs w:val="32"/>
          <w:lang w:val="en-US" w:eastAsia="zh-CN" w:bidi="ar-SA"/>
        </w:rPr>
      </w:pPr>
      <w:r>
        <w:rPr>
          <w:rFonts w:hint="eastAsia" w:ascii="Times New Roman" w:hAnsi="Times New Roman" w:eastAsia="仿宋_GB2312" w:cs="Times New Roman"/>
          <w:bCs w:val="0"/>
          <w:kern w:val="2"/>
          <w:sz w:val="32"/>
          <w:szCs w:val="32"/>
          <w:lang w:val="en-US" w:eastAsia="zh-CN" w:bidi="ar-SA"/>
        </w:rPr>
        <w:t>附：转移支付区域（项目）绩效目标自评表</w:t>
      </w:r>
    </w:p>
    <w:tbl>
      <w:tblPr>
        <w:tblStyle w:val="8"/>
        <w:tblW w:w="928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7"/>
        <w:gridCol w:w="898"/>
        <w:gridCol w:w="785"/>
        <w:gridCol w:w="2429"/>
        <w:gridCol w:w="1475"/>
        <w:gridCol w:w="1283"/>
        <w:gridCol w:w="20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94" w:hRule="atLeast"/>
        </w:trPr>
        <w:tc>
          <w:tcPr>
            <w:tcW w:w="9286" w:type="dxa"/>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18"/>
                <w:szCs w:val="18"/>
                <w:u w:val="none"/>
              </w:rPr>
            </w:pPr>
            <w:r>
              <w:rPr>
                <w:rFonts w:hint="eastAsia" w:ascii="方正小标宋_GBK" w:hAnsi="方正小标宋_GBK" w:eastAsia="方正小标宋_GBK" w:cs="方正小标宋_GBK"/>
                <w:b w:val="0"/>
                <w:bCs w:val="0"/>
                <w:sz w:val="32"/>
                <w:szCs w:val="32"/>
                <w:lang w:val="en-US" w:eastAsia="zh-CN"/>
              </w:rPr>
              <w:t>中央转移支付区域（项目）绩效目标自评表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10" w:hRule="atLeast"/>
        </w:trPr>
        <w:tc>
          <w:tcPr>
            <w:tcW w:w="9286" w:type="dxa"/>
            <w:gridSpan w:val="7"/>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24"/>
                <w:szCs w:val="24"/>
                <w:u w:val="none"/>
                <w:lang w:val="en-US" w:eastAsia="zh-CN"/>
              </w:rPr>
              <w:t>（202</w:t>
            </w:r>
            <w:r>
              <w:rPr>
                <w:rFonts w:hint="eastAsia" w:ascii="Times New Roman" w:hAnsi="Times New Roman" w:eastAsia="仿宋_GB2312" w:cs="Times New Roman"/>
                <w:i w:val="0"/>
                <w:iCs w:val="0"/>
                <w:color w:val="000000"/>
                <w:kern w:val="0"/>
                <w:sz w:val="24"/>
                <w:szCs w:val="24"/>
                <w:u w:val="none"/>
                <w:lang w:val="en-US" w:eastAsia="zh-CN"/>
              </w:rPr>
              <w:t>4</w:t>
            </w:r>
            <w:r>
              <w:rPr>
                <w:rFonts w:hint="default" w:ascii="Times New Roman" w:hAnsi="Times New Roman" w:eastAsia="仿宋_GB2312" w:cs="Times New Roman"/>
                <w:i w:val="0"/>
                <w:iCs w:val="0"/>
                <w:color w:val="000000"/>
                <w:kern w:val="0"/>
                <w:sz w:val="24"/>
                <w:szCs w:val="24"/>
                <w:u w:val="none"/>
                <w:lang w:val="en-US" w:eastAsia="zh-CN"/>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0" w:hRule="atLeast"/>
        </w:trPr>
        <w:tc>
          <w:tcPr>
            <w:tcW w:w="129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rPr>
              <w:t>转移支付（项目）名称</w:t>
            </w:r>
          </w:p>
        </w:tc>
        <w:tc>
          <w:tcPr>
            <w:tcW w:w="799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rPr>
              <w:t>医疗服务与保障能力提升（公立医院综合改革）补助资金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4" w:hRule="atLeast"/>
        </w:trPr>
        <w:tc>
          <w:tcPr>
            <w:tcW w:w="129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rPr>
              <w:t>中央主管部门</w:t>
            </w:r>
          </w:p>
        </w:tc>
        <w:tc>
          <w:tcPr>
            <w:tcW w:w="799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rPr>
              <w:t>国家卫生健康委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49" w:hRule="atLeast"/>
        </w:trPr>
        <w:tc>
          <w:tcPr>
            <w:tcW w:w="129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rPr>
              <w:t>地方主管部门</w:t>
            </w:r>
          </w:p>
        </w:tc>
        <w:tc>
          <w:tcPr>
            <w:tcW w:w="32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rPr>
              <w:t>新疆维吾尔自治区卫生健康委员会</w:t>
            </w:r>
          </w:p>
        </w:tc>
        <w:tc>
          <w:tcPr>
            <w:tcW w:w="14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rPr>
              <w:t>资金使用单位</w:t>
            </w:r>
          </w:p>
        </w:tc>
        <w:tc>
          <w:tcPr>
            <w:tcW w:w="33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rPr>
              <w:t>全区所有县级、城市公立医院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30" w:hRule="atLeast"/>
        </w:trPr>
        <w:tc>
          <w:tcPr>
            <w:tcW w:w="129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rPr>
              <w:t>项目资金（万元）</w:t>
            </w:r>
          </w:p>
        </w:tc>
        <w:tc>
          <w:tcPr>
            <w:tcW w:w="785" w:type="dxa"/>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20" w:lineRule="exact"/>
              <w:jc w:val="both"/>
              <w:rPr>
                <w:rFonts w:hint="default" w:ascii="Times New Roman" w:hAnsi="Times New Roman" w:eastAsia="仿宋_GB2312" w:cs="Times New Roman"/>
                <w:i w:val="0"/>
                <w:iCs w:val="0"/>
                <w:color w:val="000000"/>
                <w:sz w:val="18"/>
                <w:szCs w:val="18"/>
                <w:u w:val="none"/>
              </w:rPr>
            </w:pPr>
          </w:p>
        </w:tc>
        <w:tc>
          <w:tcPr>
            <w:tcW w:w="24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rPr>
              <w:t>全年预算数（A）</w:t>
            </w:r>
          </w:p>
        </w:tc>
        <w:tc>
          <w:tcPr>
            <w:tcW w:w="275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rPr>
              <w:t>全年执行数（B）</w:t>
            </w:r>
          </w:p>
        </w:tc>
        <w:tc>
          <w:tcPr>
            <w:tcW w:w="20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rPr>
              <w:t>执行率（B/A*100%）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30" w:hRule="atLeast"/>
        </w:trPr>
        <w:tc>
          <w:tcPr>
            <w:tcW w:w="129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jc w:val="center"/>
              <w:rPr>
                <w:rFonts w:hint="default" w:ascii="Times New Roman" w:hAnsi="Times New Roman" w:eastAsia="仿宋_GB2312" w:cs="Times New Roman"/>
                <w:i w:val="0"/>
                <w:iCs w:val="0"/>
                <w:color w:val="000000"/>
                <w:sz w:val="18"/>
                <w:szCs w:val="18"/>
                <w:u w:val="none"/>
              </w:rPr>
            </w:pPr>
          </w:p>
        </w:tc>
        <w:tc>
          <w:tcPr>
            <w:tcW w:w="7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rPr>
              <w:t>年度资金总额</w:t>
            </w:r>
          </w:p>
        </w:tc>
        <w:tc>
          <w:tcPr>
            <w:tcW w:w="24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仿宋_GB2312" w:cs="Times New Roman"/>
                <w:i w:val="0"/>
                <w:iCs w:val="0"/>
                <w:color w:val="000000"/>
                <w:sz w:val="18"/>
                <w:szCs w:val="18"/>
                <w:u w:val="none"/>
                <w:lang w:val="en-US"/>
              </w:rPr>
            </w:pPr>
            <w:r>
              <w:rPr>
                <w:rFonts w:hint="eastAsia" w:ascii="Times New Roman" w:hAnsi="Times New Roman" w:eastAsia="仿宋_GB2312" w:cs="Times New Roman"/>
                <w:i w:val="0"/>
                <w:iCs w:val="0"/>
                <w:color w:val="000000"/>
                <w:kern w:val="0"/>
                <w:sz w:val="18"/>
                <w:szCs w:val="18"/>
                <w:u w:val="none"/>
                <w:lang w:val="en-US" w:eastAsia="zh-CN"/>
              </w:rPr>
              <w:t>51.8</w:t>
            </w:r>
          </w:p>
        </w:tc>
        <w:tc>
          <w:tcPr>
            <w:tcW w:w="275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仿宋_GB2312" w:cs="Times New Roman"/>
                <w:i w:val="0"/>
                <w:iCs w:val="0"/>
                <w:color w:val="000000"/>
                <w:sz w:val="18"/>
                <w:szCs w:val="18"/>
                <w:u w:val="none"/>
                <w:lang w:val="en-US"/>
              </w:rPr>
            </w:pPr>
            <w:r>
              <w:rPr>
                <w:rFonts w:hint="eastAsia" w:ascii="Times New Roman" w:hAnsi="Times New Roman" w:eastAsia="仿宋_GB2312" w:cs="Times New Roman"/>
                <w:i w:val="0"/>
                <w:iCs w:val="0"/>
                <w:color w:val="000000"/>
                <w:kern w:val="0"/>
                <w:sz w:val="18"/>
                <w:szCs w:val="18"/>
                <w:u w:val="none"/>
                <w:lang w:val="en-US" w:eastAsia="zh-CN"/>
              </w:rPr>
              <w:t>51.8</w:t>
            </w:r>
          </w:p>
        </w:tc>
        <w:tc>
          <w:tcPr>
            <w:tcW w:w="20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仿宋_GB2312" w:cs="Times New Roman"/>
                <w:i w:val="0"/>
                <w:iCs w:val="0"/>
                <w:color w:val="000000"/>
                <w:sz w:val="18"/>
                <w:szCs w:val="18"/>
                <w:u w:val="none"/>
              </w:rPr>
            </w:pPr>
            <w:r>
              <w:rPr>
                <w:rFonts w:hint="eastAsia" w:ascii="Times New Roman" w:hAnsi="Times New Roman" w:eastAsia="仿宋_GB2312" w:cs="Times New Roman"/>
                <w:i w:val="0"/>
                <w:iCs w:val="0"/>
                <w:color w:val="000000"/>
                <w:kern w:val="0"/>
                <w:sz w:val="18"/>
                <w:szCs w:val="18"/>
                <w:u w:val="none"/>
                <w:lang w:val="en-US" w:eastAsia="zh-CN"/>
              </w:rPr>
              <w:t>100</w:t>
            </w:r>
            <w:r>
              <w:rPr>
                <w:rFonts w:hint="default" w:ascii="Times New Roman" w:hAnsi="Times New Roman" w:eastAsia="仿宋_GB2312" w:cs="Times New Roman"/>
                <w:i w:val="0"/>
                <w:iCs w:val="0"/>
                <w:color w:val="000000"/>
                <w:kern w:val="0"/>
                <w:sz w:val="18"/>
                <w:szCs w:val="18"/>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30" w:hRule="atLeast"/>
        </w:trPr>
        <w:tc>
          <w:tcPr>
            <w:tcW w:w="129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jc w:val="center"/>
              <w:rPr>
                <w:rFonts w:hint="default" w:ascii="Times New Roman" w:hAnsi="Times New Roman" w:eastAsia="仿宋_GB2312" w:cs="Times New Roman"/>
                <w:i w:val="0"/>
                <w:iCs w:val="0"/>
                <w:color w:val="000000"/>
                <w:sz w:val="18"/>
                <w:szCs w:val="18"/>
                <w:u w:val="none"/>
              </w:rPr>
            </w:pPr>
          </w:p>
        </w:tc>
        <w:tc>
          <w:tcPr>
            <w:tcW w:w="7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rPr>
              <w:t xml:space="preserve"> 其中：中央补助</w:t>
            </w:r>
          </w:p>
        </w:tc>
        <w:tc>
          <w:tcPr>
            <w:tcW w:w="24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仿宋_GB2312" w:cs="Times New Roman"/>
                <w:i w:val="0"/>
                <w:iCs w:val="0"/>
                <w:color w:val="000000"/>
                <w:sz w:val="18"/>
                <w:szCs w:val="18"/>
                <w:u w:val="none"/>
                <w:lang w:val="en-US"/>
              </w:rPr>
            </w:pPr>
            <w:r>
              <w:rPr>
                <w:rFonts w:hint="eastAsia" w:ascii="Times New Roman" w:hAnsi="Times New Roman" w:eastAsia="仿宋_GB2312" w:cs="Times New Roman"/>
                <w:i w:val="0"/>
                <w:iCs w:val="0"/>
                <w:color w:val="000000"/>
                <w:kern w:val="0"/>
                <w:sz w:val="18"/>
                <w:szCs w:val="18"/>
                <w:u w:val="none"/>
                <w:lang w:val="en-US" w:eastAsia="zh-CN"/>
              </w:rPr>
              <w:t>51.8</w:t>
            </w:r>
          </w:p>
        </w:tc>
        <w:tc>
          <w:tcPr>
            <w:tcW w:w="275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仿宋_GB2312" w:cs="Times New Roman"/>
                <w:i w:val="0"/>
                <w:iCs w:val="0"/>
                <w:color w:val="000000"/>
                <w:sz w:val="18"/>
                <w:szCs w:val="18"/>
                <w:u w:val="none"/>
                <w:lang w:val="en-US"/>
              </w:rPr>
            </w:pPr>
            <w:r>
              <w:rPr>
                <w:rFonts w:hint="eastAsia" w:ascii="Times New Roman" w:hAnsi="Times New Roman" w:eastAsia="仿宋_GB2312" w:cs="Times New Roman"/>
                <w:i w:val="0"/>
                <w:iCs w:val="0"/>
                <w:color w:val="000000"/>
                <w:kern w:val="0"/>
                <w:sz w:val="18"/>
                <w:szCs w:val="18"/>
                <w:u w:val="none"/>
                <w:lang w:val="en-US" w:eastAsia="zh-CN"/>
              </w:rPr>
              <w:t>51.8</w:t>
            </w:r>
          </w:p>
        </w:tc>
        <w:tc>
          <w:tcPr>
            <w:tcW w:w="20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仿宋_GB2312" w:cs="Times New Roman"/>
                <w:i w:val="0"/>
                <w:iCs w:val="0"/>
                <w:color w:val="000000"/>
                <w:sz w:val="18"/>
                <w:szCs w:val="18"/>
                <w:u w:val="none"/>
              </w:rPr>
            </w:pPr>
            <w:r>
              <w:rPr>
                <w:rFonts w:hint="eastAsia" w:ascii="Times New Roman" w:hAnsi="Times New Roman" w:eastAsia="仿宋_GB2312" w:cs="Times New Roman"/>
                <w:i w:val="0"/>
                <w:iCs w:val="0"/>
                <w:color w:val="000000"/>
                <w:kern w:val="0"/>
                <w:sz w:val="18"/>
                <w:szCs w:val="18"/>
                <w:u w:val="none"/>
                <w:lang w:val="en-US" w:eastAsia="zh-CN"/>
              </w:rPr>
              <w:t>100</w:t>
            </w:r>
            <w:r>
              <w:rPr>
                <w:rFonts w:hint="default" w:ascii="Times New Roman" w:hAnsi="Times New Roman" w:eastAsia="仿宋_GB2312" w:cs="Times New Roman"/>
                <w:i w:val="0"/>
                <w:iCs w:val="0"/>
                <w:color w:val="000000"/>
                <w:kern w:val="0"/>
                <w:sz w:val="18"/>
                <w:szCs w:val="18"/>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0" w:hRule="atLeast"/>
        </w:trPr>
        <w:tc>
          <w:tcPr>
            <w:tcW w:w="129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jc w:val="center"/>
              <w:rPr>
                <w:rFonts w:hint="default" w:ascii="Times New Roman" w:hAnsi="Times New Roman" w:eastAsia="仿宋_GB2312" w:cs="Times New Roman"/>
                <w:i w:val="0"/>
                <w:iCs w:val="0"/>
                <w:color w:val="000000"/>
                <w:sz w:val="18"/>
                <w:szCs w:val="18"/>
                <w:u w:val="none"/>
              </w:rPr>
            </w:pPr>
          </w:p>
        </w:tc>
        <w:tc>
          <w:tcPr>
            <w:tcW w:w="7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rPr>
              <w:t xml:space="preserve">  地方资金</w:t>
            </w:r>
          </w:p>
        </w:tc>
        <w:tc>
          <w:tcPr>
            <w:tcW w:w="2429" w:type="dxa"/>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20" w:lineRule="exact"/>
              <w:jc w:val="center"/>
              <w:rPr>
                <w:rFonts w:hint="default" w:ascii="Times New Roman" w:hAnsi="Times New Roman" w:eastAsia="仿宋_GB2312" w:cs="Times New Roman"/>
                <w:i w:val="0"/>
                <w:iCs w:val="0"/>
                <w:color w:val="000000"/>
                <w:sz w:val="18"/>
                <w:szCs w:val="18"/>
                <w:u w:val="none"/>
              </w:rPr>
            </w:pPr>
          </w:p>
        </w:tc>
        <w:tc>
          <w:tcPr>
            <w:tcW w:w="2758" w:type="dxa"/>
            <w:gridSpan w:val="2"/>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20" w:lineRule="exact"/>
              <w:jc w:val="center"/>
              <w:rPr>
                <w:rFonts w:hint="default" w:ascii="Times New Roman" w:hAnsi="Times New Roman" w:eastAsia="仿宋_GB2312" w:cs="Times New Roman"/>
                <w:i w:val="0"/>
                <w:iCs w:val="0"/>
                <w:color w:val="000000"/>
                <w:sz w:val="18"/>
                <w:szCs w:val="18"/>
                <w:u w:val="none"/>
              </w:rPr>
            </w:pPr>
          </w:p>
        </w:tc>
        <w:tc>
          <w:tcPr>
            <w:tcW w:w="2019" w:type="dxa"/>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20" w:lineRule="exact"/>
              <w:jc w:val="center"/>
              <w:rPr>
                <w:rFonts w:hint="default" w:ascii="Times New Roman" w:hAnsi="Times New Roman" w:eastAsia="仿宋_GB2312"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0" w:hRule="atLeast"/>
        </w:trPr>
        <w:tc>
          <w:tcPr>
            <w:tcW w:w="129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jc w:val="center"/>
              <w:rPr>
                <w:rFonts w:hint="default" w:ascii="Times New Roman" w:hAnsi="Times New Roman" w:eastAsia="仿宋_GB2312" w:cs="Times New Roman"/>
                <w:i w:val="0"/>
                <w:iCs w:val="0"/>
                <w:color w:val="000000"/>
                <w:sz w:val="18"/>
                <w:szCs w:val="18"/>
                <w:u w:val="none"/>
              </w:rPr>
            </w:pPr>
          </w:p>
        </w:tc>
        <w:tc>
          <w:tcPr>
            <w:tcW w:w="7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rPr>
              <w:t xml:space="preserve">  其他资金</w:t>
            </w:r>
          </w:p>
        </w:tc>
        <w:tc>
          <w:tcPr>
            <w:tcW w:w="2429" w:type="dxa"/>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20" w:lineRule="exact"/>
              <w:jc w:val="center"/>
              <w:rPr>
                <w:rFonts w:hint="default" w:ascii="Times New Roman" w:hAnsi="Times New Roman" w:eastAsia="仿宋_GB2312" w:cs="Times New Roman"/>
                <w:i w:val="0"/>
                <w:iCs w:val="0"/>
                <w:color w:val="000000"/>
                <w:sz w:val="18"/>
                <w:szCs w:val="18"/>
                <w:u w:val="none"/>
              </w:rPr>
            </w:pPr>
          </w:p>
        </w:tc>
        <w:tc>
          <w:tcPr>
            <w:tcW w:w="2758" w:type="dxa"/>
            <w:gridSpan w:val="2"/>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20" w:lineRule="exact"/>
              <w:jc w:val="center"/>
              <w:rPr>
                <w:rFonts w:hint="default" w:ascii="Times New Roman" w:hAnsi="Times New Roman" w:eastAsia="仿宋_GB2312" w:cs="Times New Roman"/>
                <w:i w:val="0"/>
                <w:iCs w:val="0"/>
                <w:color w:val="000000"/>
                <w:sz w:val="18"/>
                <w:szCs w:val="18"/>
                <w:u w:val="none"/>
              </w:rPr>
            </w:pPr>
          </w:p>
        </w:tc>
        <w:tc>
          <w:tcPr>
            <w:tcW w:w="2019" w:type="dxa"/>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20" w:lineRule="exact"/>
              <w:jc w:val="center"/>
              <w:rPr>
                <w:rFonts w:hint="default" w:ascii="Times New Roman" w:hAnsi="Times New Roman" w:eastAsia="仿宋_GB2312"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30" w:hRule="atLeast"/>
        </w:trPr>
        <w:tc>
          <w:tcPr>
            <w:tcW w:w="129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rPr>
              <w:t>资金管理情况</w:t>
            </w:r>
          </w:p>
        </w:tc>
        <w:tc>
          <w:tcPr>
            <w:tcW w:w="785" w:type="dxa"/>
            <w:tcBorders>
              <w:top w:val="single" w:color="auto" w:sz="4" w:space="0"/>
              <w:left w:val="single" w:color="auto" w:sz="4" w:space="0"/>
              <w:bottom w:val="single" w:color="auto" w:sz="4" w:space="0"/>
              <w:right w:val="single" w:color="auto" w:sz="4" w:space="0"/>
            </w:tcBorders>
            <w:shd w:val="clear" w:color="auto" w:fill="auto"/>
            <w:vAlign w:val="bottom"/>
          </w:tcPr>
          <w:p>
            <w:pPr>
              <w:keepNext w:val="0"/>
              <w:keepLines w:val="0"/>
              <w:pageBreakBefore w:val="0"/>
              <w:kinsoku/>
              <w:wordWrap/>
              <w:overflowPunct/>
              <w:topLinePunct w:val="0"/>
              <w:autoSpaceDE/>
              <w:autoSpaceDN/>
              <w:bidi w:val="0"/>
              <w:adjustRightInd/>
              <w:snapToGrid/>
              <w:spacing w:line="220" w:lineRule="exact"/>
              <w:jc w:val="both"/>
              <w:rPr>
                <w:rFonts w:hint="default" w:ascii="Times New Roman" w:hAnsi="Times New Roman" w:eastAsia="仿宋_GB2312" w:cs="Times New Roman"/>
                <w:i w:val="0"/>
                <w:iCs w:val="0"/>
                <w:color w:val="000000"/>
                <w:sz w:val="18"/>
                <w:szCs w:val="18"/>
                <w:u w:val="none"/>
              </w:rPr>
            </w:pPr>
          </w:p>
        </w:tc>
        <w:tc>
          <w:tcPr>
            <w:tcW w:w="518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rPr>
              <w:t>情况说明</w:t>
            </w:r>
          </w:p>
        </w:tc>
        <w:tc>
          <w:tcPr>
            <w:tcW w:w="20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rPr>
              <w:t>存在问题和改进措施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179" w:hRule="atLeast"/>
        </w:trPr>
        <w:tc>
          <w:tcPr>
            <w:tcW w:w="129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jc w:val="center"/>
              <w:rPr>
                <w:rFonts w:hint="default" w:ascii="Times New Roman" w:hAnsi="Times New Roman" w:eastAsia="仿宋_GB2312" w:cs="Times New Roman"/>
                <w:i w:val="0"/>
                <w:iCs w:val="0"/>
                <w:color w:val="000000"/>
                <w:sz w:val="18"/>
                <w:szCs w:val="18"/>
                <w:u w:val="none"/>
              </w:rPr>
            </w:pPr>
          </w:p>
        </w:tc>
        <w:tc>
          <w:tcPr>
            <w:tcW w:w="7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rPr>
              <w:t>分配科学性</w:t>
            </w:r>
          </w:p>
        </w:tc>
        <w:tc>
          <w:tcPr>
            <w:tcW w:w="518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color w:val="000000"/>
                <w:kern w:val="0"/>
                <w:sz w:val="18"/>
                <w:szCs w:val="18"/>
                <w:u w:val="none"/>
              </w:rPr>
              <w:t>按照《财政部国家卫生健康委国家医保局国家中医药局国家疾控局关于修订基本公共卫生服务等5项补助资金管理办法的通知》（财社〔2022〕31号）等文件要求，坚持因素分配法，兼顾新疆公立医院综合改革实际需求因素，按照行政区划、常住人口、绩效因素进行资金分配。其中，行政区划分配因素参照国家测算标准，</w:t>
            </w:r>
            <w:r>
              <w:rPr>
                <w:rFonts w:hint="eastAsia" w:ascii="Times New Roman" w:hAnsi="Times New Roman" w:eastAsia="仿宋_GB2312" w:cs="Times New Roman"/>
                <w:color w:val="000000"/>
                <w:kern w:val="0"/>
                <w:sz w:val="18"/>
                <w:szCs w:val="18"/>
                <w:u w:val="none"/>
                <w:lang w:eastAsia="zh-CN"/>
              </w:rPr>
              <w:t>地区</w:t>
            </w:r>
            <w:r>
              <w:rPr>
                <w:rFonts w:hint="default" w:ascii="Times New Roman" w:hAnsi="Times New Roman" w:eastAsia="仿宋_GB2312" w:cs="Times New Roman"/>
                <w:color w:val="000000"/>
                <w:kern w:val="0"/>
                <w:sz w:val="18"/>
                <w:szCs w:val="18"/>
                <w:u w:val="none"/>
              </w:rPr>
              <w:t>本级每家医院补助标准</w:t>
            </w:r>
            <w:r>
              <w:rPr>
                <w:rFonts w:hint="eastAsia" w:ascii="Times New Roman" w:hAnsi="Times New Roman" w:eastAsia="仿宋_GB2312" w:cs="Times New Roman"/>
                <w:color w:val="000000"/>
                <w:kern w:val="0"/>
                <w:sz w:val="18"/>
                <w:szCs w:val="18"/>
                <w:u w:val="none"/>
                <w:lang w:val="en-US" w:eastAsia="zh-CN"/>
              </w:rPr>
              <w:t>1740</w:t>
            </w:r>
            <w:r>
              <w:rPr>
                <w:rFonts w:hint="default" w:ascii="Times New Roman" w:hAnsi="Times New Roman" w:eastAsia="仿宋_GB2312" w:cs="Times New Roman"/>
                <w:color w:val="000000"/>
                <w:kern w:val="0"/>
                <w:sz w:val="18"/>
                <w:szCs w:val="18"/>
                <w:u w:val="none"/>
              </w:rPr>
              <w:t>万元、每个地州本级补助标准为</w:t>
            </w:r>
            <w:r>
              <w:rPr>
                <w:rFonts w:hint="eastAsia" w:ascii="Times New Roman" w:hAnsi="Times New Roman" w:eastAsia="仿宋_GB2312" w:cs="Times New Roman"/>
                <w:color w:val="000000"/>
                <w:kern w:val="0"/>
                <w:sz w:val="18"/>
                <w:szCs w:val="18"/>
                <w:u w:val="none"/>
                <w:lang w:val="en-US" w:eastAsia="zh-CN"/>
              </w:rPr>
              <w:t>300</w:t>
            </w:r>
            <w:r>
              <w:rPr>
                <w:rFonts w:hint="default" w:ascii="Times New Roman" w:hAnsi="Times New Roman" w:eastAsia="仿宋_GB2312" w:cs="Times New Roman"/>
                <w:color w:val="000000"/>
                <w:kern w:val="0"/>
                <w:sz w:val="18"/>
                <w:szCs w:val="18"/>
                <w:u w:val="none"/>
              </w:rPr>
              <w:t>万元，每个县市补助</w:t>
            </w:r>
            <w:r>
              <w:rPr>
                <w:rFonts w:hint="eastAsia" w:ascii="Times New Roman" w:hAnsi="Times New Roman" w:eastAsia="仿宋_GB2312" w:cs="Times New Roman"/>
                <w:color w:val="000000"/>
                <w:kern w:val="0"/>
                <w:sz w:val="18"/>
                <w:szCs w:val="18"/>
                <w:u w:val="none"/>
                <w:lang w:val="en-US" w:eastAsia="zh-CN"/>
              </w:rPr>
              <w:t>120</w:t>
            </w:r>
            <w:r>
              <w:rPr>
                <w:rFonts w:hint="default" w:ascii="Times New Roman" w:hAnsi="Times New Roman" w:eastAsia="仿宋_GB2312" w:cs="Times New Roman"/>
                <w:color w:val="000000"/>
                <w:kern w:val="0"/>
                <w:sz w:val="18"/>
                <w:szCs w:val="18"/>
                <w:u w:val="none"/>
              </w:rPr>
              <w:t>万元。常住人口分配因素，根据《202</w:t>
            </w:r>
            <w:r>
              <w:rPr>
                <w:rFonts w:hint="eastAsia" w:ascii="Times New Roman" w:hAnsi="Times New Roman" w:eastAsia="仿宋_GB2312" w:cs="Times New Roman"/>
                <w:color w:val="000000"/>
                <w:kern w:val="0"/>
                <w:sz w:val="18"/>
                <w:szCs w:val="18"/>
                <w:u w:val="none"/>
                <w:lang w:val="en-US" w:eastAsia="zh-CN"/>
              </w:rPr>
              <w:t>3</w:t>
            </w:r>
            <w:r>
              <w:rPr>
                <w:rFonts w:hint="default" w:ascii="Times New Roman" w:hAnsi="Times New Roman" w:eastAsia="仿宋_GB2312" w:cs="Times New Roman"/>
                <w:color w:val="000000"/>
                <w:kern w:val="0"/>
                <w:sz w:val="18"/>
                <w:szCs w:val="18"/>
                <w:u w:val="none"/>
              </w:rPr>
              <w:t>年新疆统计年鉴》公布全疆人数（不含兵团）进行分配。绩效分配因素，按照国家卫生健康委奖惩分配原则进行分配。主要用于支持公立医院综合改革与高质量发展相关支出，分配方法较为科学。</w:t>
            </w:r>
          </w:p>
        </w:tc>
        <w:tc>
          <w:tcPr>
            <w:tcW w:w="20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869" w:hRule="atLeast"/>
        </w:trPr>
        <w:tc>
          <w:tcPr>
            <w:tcW w:w="129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jc w:val="center"/>
              <w:rPr>
                <w:rFonts w:hint="default" w:ascii="Times New Roman" w:hAnsi="Times New Roman" w:eastAsia="仿宋_GB2312" w:cs="Times New Roman"/>
                <w:i w:val="0"/>
                <w:iCs w:val="0"/>
                <w:color w:val="000000"/>
                <w:sz w:val="18"/>
                <w:szCs w:val="18"/>
                <w:u w:val="none"/>
              </w:rPr>
            </w:pPr>
          </w:p>
        </w:tc>
        <w:tc>
          <w:tcPr>
            <w:tcW w:w="7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rPr>
              <w:t>下达及时性</w:t>
            </w:r>
          </w:p>
        </w:tc>
        <w:tc>
          <w:tcPr>
            <w:tcW w:w="518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color w:val="000000"/>
                <w:kern w:val="0"/>
                <w:sz w:val="18"/>
                <w:szCs w:val="18"/>
                <w:u w:val="none"/>
              </w:rPr>
              <w:t>资金下达严格按照预算法和资金管理办法规定要求分解下达资金。自治区财政厅做好预算编制、指标安排等相关工作，并收到财政厅通知之日起</w:t>
            </w:r>
            <w:r>
              <w:rPr>
                <w:rFonts w:hint="eastAsia" w:ascii="Times New Roman" w:hAnsi="Times New Roman" w:eastAsia="仿宋_GB2312" w:cs="Times New Roman"/>
                <w:color w:val="000000"/>
                <w:kern w:val="0"/>
                <w:sz w:val="18"/>
                <w:szCs w:val="18"/>
                <w:u w:val="none"/>
                <w:lang w:eastAsia="zh-CN"/>
              </w:rPr>
              <w:t>30</w:t>
            </w:r>
            <w:r>
              <w:rPr>
                <w:rFonts w:hint="default" w:ascii="Times New Roman" w:hAnsi="Times New Roman" w:eastAsia="仿宋_GB2312" w:cs="Times New Roman"/>
                <w:color w:val="000000"/>
                <w:kern w:val="0"/>
                <w:sz w:val="18"/>
                <w:szCs w:val="18"/>
                <w:u w:val="none"/>
              </w:rPr>
              <w:t>日内将转移支付资金下达到各级财政部门。一是202</w:t>
            </w:r>
            <w:r>
              <w:rPr>
                <w:rFonts w:hint="eastAsia" w:ascii="Times New Roman" w:hAnsi="Times New Roman" w:eastAsia="仿宋_GB2312" w:cs="Times New Roman"/>
                <w:color w:val="000000"/>
                <w:kern w:val="0"/>
                <w:sz w:val="18"/>
                <w:szCs w:val="18"/>
                <w:u w:val="none"/>
                <w:lang w:val="en-US" w:eastAsia="zh-CN"/>
              </w:rPr>
              <w:t>3</w:t>
            </w:r>
            <w:r>
              <w:rPr>
                <w:rFonts w:hint="default" w:ascii="Times New Roman" w:hAnsi="Times New Roman" w:eastAsia="仿宋_GB2312" w:cs="Times New Roman"/>
                <w:color w:val="000000"/>
                <w:kern w:val="0"/>
                <w:sz w:val="18"/>
                <w:szCs w:val="18"/>
                <w:u w:val="none"/>
              </w:rPr>
              <w:t>年</w:t>
            </w:r>
            <w:r>
              <w:rPr>
                <w:rFonts w:hint="eastAsia" w:ascii="Times New Roman" w:hAnsi="Times New Roman" w:eastAsia="仿宋_GB2312" w:cs="Times New Roman"/>
                <w:color w:val="000000"/>
                <w:kern w:val="0"/>
                <w:sz w:val="18"/>
                <w:szCs w:val="18"/>
                <w:u w:val="none"/>
                <w:lang w:val="en-US" w:eastAsia="zh-CN"/>
              </w:rPr>
              <w:t>12</w:t>
            </w:r>
            <w:r>
              <w:rPr>
                <w:rFonts w:hint="default" w:ascii="Times New Roman" w:hAnsi="Times New Roman" w:eastAsia="仿宋_GB2312" w:cs="Times New Roman"/>
                <w:color w:val="000000"/>
                <w:kern w:val="0"/>
                <w:sz w:val="18"/>
                <w:szCs w:val="18"/>
                <w:u w:val="none"/>
              </w:rPr>
              <w:t>月</w:t>
            </w:r>
            <w:r>
              <w:rPr>
                <w:rFonts w:hint="eastAsia" w:ascii="Times New Roman" w:hAnsi="Times New Roman" w:eastAsia="仿宋_GB2312" w:cs="Times New Roman"/>
                <w:color w:val="000000"/>
                <w:kern w:val="0"/>
                <w:sz w:val="18"/>
                <w:szCs w:val="18"/>
                <w:u w:val="none"/>
                <w:lang w:val="en-US" w:eastAsia="zh-CN"/>
              </w:rPr>
              <w:t>23</w:t>
            </w:r>
            <w:r>
              <w:rPr>
                <w:rFonts w:hint="default" w:ascii="Times New Roman" w:hAnsi="Times New Roman" w:eastAsia="仿宋_GB2312" w:cs="Times New Roman"/>
                <w:color w:val="000000"/>
                <w:kern w:val="0"/>
                <w:sz w:val="18"/>
                <w:szCs w:val="18"/>
                <w:u w:val="none"/>
              </w:rPr>
              <w:t>日收到《财政部关于提前下达202</w:t>
            </w:r>
            <w:r>
              <w:rPr>
                <w:rFonts w:hint="eastAsia" w:ascii="Times New Roman" w:hAnsi="Times New Roman" w:eastAsia="仿宋_GB2312" w:cs="Times New Roman"/>
                <w:color w:val="000000"/>
                <w:kern w:val="0"/>
                <w:sz w:val="18"/>
                <w:szCs w:val="18"/>
                <w:u w:val="none"/>
                <w:lang w:val="en-US" w:eastAsia="zh-CN"/>
              </w:rPr>
              <w:t>4</w:t>
            </w:r>
            <w:r>
              <w:rPr>
                <w:rFonts w:hint="default" w:ascii="Times New Roman" w:hAnsi="Times New Roman" w:eastAsia="仿宋_GB2312" w:cs="Times New Roman"/>
                <w:color w:val="000000"/>
                <w:kern w:val="0"/>
                <w:sz w:val="18"/>
                <w:szCs w:val="18"/>
                <w:u w:val="none"/>
              </w:rPr>
              <w:t>年医疗服务与保障能力提升（公立医院综合改革 ）补助资金预算的通知》（财社〔202</w:t>
            </w:r>
            <w:r>
              <w:rPr>
                <w:rFonts w:hint="eastAsia" w:ascii="Times New Roman" w:hAnsi="Times New Roman" w:eastAsia="仿宋_GB2312" w:cs="Times New Roman"/>
                <w:color w:val="000000"/>
                <w:kern w:val="0"/>
                <w:sz w:val="18"/>
                <w:szCs w:val="18"/>
                <w:u w:val="none"/>
                <w:lang w:val="en-US" w:eastAsia="zh-CN"/>
              </w:rPr>
              <w:t>3</w:t>
            </w:r>
            <w:r>
              <w:rPr>
                <w:rFonts w:hint="default" w:ascii="Times New Roman" w:hAnsi="Times New Roman" w:eastAsia="仿宋_GB2312" w:cs="Times New Roman"/>
                <w:color w:val="000000"/>
                <w:kern w:val="0"/>
                <w:sz w:val="18"/>
                <w:szCs w:val="18"/>
                <w:u w:val="none"/>
              </w:rPr>
              <w:t>〕</w:t>
            </w:r>
            <w:r>
              <w:rPr>
                <w:rFonts w:hint="eastAsia" w:ascii="Times New Roman" w:hAnsi="Times New Roman" w:eastAsia="仿宋_GB2312" w:cs="Times New Roman"/>
                <w:color w:val="000000"/>
                <w:kern w:val="0"/>
                <w:sz w:val="18"/>
                <w:szCs w:val="18"/>
                <w:u w:val="none"/>
                <w:lang w:val="en-US" w:eastAsia="zh-CN"/>
              </w:rPr>
              <w:t>82</w:t>
            </w:r>
            <w:r>
              <w:rPr>
                <w:rFonts w:hint="default" w:ascii="Times New Roman" w:hAnsi="Times New Roman" w:eastAsia="仿宋_GB2312" w:cs="Times New Roman"/>
                <w:color w:val="000000"/>
                <w:kern w:val="0"/>
                <w:sz w:val="18"/>
                <w:szCs w:val="18"/>
                <w:u w:val="none"/>
              </w:rPr>
              <w:t>号）文件，</w:t>
            </w:r>
            <w:r>
              <w:rPr>
                <w:rFonts w:hint="eastAsia" w:ascii="Times New Roman" w:hAnsi="Times New Roman" w:eastAsia="仿宋_GB2312" w:cs="Times New Roman"/>
                <w:color w:val="000000"/>
                <w:kern w:val="0"/>
                <w:sz w:val="18"/>
                <w:szCs w:val="18"/>
                <w:u w:val="none"/>
                <w:lang w:eastAsia="zh-CN"/>
              </w:rPr>
              <w:t>地区</w:t>
            </w:r>
            <w:r>
              <w:rPr>
                <w:rFonts w:hint="default" w:ascii="Times New Roman" w:hAnsi="Times New Roman" w:eastAsia="仿宋_GB2312" w:cs="Times New Roman"/>
                <w:color w:val="000000"/>
                <w:kern w:val="0"/>
                <w:sz w:val="18"/>
                <w:szCs w:val="18"/>
                <w:u w:val="none"/>
              </w:rPr>
              <w:t>卫生健康委、财政厅于12月</w:t>
            </w:r>
            <w:r>
              <w:rPr>
                <w:rFonts w:hint="eastAsia" w:ascii="Times New Roman" w:hAnsi="Times New Roman" w:eastAsia="仿宋_GB2312" w:cs="Times New Roman"/>
                <w:color w:val="000000"/>
                <w:kern w:val="0"/>
                <w:sz w:val="18"/>
                <w:szCs w:val="18"/>
                <w:u w:val="none"/>
                <w:lang w:val="en-US" w:eastAsia="zh-CN"/>
              </w:rPr>
              <w:t>27</w:t>
            </w:r>
            <w:r>
              <w:rPr>
                <w:rFonts w:hint="default" w:ascii="Times New Roman" w:hAnsi="Times New Roman" w:eastAsia="仿宋_GB2312" w:cs="Times New Roman"/>
                <w:color w:val="000000"/>
                <w:kern w:val="0"/>
                <w:sz w:val="18"/>
                <w:szCs w:val="18"/>
                <w:u w:val="none"/>
              </w:rPr>
              <w:t>日完成预算分配、指标安排等工作，将资金全</w:t>
            </w:r>
            <w:r>
              <w:rPr>
                <w:rFonts w:hint="eastAsia" w:ascii="Times New Roman" w:hAnsi="Times New Roman" w:eastAsia="仿宋_GB2312" w:cs="Times New Roman"/>
                <w:color w:val="000000"/>
                <w:kern w:val="0"/>
                <w:sz w:val="18"/>
                <w:szCs w:val="18"/>
                <w:u w:val="none"/>
                <w:lang w:eastAsia="zh-CN"/>
              </w:rPr>
              <w:t>部</w:t>
            </w:r>
            <w:r>
              <w:rPr>
                <w:rFonts w:hint="default" w:ascii="Times New Roman" w:hAnsi="Times New Roman" w:eastAsia="仿宋_GB2312" w:cs="Times New Roman"/>
                <w:color w:val="000000"/>
                <w:kern w:val="0"/>
                <w:sz w:val="18"/>
                <w:szCs w:val="18"/>
                <w:u w:val="none"/>
              </w:rPr>
              <w:t>分解下达至各地州市、各县市区财政部门和自治区本级公立医院。</w:t>
            </w:r>
          </w:p>
        </w:tc>
        <w:tc>
          <w:tcPr>
            <w:tcW w:w="20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89" w:hRule="atLeast"/>
        </w:trPr>
        <w:tc>
          <w:tcPr>
            <w:tcW w:w="129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jc w:val="center"/>
              <w:rPr>
                <w:rFonts w:hint="default" w:ascii="Times New Roman" w:hAnsi="Times New Roman" w:eastAsia="仿宋_GB2312" w:cs="Times New Roman"/>
                <w:i w:val="0"/>
                <w:iCs w:val="0"/>
                <w:color w:val="000000"/>
                <w:sz w:val="18"/>
                <w:szCs w:val="18"/>
                <w:u w:val="none"/>
              </w:rPr>
            </w:pPr>
          </w:p>
        </w:tc>
        <w:tc>
          <w:tcPr>
            <w:tcW w:w="7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rPr>
              <w:t>拨付合规性</w:t>
            </w:r>
          </w:p>
        </w:tc>
        <w:tc>
          <w:tcPr>
            <w:tcW w:w="518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color w:val="000000"/>
                <w:kern w:val="0"/>
                <w:sz w:val="18"/>
                <w:szCs w:val="18"/>
                <w:u w:val="none"/>
              </w:rPr>
              <w:t>严格按照《财政部 国家卫生健康委国家医保局 国家中医药局 国家疾控局关于修订基本公共卫生服务等5项补助资金管理办法的通知》（财社〔2022〕31号）等文件要求和国库集中支付制度，项目单位按照项目进度核拨资金，未出现以拨代支、虚列支出或违规将资金从国库转入财政专户或支付到预算单位实有资金账户等问题。</w:t>
            </w:r>
          </w:p>
        </w:tc>
        <w:tc>
          <w:tcPr>
            <w:tcW w:w="20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559" w:hRule="atLeast"/>
        </w:trPr>
        <w:tc>
          <w:tcPr>
            <w:tcW w:w="129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jc w:val="center"/>
              <w:rPr>
                <w:rFonts w:hint="default" w:ascii="Times New Roman" w:hAnsi="Times New Roman" w:eastAsia="仿宋_GB2312" w:cs="Times New Roman"/>
                <w:i w:val="0"/>
                <w:iCs w:val="0"/>
                <w:color w:val="000000"/>
                <w:sz w:val="18"/>
                <w:szCs w:val="18"/>
                <w:u w:val="none"/>
              </w:rPr>
            </w:pPr>
          </w:p>
        </w:tc>
        <w:tc>
          <w:tcPr>
            <w:tcW w:w="7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rPr>
              <w:t>使用规范性</w:t>
            </w:r>
          </w:p>
        </w:tc>
        <w:tc>
          <w:tcPr>
            <w:tcW w:w="518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color w:val="000000"/>
                <w:kern w:val="0"/>
                <w:sz w:val="18"/>
                <w:szCs w:val="18"/>
                <w:u w:val="none"/>
              </w:rPr>
              <w:t>按照《财政部 国家卫生健康委 国家医保局 国家中医药局 国家疾控局 关于修订基本公共卫生服务等5项补助资金管理办法的通知》</w:t>
            </w:r>
            <w:r>
              <w:rPr>
                <w:rFonts w:hint="eastAsia" w:ascii="Times New Roman" w:hAnsi="Times New Roman" w:eastAsia="仿宋_GB2312" w:cs="Times New Roman"/>
                <w:color w:val="000000"/>
                <w:kern w:val="0"/>
                <w:sz w:val="18"/>
                <w:szCs w:val="18"/>
                <w:u w:val="none"/>
                <w:lang w:eastAsia="zh-CN"/>
              </w:rPr>
              <w:t>（</w:t>
            </w:r>
            <w:r>
              <w:rPr>
                <w:rFonts w:hint="default" w:ascii="Times New Roman" w:hAnsi="Times New Roman" w:eastAsia="仿宋_GB2312" w:cs="Times New Roman"/>
                <w:color w:val="000000"/>
                <w:kern w:val="0"/>
                <w:sz w:val="18"/>
                <w:szCs w:val="18"/>
                <w:u w:val="none"/>
              </w:rPr>
              <w:t>财社〔2022〕31号</w:t>
            </w:r>
            <w:r>
              <w:rPr>
                <w:rFonts w:hint="eastAsia" w:ascii="Times New Roman" w:hAnsi="Times New Roman" w:eastAsia="仿宋_GB2312" w:cs="Times New Roman"/>
                <w:color w:val="000000"/>
                <w:kern w:val="0"/>
                <w:sz w:val="18"/>
                <w:szCs w:val="18"/>
                <w:u w:val="none"/>
                <w:lang w:eastAsia="zh-CN"/>
              </w:rPr>
              <w:t>）</w:t>
            </w:r>
            <w:r>
              <w:rPr>
                <w:rFonts w:hint="default" w:ascii="Times New Roman" w:hAnsi="Times New Roman" w:eastAsia="仿宋_GB2312" w:cs="Times New Roman"/>
                <w:color w:val="000000"/>
                <w:kern w:val="0"/>
                <w:sz w:val="18"/>
                <w:szCs w:val="18"/>
                <w:u w:val="none"/>
              </w:rPr>
              <w:t>等文件要求，项目支出按规定经过科学论证、支出符合部门预算批复的用途；资金使用无截留、挤占、挪用、虚列支出等情况，使用规范，在中央巡视、各级审计和财政监督中未发现问题。</w:t>
            </w:r>
          </w:p>
        </w:tc>
        <w:tc>
          <w:tcPr>
            <w:tcW w:w="20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49" w:hRule="atLeast"/>
        </w:trPr>
        <w:tc>
          <w:tcPr>
            <w:tcW w:w="129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jc w:val="center"/>
              <w:rPr>
                <w:rFonts w:hint="default" w:ascii="Times New Roman" w:hAnsi="Times New Roman" w:eastAsia="仿宋_GB2312" w:cs="Times New Roman"/>
                <w:i w:val="0"/>
                <w:iCs w:val="0"/>
                <w:color w:val="000000"/>
                <w:sz w:val="18"/>
                <w:szCs w:val="18"/>
                <w:u w:val="none"/>
              </w:rPr>
            </w:pPr>
          </w:p>
        </w:tc>
        <w:tc>
          <w:tcPr>
            <w:tcW w:w="7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rPr>
              <w:t>执行准确性</w:t>
            </w:r>
          </w:p>
        </w:tc>
        <w:tc>
          <w:tcPr>
            <w:tcW w:w="518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both"/>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color w:val="000000"/>
                <w:kern w:val="0"/>
                <w:sz w:val="18"/>
                <w:szCs w:val="18"/>
                <w:u w:val="none"/>
              </w:rPr>
              <w:t>按照《财政部 国家卫生健康委 国家医保局 国家中医药局 国家疾控局 关于修订基本公共卫生服务等5项补助资金管理办法的通知》（财社〔2022〕 31 号）等文件要求，项目支出的编制遵循“综合预算”，“科学论证、合理排序”，“追踪问效”的原则，符合国家相关法律法规、方针政策、财政资金支持方向，支付按照国库集中支付制度有关规定执行，资金使用过程中，涉及政府采购的，严格按照政府采购有关法律法规及制度执行，资金执行准确。</w:t>
            </w:r>
          </w:p>
        </w:tc>
        <w:tc>
          <w:tcPr>
            <w:tcW w:w="20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179" w:hRule="atLeast"/>
        </w:trPr>
        <w:tc>
          <w:tcPr>
            <w:tcW w:w="129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jc w:val="center"/>
              <w:rPr>
                <w:rFonts w:hint="default" w:ascii="Times New Roman" w:hAnsi="Times New Roman" w:eastAsia="仿宋_GB2312" w:cs="Times New Roman"/>
                <w:i w:val="0"/>
                <w:iCs w:val="0"/>
                <w:color w:val="000000"/>
                <w:sz w:val="18"/>
                <w:szCs w:val="18"/>
                <w:u w:val="none"/>
              </w:rPr>
            </w:pPr>
          </w:p>
        </w:tc>
        <w:tc>
          <w:tcPr>
            <w:tcW w:w="7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rPr>
              <w:t>预算绩效管理情况</w:t>
            </w:r>
          </w:p>
        </w:tc>
        <w:tc>
          <w:tcPr>
            <w:tcW w:w="518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rPr>
                <w:rFonts w:hint="default" w:ascii="Times New Roman" w:hAnsi="Times New Roman" w:eastAsia="宋体" w:cs="Times New Roman"/>
                <w:szCs w:val="22"/>
              </w:rPr>
            </w:pPr>
            <w:r>
              <w:rPr>
                <w:rFonts w:hint="default" w:ascii="Times New Roman" w:hAnsi="Times New Roman" w:eastAsia="仿宋_GB2312" w:cs="Times New Roman"/>
                <w:color w:val="000000"/>
                <w:kern w:val="0"/>
                <w:sz w:val="18"/>
                <w:szCs w:val="18"/>
                <w:u w:val="none"/>
              </w:rPr>
              <w:t>按照《财政部 国家卫生健康委 国家医保局 国家中医药局 国家疾控局 关于修订基本公共卫生服务等 5 项补助资金管理办法的通知</w:t>
            </w:r>
            <w:r>
              <w:rPr>
                <w:rFonts w:hint="eastAsia" w:ascii="Times New Roman" w:hAnsi="Times New Roman" w:eastAsia="仿宋_GB2312" w:cs="Times New Roman"/>
                <w:color w:val="000000"/>
                <w:kern w:val="0"/>
                <w:sz w:val="18"/>
                <w:szCs w:val="18"/>
                <w:u w:val="none"/>
                <w:lang w:eastAsia="zh-CN"/>
              </w:rPr>
              <w:t>》《</w:t>
            </w:r>
            <w:r>
              <w:rPr>
                <w:rFonts w:hint="default" w:ascii="Times New Roman" w:hAnsi="Times New Roman" w:eastAsia="仿宋_GB2312" w:cs="Times New Roman"/>
                <w:color w:val="000000"/>
                <w:kern w:val="0"/>
                <w:sz w:val="18"/>
                <w:szCs w:val="18"/>
                <w:u w:val="none"/>
              </w:rPr>
              <w:t>中共中央国务院关于全面实施预算绩效管理的意见》等相关文件要求，自治区卫生健康委强化资金使用监管，严格执行有关财经制度，进一步加强预算绩效管理，一是新增重大政策和项目入库前，部门单位必须开展事前绩效评估，评估结果作为项目入库的前置条件。二是严格落实绩效事中监控，按期组织开展单位绩效运行监控；对单位监控情况进行审核，及时发现问题、改进管理、调整预算。三是建立“单位自评+部门评价+财政重点评价”机制，努力实现“花钱必问效、无效必问责”，年度内绩效监控、评价结果较好。</w:t>
            </w:r>
          </w:p>
          <w:p>
            <w:pPr>
              <w:keepNext w:val="0"/>
              <w:keepLines w:val="0"/>
              <w:pageBreakBefore w:val="0"/>
              <w:widowControl/>
              <w:suppressLineNumbers w:val="0"/>
              <w:kinsoku/>
              <w:wordWrap/>
              <w:overflowPunct/>
              <w:topLinePunct w:val="0"/>
              <w:autoSpaceDE/>
              <w:autoSpaceDN/>
              <w:bidi w:val="0"/>
              <w:adjustRightInd/>
              <w:snapToGrid/>
              <w:spacing w:line="220" w:lineRule="exact"/>
              <w:jc w:val="both"/>
              <w:textAlignment w:val="center"/>
              <w:rPr>
                <w:rFonts w:hint="default" w:ascii="Times New Roman" w:hAnsi="Times New Roman" w:eastAsia="仿宋_GB2312" w:cs="Times New Roman"/>
                <w:i w:val="0"/>
                <w:iCs w:val="0"/>
                <w:color w:val="000000"/>
                <w:sz w:val="18"/>
                <w:szCs w:val="18"/>
                <w:u w:val="none"/>
              </w:rPr>
            </w:pPr>
          </w:p>
        </w:tc>
        <w:tc>
          <w:tcPr>
            <w:tcW w:w="20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69" w:hRule="atLeast"/>
        </w:trPr>
        <w:tc>
          <w:tcPr>
            <w:tcW w:w="129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jc w:val="center"/>
              <w:rPr>
                <w:rFonts w:hint="default" w:ascii="Times New Roman" w:hAnsi="Times New Roman" w:eastAsia="仿宋_GB2312" w:cs="Times New Roman"/>
                <w:i w:val="0"/>
                <w:iCs w:val="0"/>
                <w:color w:val="000000"/>
                <w:sz w:val="18"/>
                <w:szCs w:val="18"/>
                <w:u w:val="none"/>
              </w:rPr>
            </w:pPr>
          </w:p>
        </w:tc>
        <w:tc>
          <w:tcPr>
            <w:tcW w:w="7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rPr>
              <w:t>支出责任履行情况</w:t>
            </w:r>
          </w:p>
        </w:tc>
        <w:tc>
          <w:tcPr>
            <w:tcW w:w="518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rPr>
                <w:rFonts w:hint="default" w:ascii="Times New Roman" w:hAnsi="Times New Roman" w:eastAsia="宋体" w:cs="Times New Roman"/>
                <w:szCs w:val="22"/>
              </w:rPr>
            </w:pPr>
          </w:p>
          <w:p>
            <w:pPr>
              <w:keepNext w:val="0"/>
              <w:keepLines w:val="0"/>
              <w:pageBreakBefore w:val="0"/>
              <w:widowControl/>
              <w:suppressLineNumbers w:val="0"/>
              <w:kinsoku/>
              <w:wordWrap/>
              <w:overflowPunct/>
              <w:topLinePunct w:val="0"/>
              <w:autoSpaceDE/>
              <w:autoSpaceDN/>
              <w:bidi w:val="0"/>
              <w:adjustRightInd/>
              <w:snapToGrid/>
              <w:spacing w:line="220" w:lineRule="exact"/>
              <w:jc w:val="both"/>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color w:val="000000"/>
                <w:sz w:val="18"/>
                <w:szCs w:val="18"/>
                <w:u w:val="none"/>
              </w:rPr>
              <w:t>坚持自治区负总责、地县抓落实、各级公立医院抓落地的工作机制，加大公立医院精细化运营管理。同时，全面履行部门支出责任落实，加大项目实施进度和资金支出进度调度频率，按季度分析通过、全力加快项目实施进度和资金支出进度。压实各单位项目资金支出计划制定进度，提高项目支出细化率，优化支出结构，增强支出预算编制的预见性，杜绝出现应该安排的预算没有申报、不该申报的乱报，或者做小事要大钱的现象。通过持续督促，年底各地支出进度明显提高，支出责任有效压实。</w:t>
            </w:r>
          </w:p>
        </w:tc>
        <w:tc>
          <w:tcPr>
            <w:tcW w:w="20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37" w:hRule="atLeast"/>
        </w:trPr>
        <w:tc>
          <w:tcPr>
            <w:tcW w:w="39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仿宋_GB2312" w:cs="Times New Roman"/>
                <w:i w:val="0"/>
                <w:iCs w:val="0"/>
                <w:color w:val="000000"/>
                <w:sz w:val="18"/>
                <w:szCs w:val="18"/>
                <w:u w:val="none"/>
              </w:rPr>
            </w:pPr>
          </w:p>
        </w:tc>
        <w:tc>
          <w:tcPr>
            <w:tcW w:w="8889"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default" w:ascii="Times New Roman" w:hAnsi="Times New Roman" w:eastAsia="仿宋_GB2312" w:cs="Times New Roman"/>
                <w:i w:val="0"/>
                <w:iCs w:val="0"/>
                <w:color w:val="000000"/>
                <w:sz w:val="18"/>
                <w:szCs w:val="18"/>
                <w:u w:val="none"/>
              </w:rPr>
            </w:pPr>
          </w:p>
        </w:tc>
      </w:tr>
    </w:tbl>
    <w:p>
      <w:pPr>
        <w:rPr>
          <w:rFonts w:hint="eastAsia"/>
          <w:lang w:val="en-US" w:eastAsia="zh-CN"/>
        </w:rPr>
      </w:pPr>
    </w:p>
    <w:p>
      <w:pPr>
        <w:pStyle w:val="2"/>
        <w:ind w:firstLine="640" w:firstLineChars="200"/>
        <w:rPr>
          <w:rFonts w:hint="eastAsia" w:ascii="Times New Roman" w:hAnsi="Times New Roman" w:eastAsia="仿宋_GB2312" w:cs="Times New Roman"/>
          <w:bCs w:val="0"/>
          <w:kern w:val="2"/>
          <w:sz w:val="32"/>
          <w:szCs w:val="32"/>
          <w:lang w:val="en-US" w:eastAsia="zh-CN" w:bidi="ar-SA"/>
        </w:rPr>
      </w:pPr>
      <w:r>
        <w:rPr>
          <w:rFonts w:hint="eastAsia" w:ascii="Times New Roman" w:hAnsi="Times New Roman" w:eastAsia="仿宋_GB2312" w:cs="Times New Roman"/>
          <w:bCs w:val="0"/>
          <w:kern w:val="2"/>
          <w:sz w:val="32"/>
          <w:szCs w:val="32"/>
          <w:lang w:val="en-US" w:eastAsia="zh-CN" w:bidi="ar-SA"/>
        </w:rPr>
        <w:t>备注：对纳入自评范围的各项转移支付资金，应分项明确由专人负责，并在提交的绩效自评报告中体现。</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swiss"/>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jc w:val="left"/>
      <w:rPr>
        <w:rFonts w:ascii="Calibri" w:hAnsi="Calibri" w:eastAsia="宋体" w:cs="Times New Roman"/>
        <w:kern w:val="2"/>
        <w:sz w:val="18"/>
        <w:szCs w:val="22"/>
        <w:lang w:val="en-US" w:eastAsia="zh-CN" w:bidi="ar-SA"/>
      </w:rPr>
    </w:pPr>
    <w:r>
      <w:rPr>
        <w:rFonts w:ascii="Calibri" w:hAnsi="Calibri" w:eastAsia="宋体" w:cs="Times New Roman"/>
        <w:kern w:val="2"/>
        <w:sz w:val="18"/>
        <w:szCs w:val="22"/>
        <w:lang w:val="en-US" w:eastAsia="zh-CN" w:bidi="ar-SA"/>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widowControl w:val="0"/>
                            <w:tabs>
                              <w:tab w:val="center" w:pos="4153"/>
                              <w:tab w:val="right" w:pos="8306"/>
                            </w:tabs>
                            <w:snapToGrid w:val="0"/>
                            <w:jc w:val="left"/>
                            <w:rPr>
                              <w:rFonts w:ascii="Calibri" w:hAnsi="Calibri" w:eastAsia="宋体" w:cs="Times New Roman"/>
                              <w:kern w:val="2"/>
                              <w:sz w:val="18"/>
                              <w:szCs w:val="22"/>
                              <w:lang w:val="en-US" w:eastAsia="zh-CN" w:bidi="ar-SA"/>
                            </w:rPr>
                          </w:pPr>
                          <w:r>
                            <w:rPr>
                              <w:rFonts w:ascii="Calibri" w:hAnsi="Calibri" w:eastAsia="宋体" w:cs="Times New Roman"/>
                              <w:kern w:val="2"/>
                              <w:sz w:val="18"/>
                              <w:szCs w:val="22"/>
                              <w:lang w:val="en-US" w:eastAsia="zh-CN" w:bidi="ar-SA"/>
                            </w:rPr>
                            <w:t xml:space="preserve">— </w:t>
                          </w:r>
                          <w:r>
                            <w:rPr>
                              <w:rFonts w:hint="eastAsia" w:ascii="宋体" w:hAnsi="宋体" w:eastAsia="宋体" w:cs="宋体"/>
                              <w:kern w:val="2"/>
                              <w:sz w:val="24"/>
                              <w:szCs w:val="24"/>
                              <w:lang w:val="en-US" w:eastAsia="zh-CN" w:bidi="ar-SA"/>
                            </w:rPr>
                            <w:fldChar w:fldCharType="begin"/>
                          </w:r>
                          <w:r>
                            <w:rPr>
                              <w:rFonts w:hint="eastAsia" w:ascii="宋体" w:hAnsi="宋体" w:eastAsia="宋体" w:cs="宋体"/>
                              <w:kern w:val="2"/>
                              <w:sz w:val="24"/>
                              <w:szCs w:val="24"/>
                              <w:lang w:val="en-US" w:eastAsia="zh-CN" w:bidi="ar-SA"/>
                            </w:rPr>
                            <w:instrText xml:space="preserve"> PAGE  \* MERGEFORMAT </w:instrText>
                          </w:r>
                          <w:r>
                            <w:rPr>
                              <w:rFonts w:hint="eastAsia" w:ascii="宋体" w:hAnsi="宋体" w:eastAsia="宋体" w:cs="宋体"/>
                              <w:kern w:val="2"/>
                              <w:sz w:val="24"/>
                              <w:szCs w:val="24"/>
                              <w:lang w:val="en-US" w:eastAsia="zh-CN" w:bidi="ar-SA"/>
                            </w:rPr>
                            <w:fldChar w:fldCharType="separate"/>
                          </w:r>
                          <w:r>
                            <w:rPr>
                              <w:rFonts w:hint="eastAsia" w:ascii="宋体" w:hAnsi="宋体" w:eastAsia="宋体" w:cs="宋体"/>
                              <w:kern w:val="2"/>
                              <w:sz w:val="24"/>
                              <w:szCs w:val="24"/>
                              <w:lang w:val="en-US" w:eastAsia="zh-CN" w:bidi="ar-SA"/>
                            </w:rPr>
                            <w:t>1</w:t>
                          </w:r>
                          <w:r>
                            <w:rPr>
                              <w:rFonts w:hint="eastAsia" w:ascii="宋体" w:hAnsi="宋体" w:eastAsia="宋体" w:cs="宋体"/>
                              <w:kern w:val="2"/>
                              <w:sz w:val="24"/>
                              <w:szCs w:val="24"/>
                              <w:lang w:val="en-US" w:eastAsia="zh-CN" w:bidi="ar-SA"/>
                            </w:rPr>
                            <w:fldChar w:fldCharType="end"/>
                          </w:r>
                          <w:r>
                            <w:rPr>
                              <w:rFonts w:hint="eastAsia" w:ascii="宋体" w:hAnsi="宋体" w:eastAsia="宋体" w:cs="宋体"/>
                              <w:kern w:val="2"/>
                              <w:sz w:val="24"/>
                              <w:szCs w:val="24"/>
                              <w:lang w:val="en-US" w:eastAsia="zh-CN" w:bidi="ar-SA"/>
                            </w:rPr>
                            <w:t xml:space="preserve"> </w:t>
                          </w:r>
                          <w:r>
                            <w:rPr>
                              <w:rFonts w:ascii="Calibri" w:hAnsi="Calibri" w:eastAsia="宋体" w:cs="Times New Roman"/>
                              <w:kern w:val="2"/>
                              <w:sz w:val="18"/>
                              <w:szCs w:val="22"/>
                              <w:lang w:val="en-US" w:eastAsia="zh-CN" w:bidi="ar-SA"/>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NJWO7QAAAABQEAAA8AAAAAAAAAAQAg&#10;AAAAIgAAAGRycy9kb3ducmV2LnhtbFBLAQIUABQAAAAIAIdO4kBSTa1QFgIAABcEAAAOAAAAAAAA&#10;AAEAIAAAAB8BAABkcnMvZTJvRG9jLnhtbFBLBQYAAAAABgAGAFkBAACnBQAAAAA=&#10;">
              <v:fill on="f" focussize="0,0"/>
              <v:stroke on="f" weight="0.5pt"/>
              <v:imagedata o:title=""/>
              <o:lock v:ext="edit" aspectratio="f"/>
              <v:textbox inset="0mm,0mm,0mm,0mm" style="mso-fit-shape-to-text:t;">
                <w:txbxContent>
                  <w:p>
                    <w:pPr>
                      <w:widowControl w:val="0"/>
                      <w:tabs>
                        <w:tab w:val="center" w:pos="4153"/>
                        <w:tab w:val="right" w:pos="8306"/>
                      </w:tabs>
                      <w:snapToGrid w:val="0"/>
                      <w:jc w:val="left"/>
                      <w:rPr>
                        <w:rFonts w:ascii="Calibri" w:hAnsi="Calibri" w:eastAsia="宋体" w:cs="Times New Roman"/>
                        <w:kern w:val="2"/>
                        <w:sz w:val="18"/>
                        <w:szCs w:val="22"/>
                        <w:lang w:val="en-US" w:eastAsia="zh-CN" w:bidi="ar-SA"/>
                      </w:rPr>
                    </w:pPr>
                    <w:r>
                      <w:rPr>
                        <w:rFonts w:ascii="Calibri" w:hAnsi="Calibri" w:eastAsia="宋体" w:cs="Times New Roman"/>
                        <w:kern w:val="2"/>
                        <w:sz w:val="18"/>
                        <w:szCs w:val="22"/>
                        <w:lang w:val="en-US" w:eastAsia="zh-CN" w:bidi="ar-SA"/>
                      </w:rPr>
                      <w:t xml:space="preserve">— </w:t>
                    </w:r>
                    <w:r>
                      <w:rPr>
                        <w:rFonts w:hint="eastAsia" w:ascii="宋体" w:hAnsi="宋体" w:eastAsia="宋体" w:cs="宋体"/>
                        <w:kern w:val="2"/>
                        <w:sz w:val="24"/>
                        <w:szCs w:val="24"/>
                        <w:lang w:val="en-US" w:eastAsia="zh-CN" w:bidi="ar-SA"/>
                      </w:rPr>
                      <w:fldChar w:fldCharType="begin"/>
                    </w:r>
                    <w:r>
                      <w:rPr>
                        <w:rFonts w:hint="eastAsia" w:ascii="宋体" w:hAnsi="宋体" w:eastAsia="宋体" w:cs="宋体"/>
                        <w:kern w:val="2"/>
                        <w:sz w:val="24"/>
                        <w:szCs w:val="24"/>
                        <w:lang w:val="en-US" w:eastAsia="zh-CN" w:bidi="ar-SA"/>
                      </w:rPr>
                      <w:instrText xml:space="preserve"> PAGE  \* MERGEFORMAT </w:instrText>
                    </w:r>
                    <w:r>
                      <w:rPr>
                        <w:rFonts w:hint="eastAsia" w:ascii="宋体" w:hAnsi="宋体" w:eastAsia="宋体" w:cs="宋体"/>
                        <w:kern w:val="2"/>
                        <w:sz w:val="24"/>
                        <w:szCs w:val="24"/>
                        <w:lang w:val="en-US" w:eastAsia="zh-CN" w:bidi="ar-SA"/>
                      </w:rPr>
                      <w:fldChar w:fldCharType="separate"/>
                    </w:r>
                    <w:r>
                      <w:rPr>
                        <w:rFonts w:hint="eastAsia" w:ascii="宋体" w:hAnsi="宋体" w:eastAsia="宋体" w:cs="宋体"/>
                        <w:kern w:val="2"/>
                        <w:sz w:val="24"/>
                        <w:szCs w:val="24"/>
                        <w:lang w:val="en-US" w:eastAsia="zh-CN" w:bidi="ar-SA"/>
                      </w:rPr>
                      <w:t>1</w:t>
                    </w:r>
                    <w:r>
                      <w:rPr>
                        <w:rFonts w:hint="eastAsia" w:ascii="宋体" w:hAnsi="宋体" w:eastAsia="宋体" w:cs="宋体"/>
                        <w:kern w:val="2"/>
                        <w:sz w:val="24"/>
                        <w:szCs w:val="24"/>
                        <w:lang w:val="en-US" w:eastAsia="zh-CN" w:bidi="ar-SA"/>
                      </w:rPr>
                      <w:fldChar w:fldCharType="end"/>
                    </w:r>
                    <w:r>
                      <w:rPr>
                        <w:rFonts w:hint="eastAsia" w:ascii="宋体" w:hAnsi="宋体" w:eastAsia="宋体" w:cs="宋体"/>
                        <w:kern w:val="2"/>
                        <w:sz w:val="24"/>
                        <w:szCs w:val="24"/>
                        <w:lang w:val="en-US" w:eastAsia="zh-CN" w:bidi="ar-SA"/>
                      </w:rPr>
                      <w:t xml:space="preserve"> </w:t>
                    </w:r>
                    <w:r>
                      <w:rPr>
                        <w:rFonts w:ascii="Calibri" w:hAnsi="Calibri" w:eastAsia="宋体" w:cs="Times New Roman"/>
                        <w:kern w:val="2"/>
                        <w:sz w:val="18"/>
                        <w:szCs w:val="22"/>
                        <w:lang w:val="en-US" w:eastAsia="zh-CN" w:bidi="ar-SA"/>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singleLevel"/>
    <w:tmpl w:val="CF092B84"/>
    <w:lvl w:ilvl="0" w:tentative="0">
      <w:start w:val="1"/>
      <w:numFmt w:val="decimal"/>
      <w:suff w:val="nothing"/>
      <w:lvlText w:val="（%1）"/>
      <w:lvlJc w:val="left"/>
      <w:rPr>
        <w:rFonts w:hint="default"/>
        <w:sz w:val="24"/>
        <w:szCs w:val="24"/>
      </w:rPr>
    </w:lvl>
  </w:abstractNum>
  <w:abstractNum w:abstractNumId="1">
    <w:nsid w:val="0053208E"/>
    <w:multiLevelType w:val="singleLevel"/>
    <w:tmpl w:val="0053208E"/>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MTYzMGU3NGZhOTIyZTJkNzE5ZjExMzlhZmNmNTUifQ=="/>
  </w:docVars>
  <w:rsids>
    <w:rsidRoot w:val="00000000"/>
    <w:rsid w:val="641A6CA2"/>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2">
    <w:name w:val="heading 3"/>
    <w:basedOn w:val="1"/>
    <w:next w:val="1"/>
    <w:qFormat/>
    <w:uiPriority w:val="9"/>
    <w:pPr>
      <w:keepNext/>
      <w:keepLines/>
      <w:spacing w:before="260" w:after="260" w:line="416" w:lineRule="auto"/>
      <w:jc w:val="left"/>
      <w:outlineLvl w:val="2"/>
    </w:pPr>
    <w:rPr>
      <w:rFonts w:cs="Times New Roman"/>
      <w:bCs/>
      <w:kern w:val="0"/>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w:basedOn w:val="1"/>
    <w:qFormat/>
    <w:uiPriority w:val="0"/>
    <w:pPr>
      <w:spacing w:before="240" w:after="240" w:line="360" w:lineRule="auto"/>
      <w:jc w:val="center"/>
    </w:pPr>
    <w:rPr>
      <w:b/>
      <w:sz w:val="44"/>
    </w:rPr>
  </w:style>
  <w:style w:type="paragraph" w:styleId="5">
    <w:name w:val="Balloon Text"/>
    <w:basedOn w:val="1"/>
    <w:link w:val="14"/>
    <w:semiHidden/>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11">
    <w:name w:val="Comment Text"/>
    <w:basedOn w:val="1"/>
    <w:qFormat/>
    <w:uiPriority w:val="0"/>
    <w:pPr>
      <w:jc w:val="left"/>
    </w:pPr>
  </w:style>
  <w:style w:type="character" w:customStyle="1" w:styleId="12">
    <w:name w:val="页眉 字符"/>
    <w:basedOn w:val="10"/>
    <w:link w:val="7"/>
    <w:qFormat/>
    <w:uiPriority w:val="99"/>
    <w:rPr>
      <w:sz w:val="18"/>
      <w:szCs w:val="18"/>
    </w:rPr>
  </w:style>
  <w:style w:type="character" w:customStyle="1" w:styleId="13">
    <w:name w:val="页脚 字符"/>
    <w:basedOn w:val="10"/>
    <w:link w:val="6"/>
    <w:qFormat/>
    <w:uiPriority w:val="99"/>
    <w:rPr>
      <w:sz w:val="18"/>
      <w:szCs w:val="18"/>
    </w:rPr>
  </w:style>
  <w:style w:type="character" w:customStyle="1" w:styleId="14">
    <w:name w:val="批注框文本 字符"/>
    <w:basedOn w:val="10"/>
    <w:link w:val="5"/>
    <w:semiHidden/>
    <w:qFormat/>
    <w:uiPriority w:val="99"/>
    <w:rPr>
      <w:sz w:val="18"/>
      <w:szCs w:val="18"/>
    </w:rPr>
  </w:style>
  <w:style w:type="paragraph" w:customStyle="1" w:styleId="15">
    <w:name w:val="闻政-正文段落文字"/>
    <w:basedOn w:val="1"/>
    <w:qFormat/>
    <w:uiPriority w:val="3"/>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8EDEB351F4844F95B086FD56EDBB66A6</vt:lpwstr>
  </property>
  <property fmtid="{D5CDD505-2E9C-101B-9397-08002B2CF9AE}" pid="4" name="KSOTemplateDocerSaveRecord">
    <vt:lpwstr>eyJoZGlkIjoiYjE4YTY0MjIwZDUzNWM4YTdkYWJiMzYzMTg4MWM1NWYifQ==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E3627A-4B70-4192-A54C-E4BE20D18F65}">
  <ds:schemaRefs/>
</ds:datastoreItem>
</file>

<file path=customXml/itemProps3.xml><?xml version="1.0" encoding="utf-8"?>
<ds:datastoreItem xmlns:ds="http://schemas.openxmlformats.org/officeDocument/2006/customXml" ds:itemID="{697ea8df-a71c-445a-8ffe-91e17138f895}">
  <ds:schemaRefs/>
</ds:datastoreItem>
</file>

<file path=docProps/app.xml><?xml version="1.0" encoding="utf-8"?>
<Properties xmlns="http://schemas.openxmlformats.org/officeDocument/2006/extended-properties" xmlns:vt="http://schemas.openxmlformats.org/officeDocument/2006/docPropsVTypes">
  <Template>Normal</Template>
  <Pages>16</Pages>
  <Words>7512</Words>
  <Characters>7928</Characters>
  <Lines>39</Lines>
  <Paragraphs>11</Paragraphs>
  <TotalTime>114</TotalTime>
  <ScaleCrop>false</ScaleCrop>
  <LinksUpToDate>false</LinksUpToDate>
  <CharactersWithSpaces>8021</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2024-02-01T08:48:00Z</dcterms:created>
  <dc:creator>翘楚 李</dc:creator>
  <cp:lastModifiedBy>ZFB</cp:lastModifiedBy>
  <cp:lastPrinted>2025-01-20T12:17:00Z</cp:lastPrinted>
  <dcterms:modified xsi:type="dcterms:W3CDTF">2025-10-21T09:24:04Z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8EDEB351F4844F95B086FD56EDBB66A6</vt:lpwstr>
  </property>
  <property fmtid="{D5CDD505-2E9C-101B-9397-08002B2CF9AE}" pid="4" name="KSOTemplateDocerSaveRecord">
    <vt:lpwstr>eyJoZGlkIjoiYjE4YTY0MjIwZDUzNWM4YTdkYWJiMzYzMTg4MWM1NWYifQ_x003D__x003D_</vt:lpwstr>
  </property>
</Properties>
</file>