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伽师县铁日木乡卫生院2024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9C9014">
      <w:r>
        <w:br w:type="page"/>
      </w:r>
    </w:p>
    <w:p w14:paraId="3557C43B">
      <w:pPr>
        <w:spacing w:line="640" w:lineRule="exact"/>
        <w:jc w:val="center"/>
        <w:outlineLvl w:val="1"/>
      </w:pPr>
      <w:r>
        <w:rPr>
          <w:rFonts w:ascii="黑体" w:hAnsi="黑体" w:eastAsia="黑体"/>
          <w:sz w:val="32"/>
        </w:rPr>
        <w:t>第一部分 单位概况</w:t>
      </w:r>
    </w:p>
    <w:p w14:paraId="12F8205C">
      <w:pPr>
        <w:spacing w:line="640" w:lineRule="exact"/>
        <w:ind w:firstLine="640"/>
        <w:jc w:val="both"/>
        <w:outlineLvl w:val="2"/>
      </w:pPr>
      <w:r>
        <w:rPr>
          <w:rFonts w:ascii="黑体" w:hAnsi="黑体" w:eastAsia="黑体"/>
          <w:sz w:val="32"/>
        </w:rPr>
        <w:t>一、主要职能</w:t>
      </w:r>
    </w:p>
    <w:p w14:paraId="0E4CA665">
      <w:pPr>
        <w:spacing w:line="580" w:lineRule="exact"/>
        <w:ind w:firstLine="640"/>
        <w:jc w:val="both"/>
      </w:pPr>
      <w:r>
        <w:rPr>
          <w:rFonts w:ascii="仿宋_GB2312" w:hAnsi="仿宋_GB2312" w:eastAsia="仿宋_GB2312"/>
          <w:sz w:val="32"/>
        </w:rPr>
        <w:t>（1）伽师县铁日木乡卫生院2022年以公共卫生服务为主，综合提供预防、保健和基本医疗等服务。</w:t>
      </w:r>
    </w:p>
    <w:p w14:paraId="248AD5EC">
      <w:pPr>
        <w:spacing w:line="580" w:lineRule="exact"/>
        <w:ind w:firstLine="640"/>
        <w:jc w:val="both"/>
      </w:pPr>
      <w:r>
        <w:rPr>
          <w:rFonts w:ascii="仿宋_GB2312" w:hAnsi="仿宋_GB2312" w:eastAsia="仿宋_GB2312"/>
          <w:sz w:val="32"/>
        </w:rPr>
        <w:t>（2）加强农村疾病预防控制，做好传染病、地方病防治等农村突发公共卫生事件报告工作，重点控制严重危害农民身体健康的传染病、地方病、职业病和寄生虫病等重大疾病。</w:t>
      </w:r>
    </w:p>
    <w:p w14:paraId="7396FC48">
      <w:pPr>
        <w:spacing w:line="580" w:lineRule="exact"/>
        <w:ind w:firstLine="640"/>
        <w:jc w:val="both"/>
      </w:pPr>
      <w:r>
        <w:rPr>
          <w:rFonts w:ascii="仿宋_GB2312" w:hAnsi="仿宋_GB2312" w:eastAsia="仿宋_GB2312"/>
          <w:sz w:val="32"/>
        </w:rPr>
        <w:t>（3）认真执行儿童计划免疫。积极开展慢性非传染性疾病的防治工作。</w:t>
      </w:r>
    </w:p>
    <w:p w14:paraId="65318333">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006F590F">
      <w:pPr>
        <w:spacing w:line="580" w:lineRule="exact"/>
        <w:ind w:firstLine="640"/>
        <w:jc w:val="both"/>
      </w:pPr>
      <w:r>
        <w:rPr>
          <w:rFonts w:ascii="仿宋_GB2312" w:hAnsi="仿宋_GB2312" w:eastAsia="仿宋_GB2312"/>
          <w:sz w:val="32"/>
        </w:rPr>
        <w:t>（5）积极做好新型农村合作医疗的服务、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1C9B9B2B">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3F7C23E0">
      <w:pPr>
        <w:spacing w:line="640" w:lineRule="exact"/>
        <w:ind w:firstLine="640"/>
        <w:jc w:val="both"/>
        <w:outlineLvl w:val="2"/>
      </w:pPr>
      <w:r>
        <w:rPr>
          <w:rFonts w:ascii="黑体" w:hAnsi="黑体" w:eastAsia="黑体"/>
          <w:sz w:val="32"/>
        </w:rPr>
        <w:t>二、机构设置及人员情况</w:t>
      </w:r>
    </w:p>
    <w:p w14:paraId="2BE7E3DE">
      <w:pPr>
        <w:spacing w:line="580" w:lineRule="exact"/>
        <w:ind w:firstLine="640"/>
        <w:jc w:val="both"/>
      </w:pPr>
      <w:r>
        <w:rPr>
          <w:rFonts w:ascii="仿宋_GB2312" w:hAnsi="仿宋_GB2312" w:eastAsia="仿宋_GB2312"/>
          <w:sz w:val="32"/>
        </w:rPr>
        <w:t>伽师县铁日木乡卫生院2024年度，实有人数36人，其中：在职人员28人，增加1人；离休人员0人，增加0人；退休人员8人,增加1人。</w:t>
      </w:r>
    </w:p>
    <w:p w14:paraId="58D3372B">
      <w:pPr>
        <w:spacing w:line="580" w:lineRule="exact"/>
        <w:ind w:firstLine="640"/>
        <w:jc w:val="both"/>
      </w:pPr>
      <w:r>
        <w:rPr>
          <w:rFonts w:ascii="仿宋_GB2312" w:hAnsi="仿宋_GB2312" w:eastAsia="仿宋_GB2312"/>
          <w:sz w:val="32"/>
        </w:rPr>
        <w:t>伽师县铁日木乡卫生院无下属预算单位，下设7个科室，分别是：门诊部、住院部、公卫科、中医科、财务科、预防保健科、医保办。</w:t>
      </w:r>
    </w:p>
    <w:p w14:paraId="1AE12FB6">
      <w:r>
        <w:br w:type="page"/>
      </w:r>
    </w:p>
    <w:p w14:paraId="7C333F4B">
      <w:pPr>
        <w:spacing w:line="240" w:lineRule="auto"/>
        <w:jc w:val="center"/>
        <w:outlineLvl w:val="1"/>
      </w:pPr>
      <w:r>
        <w:rPr>
          <w:rFonts w:ascii="黑体" w:hAnsi="黑体" w:eastAsia="黑体"/>
          <w:sz w:val="32"/>
        </w:rPr>
        <w:t>第二部分 部门决算情况说明</w:t>
      </w:r>
    </w:p>
    <w:p w14:paraId="59C62EFA">
      <w:pPr>
        <w:spacing w:line="640" w:lineRule="exact"/>
        <w:ind w:firstLine="640"/>
        <w:jc w:val="both"/>
        <w:outlineLvl w:val="2"/>
      </w:pPr>
      <w:r>
        <w:rPr>
          <w:rFonts w:ascii="黑体" w:hAnsi="黑体" w:eastAsia="黑体"/>
          <w:sz w:val="32"/>
        </w:rPr>
        <w:t>一、收入支出决算总体情况说明</w:t>
      </w:r>
    </w:p>
    <w:p w14:paraId="15ECA6EA">
      <w:pPr>
        <w:spacing w:line="580" w:lineRule="exact"/>
        <w:ind w:firstLine="640"/>
        <w:jc w:val="both"/>
      </w:pPr>
      <w:r>
        <w:rPr>
          <w:rFonts w:ascii="仿宋_GB2312" w:hAnsi="仿宋_GB2312" w:eastAsia="仿宋_GB2312"/>
          <w:b/>
          <w:sz w:val="32"/>
        </w:rPr>
        <w:t>2024年度收入总计1,103.54万元，</w:t>
      </w:r>
      <w:r>
        <w:rPr>
          <w:rFonts w:ascii="仿宋_GB2312" w:hAnsi="仿宋_GB2312" w:eastAsia="仿宋_GB2312"/>
          <w:b w:val="0"/>
          <w:sz w:val="32"/>
        </w:rPr>
        <w:t>其中：本年收入合计1,103.54万元，使用非财政拨款结余（含专用结余）0.00万元，年初结转和结余0.00万元。</w:t>
      </w:r>
    </w:p>
    <w:p w14:paraId="7C20A5C4">
      <w:pPr>
        <w:spacing w:line="580" w:lineRule="exact"/>
        <w:ind w:firstLine="640"/>
        <w:jc w:val="both"/>
      </w:pPr>
      <w:r>
        <w:rPr>
          <w:rFonts w:ascii="仿宋_GB2312" w:hAnsi="仿宋_GB2312" w:eastAsia="仿宋_GB2312"/>
          <w:b/>
          <w:sz w:val="32"/>
        </w:rPr>
        <w:t>2024年度支出总计1,103.54万元，</w:t>
      </w:r>
      <w:r>
        <w:rPr>
          <w:rFonts w:ascii="仿宋_GB2312" w:hAnsi="仿宋_GB2312" w:eastAsia="仿宋_GB2312"/>
          <w:b w:val="0"/>
          <w:sz w:val="32"/>
        </w:rPr>
        <w:t>其中：本年支出合计1,101.73万元，结余分配1.81万元，年末结转和结余0.00万元。</w:t>
      </w:r>
    </w:p>
    <w:p w14:paraId="21EB8093">
      <w:pPr>
        <w:spacing w:line="580" w:lineRule="exact"/>
        <w:ind w:firstLine="640"/>
        <w:jc w:val="both"/>
      </w:pPr>
      <w:r>
        <w:rPr>
          <w:rFonts w:ascii="仿宋_GB2312" w:hAnsi="仿宋_GB2312" w:eastAsia="仿宋_GB2312"/>
          <w:b w:val="0"/>
          <w:sz w:val="32"/>
        </w:rPr>
        <w:t>收入支出总体与上年相比，增加124.54万元，增长12.72%，主要原因是：本年增加基本药物补助项目资金、基本公共卫生项目资金、体检经费、家庭医生签约服务费、疫苗款等。</w:t>
      </w:r>
    </w:p>
    <w:p w14:paraId="66559304">
      <w:pPr>
        <w:spacing w:line="640" w:lineRule="exact"/>
        <w:ind w:firstLine="640"/>
        <w:jc w:val="both"/>
        <w:outlineLvl w:val="2"/>
      </w:pPr>
      <w:r>
        <w:rPr>
          <w:rFonts w:ascii="黑体" w:hAnsi="黑体" w:eastAsia="黑体"/>
          <w:sz w:val="32"/>
        </w:rPr>
        <w:t>二、收入决算情况说明</w:t>
      </w:r>
    </w:p>
    <w:p w14:paraId="2316A8A3">
      <w:pPr>
        <w:spacing w:line="580" w:lineRule="exact"/>
        <w:ind w:firstLine="640"/>
        <w:jc w:val="both"/>
      </w:pPr>
      <w:r>
        <w:rPr>
          <w:rFonts w:ascii="仿宋_GB2312" w:hAnsi="仿宋_GB2312" w:eastAsia="仿宋_GB2312"/>
          <w:b/>
          <w:sz w:val="32"/>
        </w:rPr>
        <w:t>本年收入1,103.54万元，</w:t>
      </w:r>
      <w:r>
        <w:rPr>
          <w:rFonts w:ascii="仿宋_GB2312" w:hAnsi="仿宋_GB2312" w:eastAsia="仿宋_GB2312"/>
          <w:b w:val="0"/>
          <w:sz w:val="32"/>
        </w:rPr>
        <w:t>其中：财政拨款收入797.39万元，占72.26%；上级补助收入0.00万元，占0.00%；事业收入251.48万元，占22.79%；经营收入0.00万元，占0.00%；附属单位上缴收入0.00万元，占0.00%；其他收入54.67万元，占4.95%。</w:t>
      </w:r>
    </w:p>
    <w:p w14:paraId="16639D17">
      <w:pPr>
        <w:spacing w:line="640" w:lineRule="exact"/>
        <w:ind w:firstLine="640"/>
        <w:jc w:val="both"/>
        <w:outlineLvl w:val="2"/>
      </w:pPr>
      <w:r>
        <w:rPr>
          <w:rFonts w:ascii="黑体" w:hAnsi="黑体" w:eastAsia="黑体"/>
          <w:sz w:val="32"/>
        </w:rPr>
        <w:t>三、支出决算情况说明</w:t>
      </w:r>
    </w:p>
    <w:p w14:paraId="157767F4">
      <w:pPr>
        <w:spacing w:line="580" w:lineRule="exact"/>
        <w:ind w:firstLine="640"/>
        <w:jc w:val="both"/>
      </w:pPr>
      <w:r>
        <w:rPr>
          <w:rFonts w:ascii="仿宋_GB2312" w:hAnsi="仿宋_GB2312" w:eastAsia="仿宋_GB2312"/>
          <w:b/>
          <w:sz w:val="32"/>
        </w:rPr>
        <w:t>本年支出1,101.73万元，</w:t>
      </w:r>
      <w:r>
        <w:rPr>
          <w:rFonts w:ascii="仿宋_GB2312" w:hAnsi="仿宋_GB2312" w:eastAsia="仿宋_GB2312"/>
          <w:b w:val="0"/>
          <w:sz w:val="32"/>
        </w:rPr>
        <w:t>其中：基本支出782.11万元，占70.99%；项目支出319.62万元，占29.01%；上缴上级支出0.00万元，占0.00%；经营支出0.00万元，占0.00%；对附属单位补助支出0.00万元，占0.00%。</w:t>
      </w:r>
    </w:p>
    <w:p w14:paraId="10652C87">
      <w:pPr>
        <w:spacing w:line="640" w:lineRule="exact"/>
        <w:ind w:firstLine="640"/>
        <w:jc w:val="both"/>
        <w:outlineLvl w:val="2"/>
      </w:pPr>
      <w:r>
        <w:rPr>
          <w:rFonts w:ascii="黑体" w:hAnsi="黑体" w:eastAsia="黑体"/>
          <w:sz w:val="32"/>
        </w:rPr>
        <w:t>四、财政拨款收入支出决算总体情况说明</w:t>
      </w:r>
    </w:p>
    <w:p w14:paraId="75349E26">
      <w:pPr>
        <w:spacing w:line="580" w:lineRule="exact"/>
        <w:ind w:firstLine="640"/>
        <w:jc w:val="both"/>
      </w:pPr>
      <w:r>
        <w:rPr>
          <w:rFonts w:ascii="仿宋_GB2312" w:hAnsi="仿宋_GB2312" w:eastAsia="仿宋_GB2312"/>
          <w:b/>
          <w:sz w:val="32"/>
        </w:rPr>
        <w:t>2024年度财政拨款收入总计797.39万元，</w:t>
      </w:r>
      <w:r>
        <w:rPr>
          <w:rFonts w:ascii="仿宋_GB2312" w:hAnsi="仿宋_GB2312" w:eastAsia="仿宋_GB2312"/>
          <w:b w:val="0"/>
          <w:sz w:val="32"/>
        </w:rPr>
        <w:t>其中：年初财政拨款结转和结余0.00万元，本年财政拨款收入797.39万元。</w:t>
      </w:r>
      <w:r>
        <w:rPr>
          <w:rFonts w:ascii="仿宋_GB2312" w:hAnsi="仿宋_GB2312" w:eastAsia="仿宋_GB2312"/>
          <w:b/>
          <w:sz w:val="32"/>
        </w:rPr>
        <w:t>财政拨款支出总计797.39万元，</w:t>
      </w:r>
      <w:r>
        <w:rPr>
          <w:rFonts w:ascii="仿宋_GB2312" w:hAnsi="仿宋_GB2312" w:eastAsia="仿宋_GB2312"/>
          <w:b w:val="0"/>
          <w:sz w:val="32"/>
        </w:rPr>
        <w:t>其中：年末财政拨款结转和结余0.00万元，本年财政拨款支出797.39万元。</w:t>
      </w:r>
    </w:p>
    <w:p w14:paraId="7707D8B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增加80.26万元，增长11.19%，主要原因是：本年增加基本药物补助项目资金、基本公共卫生项目资金等。</w:t>
      </w:r>
      <w:r>
        <w:rPr>
          <w:rFonts w:ascii="仿宋_GB2312" w:hAnsi="仿宋_GB2312" w:eastAsia="仿宋_GB2312"/>
          <w:b/>
          <w:sz w:val="32"/>
        </w:rPr>
        <w:t>与年初预算相比，</w:t>
      </w:r>
      <w:r>
        <w:rPr>
          <w:rFonts w:ascii="仿宋_GB2312" w:hAnsi="仿宋_GB2312" w:eastAsia="仿宋_GB2312"/>
          <w:b w:val="0"/>
          <w:sz w:val="32"/>
        </w:rPr>
        <w:t>年初预算数765.23万元，决算数797.39万元，预决算差异率4.20%，主要原因是：本年在职人员增加，年中追加人员经费及人员工资、社保、公积金基数调增部分资金，导致预决算存在差异。</w:t>
      </w:r>
    </w:p>
    <w:p w14:paraId="3C16F762">
      <w:pPr>
        <w:spacing w:line="640" w:lineRule="exact"/>
        <w:ind w:firstLine="640"/>
        <w:jc w:val="both"/>
        <w:outlineLvl w:val="2"/>
      </w:pPr>
      <w:r>
        <w:rPr>
          <w:rFonts w:ascii="黑体" w:hAnsi="黑体" w:eastAsia="黑体"/>
          <w:sz w:val="32"/>
        </w:rPr>
        <w:t>五、一般公共预算财政拨款支出决算情况说明</w:t>
      </w:r>
    </w:p>
    <w:p w14:paraId="4ACB5070">
      <w:pPr>
        <w:spacing w:line="640" w:lineRule="exact"/>
        <w:ind w:firstLine="640"/>
        <w:jc w:val="both"/>
        <w:outlineLvl w:val="3"/>
      </w:pPr>
      <w:r>
        <w:rPr>
          <w:rFonts w:ascii="楷体_GB2312" w:hAnsi="楷体_GB2312" w:eastAsia="楷体_GB2312"/>
          <w:b/>
          <w:sz w:val="32"/>
        </w:rPr>
        <w:t>（一）一般公共预算财政拨款支出决算总体情况</w:t>
      </w:r>
    </w:p>
    <w:p w14:paraId="69F6E39E">
      <w:pPr>
        <w:spacing w:line="580" w:lineRule="exact"/>
        <w:ind w:firstLine="640"/>
        <w:jc w:val="both"/>
      </w:pPr>
      <w:r>
        <w:rPr>
          <w:rFonts w:ascii="仿宋_GB2312" w:hAnsi="仿宋_GB2312" w:eastAsia="仿宋_GB2312"/>
          <w:b/>
          <w:sz w:val="32"/>
        </w:rPr>
        <w:t>2024年度一般公共预算财政拨款支出796.88万元，</w:t>
      </w:r>
      <w:r>
        <w:rPr>
          <w:rFonts w:ascii="仿宋_GB2312" w:hAnsi="仿宋_GB2312" w:eastAsia="仿宋_GB2312"/>
          <w:b w:val="0"/>
          <w:sz w:val="32"/>
        </w:rPr>
        <w:t>占本年支出合计的72.33%。</w:t>
      </w:r>
      <w:r>
        <w:rPr>
          <w:rFonts w:ascii="仿宋_GB2312" w:hAnsi="仿宋_GB2312" w:eastAsia="仿宋_GB2312"/>
          <w:b/>
          <w:sz w:val="32"/>
        </w:rPr>
        <w:t>与上年相比，</w:t>
      </w:r>
      <w:r>
        <w:rPr>
          <w:rFonts w:ascii="仿宋_GB2312" w:hAnsi="仿宋_GB2312" w:eastAsia="仿宋_GB2312"/>
          <w:b w:val="0"/>
          <w:sz w:val="32"/>
        </w:rPr>
        <w:t>增加79.75万元，增长11.12%，主要原因是：本年增加基本药物补助项目资金、基本公共卫生项目资金等。</w:t>
      </w:r>
      <w:r>
        <w:rPr>
          <w:rFonts w:ascii="仿宋_GB2312" w:hAnsi="仿宋_GB2312" w:eastAsia="仿宋_GB2312"/>
          <w:b/>
          <w:sz w:val="32"/>
        </w:rPr>
        <w:t>与年初预算相比,</w:t>
      </w:r>
      <w:r>
        <w:rPr>
          <w:rFonts w:ascii="仿宋_GB2312" w:hAnsi="仿宋_GB2312" w:eastAsia="仿宋_GB2312"/>
          <w:b w:val="0"/>
          <w:sz w:val="32"/>
        </w:rPr>
        <w:t>年初预算数764.72万元，决算数796.88万元，预决算差异率4.21%，主要原因是：本年在职人员增加，年中追加人员经费及人员工资、社保、公积金基数调增部分资金，导致预决算存在差异。</w:t>
      </w:r>
    </w:p>
    <w:p w14:paraId="0877D02D">
      <w:pPr>
        <w:spacing w:line="640" w:lineRule="exact"/>
        <w:ind w:firstLine="640"/>
        <w:jc w:val="both"/>
        <w:outlineLvl w:val="3"/>
      </w:pPr>
      <w:r>
        <w:rPr>
          <w:rFonts w:ascii="楷体_GB2312" w:hAnsi="楷体_GB2312" w:eastAsia="楷体_GB2312"/>
          <w:b/>
          <w:sz w:val="32"/>
        </w:rPr>
        <w:t>（二）一般公共预算财政拨款支出决算结构情况</w:t>
      </w:r>
    </w:p>
    <w:p w14:paraId="33BD34FF">
      <w:pPr>
        <w:spacing w:line="580" w:lineRule="exact"/>
        <w:ind w:firstLine="640"/>
        <w:jc w:val="both"/>
      </w:pPr>
      <w:r>
        <w:rPr>
          <w:rFonts w:ascii="仿宋_GB2312" w:hAnsi="仿宋_GB2312" w:eastAsia="仿宋_GB2312"/>
          <w:b w:val="0"/>
          <w:sz w:val="32"/>
        </w:rPr>
        <w:t>1.社会保障和就业支出(类)63.33万元,占7.95%。</w:t>
      </w:r>
    </w:p>
    <w:p w14:paraId="63BFB92B">
      <w:pPr>
        <w:spacing w:line="580" w:lineRule="exact"/>
        <w:ind w:firstLine="640"/>
        <w:jc w:val="both"/>
      </w:pPr>
      <w:r>
        <w:rPr>
          <w:rFonts w:ascii="仿宋_GB2312" w:hAnsi="仿宋_GB2312" w:eastAsia="仿宋_GB2312"/>
          <w:b w:val="0"/>
          <w:sz w:val="32"/>
        </w:rPr>
        <w:t>2.卫生健康支出(类)694.79万元,占87.19%。</w:t>
      </w:r>
    </w:p>
    <w:p w14:paraId="2CF8976B">
      <w:pPr>
        <w:spacing w:line="580" w:lineRule="exact"/>
        <w:ind w:firstLine="640"/>
        <w:jc w:val="both"/>
      </w:pPr>
      <w:r>
        <w:rPr>
          <w:rFonts w:ascii="仿宋_GB2312" w:hAnsi="仿宋_GB2312" w:eastAsia="仿宋_GB2312"/>
          <w:b w:val="0"/>
          <w:sz w:val="32"/>
        </w:rPr>
        <w:t>3.住房保障支出(类)38.76万元,占4.86%。</w:t>
      </w:r>
    </w:p>
    <w:p w14:paraId="2FF4E171">
      <w:pPr>
        <w:spacing w:line="640" w:lineRule="exact"/>
        <w:ind w:firstLine="640"/>
        <w:jc w:val="both"/>
        <w:outlineLvl w:val="3"/>
      </w:pPr>
      <w:r>
        <w:rPr>
          <w:rFonts w:ascii="楷体_GB2312" w:hAnsi="楷体_GB2312" w:eastAsia="楷体_GB2312"/>
          <w:b/>
          <w:sz w:val="32"/>
        </w:rPr>
        <w:t>（三）一般公共预算财政拨款支出决算具体情况</w:t>
      </w:r>
    </w:p>
    <w:p w14:paraId="10C909B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1.社会保障和就业支出(类)行政事业单位养老支出(款)事业单位离退休(项):支出决算数为8.93万元，比上年决算增加2.38万元，增长36.34%,主要原因是：本年退休人员增加，退休人员基础绩效奖增加，退休费支出增加。</w:t>
      </w:r>
    </w:p>
    <w:p w14:paraId="0603421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46.09万元，比上年决算增加4.90万元，增长11.90%,主要原因是：本年在职人员工资基数调增，养老缴费基数上涨，相应支出增加。</w:t>
      </w:r>
    </w:p>
    <w:p w14:paraId="65387CF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3.社会保障和就业支出(类)行政事业单位养老支出(款)机关事业单位职业年金缴费支出(项):支出决算数为8.31万元，比上年决算增加8.31万元，增长100.00%,主要原因是：本年新增退休人员，职业年金缴费支出增加。</w:t>
      </w:r>
    </w:p>
    <w:p w14:paraId="62EA2E55">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23.18万元，比上年决算增加23.18万元，增长100.00%,主要原因是：本年功能科目调整，伽师县村医补助项目支出上年度在其他公共卫生支出科目列支，本年单独列支，导致经费较上年增加。</w:t>
      </w:r>
    </w:p>
    <w:p w14:paraId="7A035120">
      <w:pPr>
        <w:spacing w:line="580" w:lineRule="exact"/>
        <w:ind w:firstLine="640"/>
        <w:jc w:val="both"/>
      </w:pPr>
      <w:r>
        <w:rPr>
          <w:rFonts w:ascii="仿宋_GB2312" w:hAnsi="仿宋_GB2312" w:eastAsia="仿宋_GB2312"/>
          <w:b w:val="0"/>
          <w:sz w:val="32"/>
        </w:rPr>
        <w:t>5.卫生健康支出(类)基层医疗卫生机构(款)乡镇卫生院(项):支出决算数为356.09万元，比上年决算减少4.73万元，下降1.31%,主要原因是：本年度卫生院聘用人员和村医减少，导致人员经费减少。</w:t>
      </w:r>
    </w:p>
    <w:p w14:paraId="4197D0E6">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6.卫生健康支出(类)基层医疗卫生机构(款)其他基层医疗卫生机构支出(项):支出决算数为18.69万元，比上年决算增加1.18万元，增长6.74%,主要原因是：本年度基本药物补助项目资金较上年增加。</w:t>
      </w:r>
    </w:p>
    <w:p w14:paraId="4DBF4251">
      <w:pPr>
        <w:spacing w:line="580" w:lineRule="exact"/>
        <w:ind w:firstLine="640"/>
        <w:jc w:val="both"/>
      </w:pPr>
      <w:r>
        <w:rPr>
          <w:rFonts w:ascii="仿宋_GB2312" w:hAnsi="仿宋_GB2312" w:eastAsia="仿宋_GB2312"/>
          <w:b w:val="0"/>
          <w:sz w:val="32"/>
        </w:rPr>
        <w:t>7.卫生健康支出(类)公共卫生(款)基本公共卫生服务(项):支出决算数为190.46万元，比上年决算增加58.78万元，增长44.64%,主要原因是：本年度基本公共卫生项目资金较上年增加。</w:t>
      </w:r>
    </w:p>
    <w:p w14:paraId="482969F3">
      <w:pPr>
        <w:spacing w:line="580" w:lineRule="exact"/>
        <w:ind w:firstLine="640"/>
        <w:jc w:val="both"/>
      </w:pPr>
      <w:r>
        <w:rPr>
          <w:rFonts w:ascii="仿宋_GB2312" w:hAnsi="仿宋_GB2312" w:eastAsia="仿宋_GB2312"/>
          <w:b w:val="0"/>
          <w:sz w:val="32"/>
        </w:rPr>
        <w:t>8.卫生健康支出(类)公共卫生(款)其他公共卫生支出(项):支出决算数为86.78万元，比上年决算减少21.94万元，下降20.18%,主要原因是：本年功能科目调整，村医补助项目支出上年度在本科目列支，本年调整至其他卫生健康管理事务支出科目列支，导致经费较上年减少。</w:t>
      </w:r>
    </w:p>
    <w:p w14:paraId="26A05533">
      <w:pPr>
        <w:spacing w:line="580" w:lineRule="exact"/>
        <w:ind w:firstLine="640"/>
        <w:jc w:val="both"/>
      </w:pPr>
      <w:r>
        <w:rPr>
          <w:rFonts w:ascii="仿宋_GB2312" w:hAnsi="仿宋_GB2312" w:eastAsia="仿宋_GB2312"/>
          <w:b w:val="0"/>
          <w:sz w:val="32"/>
        </w:rPr>
        <w:t>9.卫生健康支出(类)行政事业单位医疗(款)事业单位医疗(项):支出决算数为19.59万元，比上年决算增加2.09万元，增长11.94%,主要原因是：本年在职人员增加，人员工资调增，事业单位医疗支出较上年增加。</w:t>
      </w:r>
    </w:p>
    <w:p w14:paraId="589FD02A">
      <w:pPr>
        <w:spacing w:line="580" w:lineRule="exact"/>
        <w:ind w:firstLine="640"/>
        <w:jc w:val="both"/>
      </w:pPr>
      <w:r>
        <w:rPr>
          <w:rFonts w:ascii="仿宋_GB2312" w:hAnsi="仿宋_GB2312" w:eastAsia="仿宋_GB2312"/>
          <w:b w:val="0"/>
          <w:sz w:val="32"/>
        </w:rPr>
        <w:t>10.住房保障支出(类)住房改革支出(款)住房公积金(项):支出决算数为38.76万元，比上年决算增加5.59万元，增长16.85%,主要原因是：本年在职人员增加，人员工资调增，住房公积金支出较上年增加。</w:t>
      </w:r>
    </w:p>
    <w:p w14:paraId="180DB70E">
      <w:pPr>
        <w:spacing w:line="640" w:lineRule="exact"/>
        <w:ind w:firstLine="640"/>
        <w:jc w:val="both"/>
        <w:outlineLvl w:val="2"/>
      </w:pPr>
      <w:r>
        <w:rPr>
          <w:rFonts w:ascii="黑体" w:hAnsi="黑体" w:eastAsia="黑体"/>
          <w:sz w:val="32"/>
        </w:rPr>
        <w:t>六、一般公共预算财政拨款基本支出决算情况说明</w:t>
      </w:r>
    </w:p>
    <w:p w14:paraId="43275076">
      <w:pPr>
        <w:spacing w:line="580" w:lineRule="exact"/>
        <w:ind w:firstLine="640"/>
        <w:jc w:val="both"/>
      </w:pPr>
      <w:r>
        <w:rPr>
          <w:rFonts w:ascii="仿宋_GB2312" w:hAnsi="仿宋_GB2312" w:eastAsia="仿宋_GB2312"/>
          <w:b w:val="0"/>
          <w:sz w:val="32"/>
        </w:rPr>
        <w:t>2024年度一般公共预算财政拨款基本支出477.77万元，其中：</w:t>
      </w:r>
      <w:r>
        <w:rPr>
          <w:rFonts w:ascii="仿宋_GB2312" w:hAnsi="仿宋_GB2312" w:eastAsia="仿宋_GB2312"/>
          <w:b/>
          <w:sz w:val="32"/>
        </w:rPr>
        <w:t>人员经费477.77万元，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26171DA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8C5108C">
      <w:pPr>
        <w:spacing w:line="640" w:lineRule="exact"/>
        <w:ind w:firstLine="640"/>
        <w:jc w:val="both"/>
        <w:outlineLvl w:val="2"/>
      </w:pPr>
      <w:r>
        <w:rPr>
          <w:rFonts w:ascii="黑体" w:hAnsi="黑体" w:eastAsia="黑体"/>
          <w:sz w:val="32"/>
        </w:rPr>
        <w:t>七、政府性基金预算财政拨款收入支出决算情况说明</w:t>
      </w:r>
    </w:p>
    <w:p w14:paraId="0119FCCE">
      <w:pPr>
        <w:spacing w:line="580" w:lineRule="exact"/>
        <w:ind w:firstLine="640"/>
        <w:jc w:val="both"/>
      </w:pPr>
      <w:r>
        <w:rPr>
          <w:rFonts w:ascii="仿宋_GB2312" w:hAnsi="仿宋_GB2312" w:eastAsia="仿宋_GB2312"/>
          <w:b/>
          <w:sz w:val="32"/>
        </w:rPr>
        <w:t>2024年度政府性基金预算财政拨款收入总计0.51万元，</w:t>
      </w:r>
      <w:r>
        <w:rPr>
          <w:rFonts w:ascii="仿宋_GB2312" w:hAnsi="仿宋_GB2312" w:eastAsia="仿宋_GB2312"/>
          <w:b w:val="0"/>
          <w:sz w:val="32"/>
        </w:rPr>
        <w:t>其中：年初结转和结余0.00万元，本年收入0.51万元。</w:t>
      </w:r>
      <w:r>
        <w:rPr>
          <w:rFonts w:ascii="仿宋_GB2312" w:hAnsi="仿宋_GB2312" w:eastAsia="仿宋_GB2312"/>
          <w:b/>
          <w:sz w:val="32"/>
        </w:rPr>
        <w:t>政府性基金预算财政拨款支出总计0.51万元，</w:t>
      </w:r>
      <w:r>
        <w:rPr>
          <w:rFonts w:ascii="仿宋_GB2312" w:hAnsi="仿宋_GB2312" w:eastAsia="仿宋_GB2312"/>
          <w:b w:val="0"/>
          <w:sz w:val="32"/>
        </w:rPr>
        <w:t>其中：年末结转和结余0.00万元，本年支出0.51万元。</w:t>
      </w:r>
    </w:p>
    <w:p w14:paraId="53349A8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增加0.51万元，增长100.00%，主要原因是：本年增加老年健康与医养结合服务项目资金。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年初预算数0.51万元，决算数0.51万元，预决算差异率0.00%，主要原因是：严格按照预算执行，预决算无差异。</w:t>
      </w:r>
    </w:p>
    <w:p w14:paraId="62C9333D">
      <w:pPr>
        <w:spacing w:line="580" w:lineRule="exact"/>
        <w:ind w:firstLine="640"/>
        <w:jc w:val="both"/>
      </w:pPr>
      <w:r>
        <w:rPr>
          <w:rFonts w:ascii="仿宋_GB2312" w:hAnsi="仿宋_GB2312" w:eastAsia="仿宋_GB2312"/>
          <w:b w:val="0"/>
          <w:sz w:val="32"/>
        </w:rPr>
        <w:t>政府性基金预算财政拨款支出0.51万元。</w:t>
      </w:r>
    </w:p>
    <w:p w14:paraId="4626CB30">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1.其他支出(类)彩票公益金安排的支出(款)用于社会福利的彩票公益金支出(项):支出决算数为0.51万元，比上年决算增加0.51万元，增长100.00%,主要原因是：本年增加老年健康与医养结合服务项目资金。</w:t>
      </w:r>
    </w:p>
    <w:p w14:paraId="6C9C6BA6">
      <w:pPr>
        <w:spacing w:line="640" w:lineRule="exact"/>
        <w:ind w:firstLine="640"/>
        <w:jc w:val="both"/>
        <w:outlineLvl w:val="2"/>
      </w:pPr>
      <w:r>
        <w:rPr>
          <w:rFonts w:ascii="黑体" w:hAnsi="黑体" w:eastAsia="黑体"/>
          <w:sz w:val="32"/>
        </w:rPr>
        <w:t>八、国有资本经营预算财政拨款收入支出决算情况说明</w:t>
      </w:r>
    </w:p>
    <w:p w14:paraId="0185927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03C6C6E">
      <w:pPr>
        <w:spacing w:line="640" w:lineRule="exact"/>
        <w:ind w:firstLine="640"/>
        <w:jc w:val="both"/>
        <w:outlineLvl w:val="2"/>
      </w:pPr>
      <w:r>
        <w:rPr>
          <w:rFonts w:ascii="黑体" w:hAnsi="黑体" w:eastAsia="黑体"/>
          <w:sz w:val="32"/>
        </w:rPr>
        <w:t>九、财政拨款“三公”经费支出决算情况说明</w:t>
      </w:r>
    </w:p>
    <w:p w14:paraId="63511E2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8D027EA">
      <w:pPr>
        <w:spacing w:line="580" w:lineRule="exact"/>
        <w:ind w:firstLine="640"/>
        <w:jc w:val="both"/>
      </w:pPr>
      <w:r>
        <w:rPr>
          <w:rFonts w:ascii="仿宋_GB2312" w:hAnsi="仿宋_GB2312" w:eastAsia="仿宋_GB2312"/>
          <w:b/>
          <w:sz w:val="32"/>
        </w:rPr>
        <w:t>具体情况如下：</w:t>
      </w:r>
    </w:p>
    <w:p w14:paraId="4C30C78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FA72E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救护车1辆，车辆费用未使用财政拨款公务用车运行维护费支付，由单位自有资金经费保障。</w:t>
      </w:r>
    </w:p>
    <w:p w14:paraId="0281629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DCC883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C5A3397">
      <w:pPr>
        <w:spacing w:line="640" w:lineRule="exact"/>
        <w:ind w:firstLine="640"/>
        <w:jc w:val="both"/>
        <w:outlineLvl w:val="2"/>
      </w:pPr>
      <w:r>
        <w:rPr>
          <w:rFonts w:ascii="黑体" w:hAnsi="黑体" w:eastAsia="黑体"/>
          <w:sz w:val="32"/>
        </w:rPr>
        <w:t>十、其他重要事项的情况说明</w:t>
      </w:r>
    </w:p>
    <w:p w14:paraId="159F80C3">
      <w:pPr>
        <w:spacing w:line="640" w:lineRule="exact"/>
        <w:ind w:firstLine="640"/>
        <w:jc w:val="both"/>
        <w:outlineLvl w:val="3"/>
      </w:pPr>
      <w:r>
        <w:rPr>
          <w:rFonts w:ascii="楷体_GB2312" w:hAnsi="楷体_GB2312" w:eastAsia="楷体_GB2312"/>
          <w:b/>
          <w:sz w:val="32"/>
        </w:rPr>
        <w:t>（一）机关运行经费及公用经费支出情况</w:t>
      </w:r>
    </w:p>
    <w:p w14:paraId="3710A4E7">
      <w:pPr>
        <w:spacing w:line="580" w:lineRule="exact"/>
        <w:ind w:firstLine="640"/>
        <w:jc w:val="both"/>
      </w:pPr>
      <w:r>
        <w:rPr>
          <w:rFonts w:ascii="仿宋_GB2312" w:hAnsi="仿宋_GB2312" w:eastAsia="仿宋_GB2312"/>
          <w:b w:val="0"/>
          <w:sz w:val="32"/>
        </w:rPr>
        <w:t>2024年度伽师县铁日木乡卫生院（事业单位）公用经费支出0.00万元，比上年增加0.00万元，增长0.00%，主要原因是：2023年与2024年均未安排公用经费支出。</w:t>
      </w:r>
    </w:p>
    <w:p w14:paraId="42957169">
      <w:pPr>
        <w:spacing w:line="640" w:lineRule="exact"/>
        <w:ind w:firstLine="640"/>
        <w:jc w:val="both"/>
        <w:outlineLvl w:val="3"/>
      </w:pPr>
      <w:r>
        <w:rPr>
          <w:rFonts w:ascii="楷体_GB2312" w:hAnsi="楷体_GB2312" w:eastAsia="楷体_GB2312"/>
          <w:b/>
          <w:sz w:val="32"/>
        </w:rPr>
        <w:t>（二）政府采购情况</w:t>
      </w:r>
    </w:p>
    <w:p w14:paraId="6EA7879D">
      <w:pPr>
        <w:spacing w:line="580" w:lineRule="exact"/>
        <w:ind w:firstLine="640"/>
        <w:jc w:val="both"/>
      </w:pPr>
      <w:r>
        <w:rPr>
          <w:rFonts w:ascii="仿宋_GB2312" w:hAnsi="仿宋_GB2312" w:eastAsia="仿宋_GB2312"/>
          <w:b w:val="0"/>
          <w:sz w:val="32"/>
        </w:rPr>
        <w:t>2024年度政府采购支出总额1.40万元，其中：政府采购货物支出0.34万元、政府采购工程支出0.00万元、政府采购服务支出1.06万元。</w:t>
      </w:r>
    </w:p>
    <w:p w14:paraId="0B897838">
      <w:pPr>
        <w:spacing w:line="580" w:lineRule="exact"/>
        <w:ind w:firstLine="640"/>
        <w:jc w:val="both"/>
      </w:pPr>
      <w:r>
        <w:rPr>
          <w:rFonts w:ascii="仿宋_GB2312" w:hAnsi="仿宋_GB2312" w:eastAsia="仿宋_GB2312"/>
          <w:b w:val="0"/>
          <w:sz w:val="32"/>
        </w:rPr>
        <w:t>授予中小企业合同金额1.40万元，占政府采购支出总额的100.00%，其中：授予小微企业合同金额1.40万元，占政府采购支出总额的100.00%。</w:t>
      </w:r>
    </w:p>
    <w:p w14:paraId="4A3D47AD">
      <w:pPr>
        <w:spacing w:line="640" w:lineRule="exact"/>
        <w:ind w:firstLine="640"/>
        <w:jc w:val="both"/>
        <w:outlineLvl w:val="3"/>
      </w:pPr>
      <w:r>
        <w:rPr>
          <w:rFonts w:ascii="楷体_GB2312" w:hAnsi="楷体_GB2312" w:eastAsia="楷体_GB2312"/>
          <w:b/>
          <w:sz w:val="32"/>
        </w:rPr>
        <w:t>（三）国有资产占用情况说明</w:t>
      </w:r>
    </w:p>
    <w:p w14:paraId="1F818759">
      <w:pPr>
        <w:spacing w:line="580" w:lineRule="exact"/>
        <w:ind w:firstLine="640"/>
        <w:jc w:val="both"/>
      </w:pPr>
      <w:r>
        <w:rPr>
          <w:rFonts w:ascii="仿宋_GB2312" w:hAnsi="仿宋_GB2312" w:eastAsia="仿宋_GB2312"/>
          <w:b w:val="0"/>
          <w:sz w:val="32"/>
        </w:rPr>
        <w:t>截至2024年12月31日，房屋3,026.92平方米，价值507.47万元。车辆1辆，价值25.04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3C3EA3DA">
      <w:pPr>
        <w:spacing w:line="640" w:lineRule="exact"/>
        <w:ind w:firstLine="640"/>
        <w:jc w:val="both"/>
        <w:outlineLvl w:val="2"/>
      </w:pPr>
      <w:r>
        <w:rPr>
          <w:rFonts w:ascii="黑体" w:hAnsi="黑体" w:eastAsia="黑体"/>
          <w:sz w:val="32"/>
        </w:rPr>
        <w:t>十一、预算绩效的情况说明</w:t>
      </w:r>
    </w:p>
    <w:p w14:paraId="4F3DCB1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1FC7CCEC">
      <w:r>
        <w:br w:type="page"/>
      </w:r>
    </w:p>
    <w:p w14:paraId="3873AB9C">
      <w:pPr>
        <w:spacing w:line="640" w:lineRule="exact"/>
        <w:ind w:firstLine="640"/>
        <w:jc w:val="both"/>
        <w:outlineLvl w:val="2"/>
      </w:pPr>
      <w:r>
        <w:rPr>
          <w:rFonts w:ascii="黑体" w:hAnsi="黑体" w:eastAsia="黑体"/>
          <w:sz w:val="32"/>
        </w:rPr>
        <w:t>十二、其他需说明的事项</w:t>
      </w:r>
    </w:p>
    <w:p w14:paraId="3B082CD1">
      <w:pPr>
        <w:spacing w:line="580" w:lineRule="exact"/>
        <w:ind w:firstLine="640"/>
        <w:jc w:val="both"/>
      </w:pPr>
      <w:r>
        <w:rPr>
          <w:rFonts w:ascii="仿宋_GB2312" w:hAnsi="仿宋_GB2312" w:eastAsia="仿宋_GB2312"/>
          <w:b w:val="0"/>
          <w:sz w:val="32"/>
        </w:rPr>
        <w:t>本年度本单位</w:t>
      </w:r>
      <w:bookmarkStart w:id="0" w:name="_GoBack"/>
      <w:r>
        <w:rPr>
          <w:rFonts w:ascii="仿宋_GB2312" w:hAnsi="仿宋_GB2312" w:eastAsia="仿宋_GB2312"/>
          <w:b w:val="0"/>
          <w:sz w:val="32"/>
        </w:rPr>
        <w:t>整体绩效自评表由伽师县卫生健康委员会编报并公开。</w:t>
      </w:r>
    </w:p>
    <w:p w14:paraId="3ED0EF8F">
      <w:r>
        <w:br w:type="page"/>
      </w:r>
    </w:p>
    <w:bookmarkEnd w:id="0"/>
    <w:p w14:paraId="5FB32968">
      <w:pPr>
        <w:spacing w:line="240" w:lineRule="auto"/>
        <w:jc w:val="center"/>
        <w:outlineLvl w:val="1"/>
      </w:pPr>
      <w:r>
        <w:rPr>
          <w:rFonts w:ascii="黑体" w:hAnsi="黑体" w:eastAsia="黑体"/>
          <w:sz w:val="32"/>
        </w:rPr>
        <w:t>第三部分 专业名词解释</w:t>
      </w:r>
    </w:p>
    <w:p w14:paraId="0528C69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899FF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F4439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3CEF7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A0E1BE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FFC9E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26154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E7DF6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48B5C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753E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81B1B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0B6B5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05BD8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9F4C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BF87026">
      <w:r>
        <w:br w:type="page"/>
      </w:r>
    </w:p>
    <w:p w14:paraId="50D6D500">
      <w:pPr>
        <w:spacing w:line="240" w:lineRule="auto"/>
        <w:jc w:val="center"/>
        <w:outlineLvl w:val="1"/>
      </w:pPr>
      <w:r>
        <w:rPr>
          <w:rFonts w:ascii="黑体" w:hAnsi="黑体" w:eastAsia="黑体"/>
          <w:sz w:val="32"/>
        </w:rPr>
        <w:t>第四部分 部门决算报表（见附表）</w:t>
      </w:r>
    </w:p>
    <w:p w14:paraId="1B21DBF6">
      <w:pPr>
        <w:spacing w:line="240" w:lineRule="auto"/>
        <w:ind w:firstLine="640"/>
        <w:jc w:val="both"/>
      </w:pPr>
      <w:r>
        <w:rPr>
          <w:rFonts w:ascii="仿宋_GB2312" w:hAnsi="仿宋_GB2312" w:eastAsia="仿宋_GB2312"/>
          <w:b w:val="0"/>
          <w:sz w:val="32"/>
        </w:rPr>
        <w:t>一、《收入支出决算总表》</w:t>
      </w:r>
    </w:p>
    <w:p w14:paraId="78C79857">
      <w:pPr>
        <w:spacing w:line="240" w:lineRule="auto"/>
        <w:ind w:firstLine="640"/>
        <w:jc w:val="both"/>
      </w:pPr>
      <w:r>
        <w:rPr>
          <w:rFonts w:ascii="仿宋_GB2312" w:hAnsi="仿宋_GB2312" w:eastAsia="仿宋_GB2312"/>
          <w:b w:val="0"/>
          <w:sz w:val="32"/>
        </w:rPr>
        <w:t>二、《收入决算表》</w:t>
      </w:r>
    </w:p>
    <w:p w14:paraId="3E175036">
      <w:pPr>
        <w:spacing w:line="240" w:lineRule="auto"/>
        <w:ind w:firstLine="640"/>
        <w:jc w:val="both"/>
      </w:pPr>
      <w:r>
        <w:rPr>
          <w:rFonts w:ascii="仿宋_GB2312" w:hAnsi="仿宋_GB2312" w:eastAsia="仿宋_GB2312"/>
          <w:b w:val="0"/>
          <w:sz w:val="32"/>
        </w:rPr>
        <w:t>三、《支出决算表》</w:t>
      </w:r>
    </w:p>
    <w:p w14:paraId="260383D1">
      <w:pPr>
        <w:spacing w:line="240" w:lineRule="auto"/>
        <w:ind w:firstLine="640"/>
        <w:jc w:val="both"/>
      </w:pPr>
      <w:r>
        <w:rPr>
          <w:rFonts w:ascii="仿宋_GB2312" w:hAnsi="仿宋_GB2312" w:eastAsia="仿宋_GB2312"/>
          <w:b w:val="0"/>
          <w:sz w:val="32"/>
        </w:rPr>
        <w:t>四、《财政拨款收入支出决算总表》</w:t>
      </w:r>
    </w:p>
    <w:p w14:paraId="430AA889">
      <w:pPr>
        <w:spacing w:line="240" w:lineRule="auto"/>
        <w:ind w:firstLine="640"/>
        <w:jc w:val="both"/>
      </w:pPr>
      <w:r>
        <w:rPr>
          <w:rFonts w:ascii="仿宋_GB2312" w:hAnsi="仿宋_GB2312" w:eastAsia="仿宋_GB2312"/>
          <w:b w:val="0"/>
          <w:sz w:val="32"/>
        </w:rPr>
        <w:t>五、《一般公共预算财政拨款支出决算表》</w:t>
      </w:r>
    </w:p>
    <w:p w14:paraId="5C4FC528">
      <w:pPr>
        <w:spacing w:line="240" w:lineRule="auto"/>
        <w:ind w:firstLine="640"/>
        <w:jc w:val="both"/>
      </w:pPr>
      <w:r>
        <w:rPr>
          <w:rFonts w:ascii="仿宋_GB2312" w:hAnsi="仿宋_GB2312" w:eastAsia="仿宋_GB2312"/>
          <w:b w:val="0"/>
          <w:sz w:val="32"/>
        </w:rPr>
        <w:t>六、《一般公共预算财政拨款基本支出决算表》</w:t>
      </w:r>
    </w:p>
    <w:p w14:paraId="15B6247F">
      <w:pPr>
        <w:spacing w:line="240" w:lineRule="auto"/>
        <w:ind w:firstLine="640"/>
        <w:jc w:val="both"/>
      </w:pPr>
      <w:r>
        <w:rPr>
          <w:rFonts w:ascii="仿宋_GB2312" w:hAnsi="仿宋_GB2312" w:eastAsia="仿宋_GB2312"/>
          <w:b w:val="0"/>
          <w:sz w:val="32"/>
        </w:rPr>
        <w:t>七、《政府性基金预算财政拨款收入支出决算表》</w:t>
      </w:r>
    </w:p>
    <w:p w14:paraId="69E029D8">
      <w:pPr>
        <w:spacing w:line="240" w:lineRule="auto"/>
        <w:ind w:firstLine="640"/>
        <w:jc w:val="both"/>
      </w:pPr>
      <w:r>
        <w:rPr>
          <w:rFonts w:ascii="仿宋_GB2312" w:hAnsi="仿宋_GB2312" w:eastAsia="仿宋_GB2312"/>
          <w:b w:val="0"/>
          <w:sz w:val="32"/>
        </w:rPr>
        <w:t>八、《国有资本经营预算财政拨款收入支出决算表》</w:t>
      </w:r>
    </w:p>
    <w:p w14:paraId="1C0B11E7">
      <w:pPr>
        <w:spacing w:line="240" w:lineRule="auto"/>
        <w:ind w:firstLine="640"/>
        <w:jc w:val="both"/>
      </w:pPr>
      <w:r>
        <w:rPr>
          <w:rFonts w:ascii="仿宋_GB2312" w:hAnsi="仿宋_GB2312" w:eastAsia="仿宋_GB2312"/>
          <w:b w:val="0"/>
          <w:sz w:val="32"/>
        </w:rPr>
        <w:t>九、《财政拨款“三公”经费支出决算表》</w:t>
      </w:r>
    </w:p>
    <w:p w14:paraId="3D57E87A">
      <w:pPr>
        <w:spacing w:line="240" w:lineRule="auto"/>
        <w:ind w:firstLine="640"/>
        <w:jc w:val="both"/>
      </w:pPr>
    </w:p>
    <w:p w14:paraId="04C67BEE">
      <w:pPr>
        <w:spacing w:line="240" w:lineRule="auto"/>
        <w:ind w:firstLine="640"/>
        <w:jc w:val="both"/>
      </w:pPr>
    </w:p>
    <w:p w14:paraId="6EEEF4B9">
      <w:pPr>
        <w:spacing w:line="240" w:lineRule="auto"/>
        <w:ind w:firstLine="640"/>
        <w:jc w:val="both"/>
      </w:pPr>
    </w:p>
    <w:p w14:paraId="79AF41F8">
      <w:pPr>
        <w:spacing w:line="240" w:lineRule="auto"/>
        <w:ind w:firstLine="640"/>
        <w:jc w:val="both"/>
      </w:pPr>
    </w:p>
    <w:p w14:paraId="76DC1D0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AE6484-72CE-4D89-9D6B-E13DE22873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EA6C6CB-EFA3-4759-B620-A01C054A134F}"/>
  </w:font>
  <w:font w:name="仿宋_GB2312">
    <w:altName w:val="仿宋"/>
    <w:panose1 w:val="02010609030101010101"/>
    <w:charset w:val="86"/>
    <w:family w:val="modern"/>
    <w:pitch w:val="default"/>
    <w:sig w:usb0="00000000" w:usb1="00000000" w:usb2="00000000" w:usb3="00000000" w:csb0="00040000" w:csb1="00000000"/>
    <w:embedRegular r:id="rId3" w:fontKey="{9B1764E1-E4D2-4B78-ACA8-9727144EE70F}"/>
  </w:font>
  <w:font w:name="楷体_GB2312">
    <w:altName w:val="楷体"/>
    <w:panose1 w:val="00000000000000000000"/>
    <w:charset w:val="00"/>
    <w:family w:val="auto"/>
    <w:pitch w:val="default"/>
    <w:sig w:usb0="00000000" w:usb1="00000000" w:usb2="00000000" w:usb3="00000000" w:csb0="00000000" w:csb1="00000000"/>
    <w:embedRegular r:id="rId4" w:fontKey="{1AED3555-901C-4347-942D-1FE21A24024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BA1A89"/>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5758</Words>
  <Characters>6502</Characters>
  <Lines>0</Lines>
  <Paragraphs>0</Paragraphs>
  <TotalTime>4</TotalTime>
  <ScaleCrop>false</ScaleCrop>
  <LinksUpToDate>false</LinksUpToDate>
  <CharactersWithSpaces>6512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2025-09-17T10:13:49Z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