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喀什地区伽师县红十字会2024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开展救灾准备工作，在自然灾害和突发事件中，对伤病人员和其他受害者进行救助。</w:t>
      </w:r>
    </w:p>
    <w:p>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普及卫生救护和防病知识，进行初级卫生救护培训，组织群众参加现场救护，开展输血献血工作，推动无偿献血，开展其他人道主义服务活动。</w:t>
      </w:r>
    </w:p>
    <w:p>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开展红十字会青少年活动。</w:t>
      </w:r>
    </w:p>
    <w:p>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参加国际人道主义援助工作。</w:t>
      </w:r>
    </w:p>
    <w:p>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宣传国际红十字会和红新月运动的基本原则和日内瓦公约及其</w:t>
      </w:r>
      <w:r>
        <w:rPr>
          <w:rFonts w:hint="eastAsia" w:ascii="仿宋_GB2312" w:hAnsi="仿宋_GB2312" w:eastAsia="仿宋_GB2312"/>
          <w:sz w:val="32"/>
          <w:lang w:eastAsia="zh-CN"/>
        </w:rPr>
        <w:t>附</w:t>
      </w:r>
      <w:r>
        <w:rPr>
          <w:rFonts w:ascii="仿宋_GB2312" w:hAnsi="仿宋_GB2312" w:eastAsia="仿宋_GB2312"/>
          <w:sz w:val="32"/>
        </w:rPr>
        <w:t>议书。</w:t>
      </w:r>
    </w:p>
    <w:p>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依照车队红十字会和红新月运动的基本原则，完成人民政府委托事宜。</w:t>
      </w:r>
    </w:p>
    <w:p>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依照日内瓦公约及其附加议定书的有关规定开展工作。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喀什地区伽师县红十字会2024年度，实有人数7人，其中：在职人员2人，增加1人；离休人员0人，增加0人；退休人员5人,增加1人。</w:t>
      </w:r>
    </w:p>
    <w:p>
      <w:pPr>
        <w:spacing w:line="580" w:lineRule="exact"/>
        <w:ind w:firstLine="640"/>
        <w:jc w:val="both"/>
      </w:pPr>
      <w:r>
        <w:rPr>
          <w:rFonts w:ascii="仿宋_GB2312" w:hAnsi="仿宋_GB2312" w:eastAsia="仿宋_GB2312"/>
          <w:sz w:val="32"/>
        </w:rPr>
        <w:t>喀什地区伽师县红十字会无下属预算单位，下设1个科室，分别是：办公室。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2024年度收入总计52.79万元，</w:t>
      </w:r>
      <w:r>
        <w:rPr>
          <w:rFonts w:ascii="仿宋_GB2312" w:hAnsi="仿宋_GB2312" w:eastAsia="仿宋_GB2312"/>
          <w:b w:val="0"/>
          <w:sz w:val="32"/>
        </w:rPr>
        <w:t>其中：本年收入合计52.79万元，使用非财政拨款结余（含专用结余）0.00万元，年初结转和结余0.00万元。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2024年度支出总计52.79万元，</w:t>
      </w:r>
      <w:r>
        <w:rPr>
          <w:rFonts w:ascii="仿宋_GB2312" w:hAnsi="仿宋_GB2312" w:eastAsia="仿宋_GB2312"/>
          <w:b w:val="0"/>
          <w:sz w:val="32"/>
        </w:rPr>
        <w:t>其中：本年支出合计52.79万元，结余分配0.00万元，年末结转和结余0.00万元。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收入支出总体与上年相比，增加6.96万元，增长15.19%，主要原因是：本年在职人员增加，</w:t>
      </w:r>
      <w:bookmarkStart w:id="0" w:name="_GoBack"/>
      <w:bookmarkEnd w:id="0"/>
      <w:r>
        <w:rPr>
          <w:rFonts w:hint="eastAsia" w:ascii="仿宋_GB2312" w:hAnsi="仿宋_GB2312" w:eastAsia="仿宋_GB2312"/>
          <w:b w:val="0"/>
          <w:sz w:val="32"/>
          <w:lang w:eastAsia="zh-CN"/>
        </w:rPr>
        <w:t>在职人员工资、社保、公积金基数调增，</w:t>
      </w:r>
      <w:r>
        <w:rPr>
          <w:rFonts w:ascii="仿宋_GB2312" w:hAnsi="仿宋_GB2312" w:eastAsia="仿宋_GB2312"/>
          <w:b w:val="0"/>
          <w:sz w:val="32"/>
        </w:rPr>
        <w:t>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本年收入52.79万元，</w:t>
      </w:r>
      <w:r>
        <w:rPr>
          <w:rFonts w:ascii="仿宋_GB2312" w:hAnsi="仿宋_GB2312" w:eastAsia="仿宋_GB2312"/>
          <w:b w:val="0"/>
          <w:sz w:val="32"/>
        </w:rPr>
        <w:t>其中：财政拨款收入52.79万元，占100.00%；上级补助收入0.00万元，占0.00%；事业收入0.00万元，占0.00%；经营收入0.00万元，占0.00%；附属单位上缴收入0.00万元，占0.00%；其他收入0.00万元，占0.00%。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本年支出52.79万元，</w:t>
      </w:r>
      <w:r>
        <w:rPr>
          <w:rFonts w:ascii="仿宋_GB2312" w:hAnsi="仿宋_GB2312" w:eastAsia="仿宋_GB2312"/>
          <w:b w:val="0"/>
          <w:sz w:val="32"/>
        </w:rPr>
        <w:t>其中：基本支出52.79万元，占100.00%；项目支出0.00万元，占0.00%；上缴上级支出0.00万元，占0.00%；经营支出0.00万元，占0.00%；对附属单位补助支出0.00万元，占0.00%。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2024年度财政拨款收入总计52.79万元，</w:t>
      </w:r>
      <w:r>
        <w:rPr>
          <w:rFonts w:ascii="仿宋_GB2312" w:hAnsi="仿宋_GB2312" w:eastAsia="仿宋_GB2312"/>
          <w:b w:val="0"/>
          <w:sz w:val="32"/>
        </w:rPr>
        <w:t>其中：年初财政拨款结转和结余0.00万元，本年财政拨款收入52.79万元。</w:t>
      </w:r>
      <w:r>
        <w:rPr>
          <w:rFonts w:ascii="仿宋_GB2312" w:hAnsi="仿宋_GB2312" w:eastAsia="仿宋_GB2312"/>
          <w:b/>
          <w:sz w:val="32"/>
        </w:rPr>
        <w:t>财政拨款支出总计52.79万元，</w:t>
      </w:r>
      <w:r>
        <w:rPr>
          <w:rFonts w:ascii="仿宋_GB2312" w:hAnsi="仿宋_GB2312" w:eastAsia="仿宋_GB2312"/>
          <w:b w:val="0"/>
          <w:sz w:val="32"/>
        </w:rPr>
        <w:t>其中：年末财政拨款结转和结余0.00万元，本年财政拨款支出52.79万元。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增加6.96万元，增长15.19%，主要原因是：本年在职人员增加，</w:t>
      </w:r>
      <w:r>
        <w:rPr>
          <w:rFonts w:hint="eastAsia" w:ascii="仿宋_GB2312" w:hAnsi="仿宋_GB2312" w:eastAsia="仿宋_GB2312"/>
          <w:b w:val="0"/>
          <w:sz w:val="32"/>
          <w:lang w:eastAsia="zh-CN"/>
        </w:rPr>
        <w:t>在职人员工资、社保、公积金基数调增，</w:t>
      </w:r>
      <w:r>
        <w:rPr>
          <w:rFonts w:ascii="仿宋_GB2312" w:hAnsi="仿宋_GB2312" w:eastAsia="仿宋_GB2312"/>
          <w:b w:val="0"/>
          <w:sz w:val="32"/>
        </w:rPr>
        <w:t>人员经费增加。</w:t>
      </w:r>
      <w:r>
        <w:rPr>
          <w:rFonts w:ascii="仿宋_GB2312" w:hAnsi="仿宋_GB2312" w:eastAsia="仿宋_GB2312"/>
          <w:b/>
          <w:sz w:val="32"/>
        </w:rPr>
        <w:t>与年初预算相比，</w:t>
      </w:r>
      <w:r>
        <w:rPr>
          <w:rFonts w:ascii="仿宋_GB2312" w:hAnsi="仿宋_GB2312" w:eastAsia="仿宋_GB2312"/>
          <w:b w:val="0"/>
          <w:sz w:val="32"/>
        </w:rPr>
        <w:t>年初预算数29.25万元，决算数52.79万元，预决算差异率80.48%，主要原因是：本年在职人员增加，年中追加人员经费及人员工资、社保、公积金基数调增部分资金，导致预决算存在差异。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2024年度一般公共预算财政拨款支出52.79万元，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增加6.96万元，增长15.19%，主要原因是：本年在职人员增加，相关人员经费增加。</w:t>
      </w:r>
      <w:r>
        <w:rPr>
          <w:rFonts w:ascii="仿宋_GB2312" w:hAnsi="仿宋_GB2312" w:eastAsia="仿宋_GB2312"/>
          <w:b/>
          <w:sz w:val="32"/>
        </w:rPr>
        <w:t>与年初预算相比,</w:t>
      </w:r>
      <w:r>
        <w:rPr>
          <w:rFonts w:ascii="仿宋_GB2312" w:hAnsi="仿宋_GB2312" w:eastAsia="仿宋_GB2312"/>
          <w:b w:val="0"/>
          <w:sz w:val="32"/>
        </w:rPr>
        <w:t>年初预算数29.25万元，决算数52.79万元，预决算差异率80.48%，主要原因是：本年在职人员增加，年中追加人员经费及人员工资、社保、公积金基数调增部分资金，导致预决算存在差异。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1.社会保障和就业支出(类)49.04万元,占92.90%。</w:t>
      </w:r>
    </w:p>
    <w:p>
      <w:pPr>
        <w:spacing w:line="580" w:lineRule="exact"/>
        <w:ind w:firstLine="640"/>
        <w:jc w:val="both"/>
      </w:pPr>
      <w:r>
        <w:rPr>
          <w:rFonts w:ascii="仿宋_GB2312" w:hAnsi="仿宋_GB2312" w:eastAsia="仿宋_GB2312"/>
          <w:b w:val="0"/>
          <w:sz w:val="32"/>
        </w:rPr>
        <w:t>2.卫生健康支出(类)1.51万元,占2.86%。</w:t>
      </w:r>
    </w:p>
    <w:p>
      <w:pPr>
        <w:spacing w:line="580" w:lineRule="exact"/>
        <w:ind w:firstLine="640"/>
        <w:jc w:val="both"/>
      </w:pPr>
      <w:r>
        <w:rPr>
          <w:rFonts w:ascii="仿宋_GB2312" w:hAnsi="仿宋_GB2312" w:eastAsia="仿宋_GB2312"/>
          <w:b w:val="0"/>
          <w:sz w:val="32"/>
        </w:rPr>
        <w:t>3.住房保障支出(类)2.24万元,占4.24%。</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1.社会保障和就业支出(类)行政事业单位养老支出(款)行政单位离退休(项):支出决算数为6.33万元，比上年决算增加1.78万元，增长39.12%,主要原因是：本年退休人员增加1人，退休费支出增加。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2.74万元，比上年决算增加0.50万元，增长22.32%,主要原因是：本年在职人员增加，养老保险缴费较上年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0.00万元，比上年决算减少6.86万元，下降100.00%,主要原因是：本年新增退休人员职业年金次年做实，相应支出减少。</w:t>
      </w:r>
    </w:p>
    <w:p>
      <w:pPr>
        <w:spacing w:line="580" w:lineRule="exact"/>
        <w:ind w:firstLine="640"/>
        <w:jc w:val="both"/>
      </w:pPr>
      <w:r>
        <w:rPr>
          <w:rFonts w:ascii="仿宋_GB2312" w:hAnsi="仿宋_GB2312" w:eastAsia="仿宋_GB2312"/>
          <w:b w:val="0"/>
          <w:sz w:val="32"/>
        </w:rPr>
        <w:t>4.社会保障和就业支出(类)红十字事业(款)行政运行(项):支出决算数为39.98万元，比上年决算增加10.86万元，增长37.29%,主要原因是：本年新增在职人员，人员经费增加，导致经费较上年有所增加。</w:t>
      </w:r>
    </w:p>
    <w:p>
      <w:pPr>
        <w:spacing w:line="580" w:lineRule="exact"/>
        <w:ind w:firstLine="640"/>
        <w:jc w:val="both"/>
      </w:pPr>
      <w:r>
        <w:rPr>
          <w:rFonts w:ascii="仿宋_GB2312" w:hAnsi="仿宋_GB2312" w:eastAsia="仿宋_GB2312"/>
          <w:b w:val="0"/>
          <w:sz w:val="32"/>
        </w:rPr>
        <w:t>5.卫生健康支出(类)行政事业单位医疗(款)行政单位医疗(项):支出决算数为1.16万元，比上年决算增加0.16万元，增长16.00%,主要原因是：本年在职人员增加，行政单位医疗支出较上年增加。</w:t>
      </w:r>
    </w:p>
    <w:p>
      <w:pPr>
        <w:spacing w:line="580" w:lineRule="exact"/>
        <w:ind w:firstLine="640"/>
        <w:jc w:val="both"/>
      </w:pPr>
      <w:r>
        <w:rPr>
          <w:rFonts w:ascii="仿宋_GB2312" w:hAnsi="仿宋_GB2312" w:eastAsia="仿宋_GB2312"/>
          <w:b w:val="0"/>
          <w:sz w:val="32"/>
        </w:rPr>
        <w:t>6.卫生健康支出(类)行政事业单位医疗(款)公务员医疗补助(项):支出决算数为0.34万元，比上年决算增加0.04万元，增长13.33%,主要原因是：本年在职人员增加，公务员医疗补助较上年增加。</w:t>
      </w:r>
    </w:p>
    <w:p>
      <w:pPr>
        <w:spacing w:line="580" w:lineRule="exact"/>
        <w:ind w:firstLine="640"/>
        <w:jc w:val="both"/>
      </w:pPr>
      <w:r>
        <w:rPr>
          <w:rFonts w:ascii="仿宋_GB2312" w:hAnsi="仿宋_GB2312" w:eastAsia="仿宋_GB2312"/>
          <w:b w:val="0"/>
          <w:sz w:val="32"/>
        </w:rPr>
        <w:t>7.住房保障支出(类)住房改革支出(款)住房公积金(项):支出决算数为2.24万元，比上年决算增加0.49万元，增长28.00%,主要原因是：本年在职人员增加，住房公积金支出较上年增加。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2024年度一般公共预算财政拨款基本支出52.79万元，其中：</w:t>
      </w:r>
      <w:r>
        <w:rPr>
          <w:rFonts w:ascii="仿宋_GB2312" w:hAnsi="仿宋_GB2312" w:eastAsia="仿宋_GB2312"/>
          <w:b/>
          <w:sz w:val="32"/>
        </w:rPr>
        <w:t>人员经费50.29万元，</w:t>
      </w:r>
      <w:r>
        <w:rPr>
          <w:rFonts w:ascii="仿宋_GB2312" w:hAnsi="仿宋_GB2312" w:eastAsia="仿宋_GB2312"/>
          <w:b w:val="0"/>
          <w:sz w:val="32"/>
        </w:rPr>
        <w:t>包括：基本工资、津贴补贴、奖金、机关事业单位基本养老保险缴费、职工基本医疗保险缴费、公务员医疗补助缴费、其他社会保障缴费、住房公积金、其他工资福利支出、退休费。</w:t>
      </w:r>
    </w:p>
    <w:p>
      <w:pPr>
        <w:spacing w:line="580" w:lineRule="exact"/>
        <w:ind w:firstLine="640"/>
        <w:jc w:val="both"/>
      </w:pPr>
      <w:r>
        <w:rPr>
          <w:rFonts w:ascii="仿宋_GB2312" w:hAnsi="仿宋_GB2312" w:eastAsia="仿宋_GB2312"/>
          <w:b/>
          <w:sz w:val="32"/>
        </w:rPr>
        <w:t>公用经费2.49万元，</w:t>
      </w:r>
      <w:r>
        <w:rPr>
          <w:rFonts w:ascii="仿宋_GB2312" w:hAnsi="仿宋_GB2312" w:eastAsia="仿宋_GB2312"/>
          <w:b w:val="0"/>
          <w:sz w:val="32"/>
        </w:rPr>
        <w:t>包括：办公费、差旅费、公务用车运行维护费。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2024年度财政拨款“三公”经费支出2.10万元，</w:t>
      </w:r>
      <w:r>
        <w:rPr>
          <w:rFonts w:ascii="仿宋_GB2312" w:hAnsi="仿宋_GB2312" w:eastAsia="仿宋_GB2312"/>
          <w:b w:val="0"/>
          <w:sz w:val="32"/>
        </w:rPr>
        <w:t>比上年增加0.00万元，增长0.00%，主要原因是：本单位“三公”经费与上年一致无变化。其中：因公出国（境）费支出0.00万元，占0.00%，比上年增加0.00万元，增长0.00%，主要原因是：2023年与2024年均未安排因公出国（境）费支出。公务用车购置及运行维护费支出2.10万元，占100.00%，比上年增加0.00万元，增长0.00%，主要原因是：本单位公务用车运行维护费与上年一致无变化。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2.10万元，其中：公务用车购置费0.00万元，公务用车运行维护费2.10万元。公务用车运行维护费开支内容包括车辆加油费、维修费、保险费、审车费、过路费。公务用车购置数0辆，公务用车保有量1辆。国有资产占用情况中固定资产车辆1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2.11万元，决算数2.10万元，预决算差异率-0.47%，主要原因是：严格落实中央八项规定精神，厉行节约，减少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2.10万元，决算数2.10万元，预决算差异率0.00%，主要原因是：严格按照预算执行，预决算无差异。公务接待费全年预算数0.01万元，决算数0.00万元，预决算差异率-100.00%，主要原因是：</w:t>
      </w:r>
      <w:r>
        <w:rPr>
          <w:rFonts w:hint="eastAsia" w:ascii="仿宋_GB2312" w:hAnsi="仿宋_GB2312" w:eastAsia="仿宋_GB2312"/>
          <w:b w:val="0"/>
          <w:sz w:val="32"/>
          <w:lang w:val="en-US" w:eastAsia="zh-CN"/>
        </w:rPr>
        <w:t>本年厉行节约，减少</w:t>
      </w:r>
      <w:r>
        <w:rPr>
          <w:rFonts w:ascii="仿宋_GB2312" w:hAnsi="仿宋_GB2312" w:eastAsia="仿宋_GB2312"/>
          <w:b w:val="0"/>
          <w:sz w:val="32"/>
        </w:rPr>
        <w:t>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2024年度喀什地区伽师县红十字会（行政单位和参照公务员法管理事业单位）机关运行经费支出2.49万元，比上年减少0.01万元，下降0.40%，主要原因是：严控经费支出，厉行节约，减少经费支出。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2024年度政府采购支出总额1.17万元，其中：政府采购货物支出0.00万元、政府采购工程支出0.00万元、政府采购服务支出1.17万元。</w:t>
      </w:r>
    </w:p>
    <w:p>
      <w:pPr>
        <w:spacing w:line="580" w:lineRule="exact"/>
        <w:ind w:firstLine="640"/>
        <w:jc w:val="both"/>
      </w:pPr>
      <w:r>
        <w:rPr>
          <w:rFonts w:ascii="仿宋_GB2312" w:hAnsi="仿宋_GB2312" w:eastAsia="仿宋_GB2312"/>
          <w:b w:val="0"/>
          <w:sz w:val="32"/>
        </w:rPr>
        <w:t>授予中小企业合同金额0.96万元，占政府采购支出总额的82.05%，其中：授予小微企业合同金额0.96万元，占政府采购支出总额的82.05%。</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1辆，价值3.85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自评表。发现的问题及原因：本单位无项目绩效自评表。下一步改进措施：本单位无项目绩效自评表。</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本年度本单位整体绩效自评表由伽师县卫生健康委员会编报并公开。</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587D6F"/>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3007BFE"/>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C34511"/>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2753</Words>
  <Characters>3123</Characters>
  <Lines>0</Lines>
  <Paragraphs>0</Paragraphs>
  <TotalTime>1</TotalTime>
  <ScaleCrop>false</ScaleCrop>
  <LinksUpToDate>false</LinksUpToDate>
  <CharactersWithSpaces>3131</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ZFB</cp:lastModifiedBy>
  <cp:lastPrinted>2024-07-22T11:58:00Z</cp:lastPrinted>
  <dcterms:modified xsi:type="dcterms:W3CDTF">2025-10-21T10:06:42Z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