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中共伽师县委宣传部2024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拟定伽师县宣传思想工作总体发展规划，按照县委统一部署，协调宣传系统各部门之间的工作，负责全县宣传思想工作的指导和监督检查，负责规划组织领导全县思想政治工作，会同有关部门研究和改进群众思想教育工作，及时向县委反映重要情况，提出建议。</w:t>
      </w:r>
    </w:p>
    <w:p>
      <w:pPr>
        <w:spacing w:line="580" w:lineRule="exact"/>
        <w:ind w:firstLine="640"/>
        <w:jc w:val="both"/>
      </w:pPr>
      <w:r>
        <w:rPr>
          <w:rFonts w:ascii="仿宋_GB2312" w:hAnsi="仿宋_GB2312" w:eastAsia="仿宋_GB2312"/>
          <w:sz w:val="32"/>
        </w:rPr>
        <w:t>（2）统筹协调党的意识形态工作，贯彻落实县委关于意识形态工作的决策部署。</w:t>
      </w:r>
    </w:p>
    <w:p>
      <w:pPr>
        <w:spacing w:line="580" w:lineRule="exact"/>
        <w:ind w:firstLine="640"/>
        <w:jc w:val="both"/>
      </w:pPr>
      <w:r>
        <w:rPr>
          <w:rFonts w:ascii="仿宋_GB2312" w:hAnsi="仿宋_GB2312" w:eastAsia="仿宋_GB2312"/>
          <w:sz w:val="32"/>
        </w:rPr>
        <w:t>（3）统筹指导协调全县理论研究、理论学习、理论宣传工作，组织推动理论武装工作，配合县委组织部做好党员教育工作。</w:t>
      </w:r>
    </w:p>
    <w:p>
      <w:pPr>
        <w:spacing w:line="580" w:lineRule="exact"/>
        <w:ind w:firstLine="640"/>
        <w:jc w:val="both"/>
      </w:pPr>
      <w:r>
        <w:rPr>
          <w:rFonts w:ascii="仿宋_GB2312" w:hAnsi="仿宋_GB2312" w:eastAsia="仿宋_GB2312"/>
          <w:sz w:val="32"/>
        </w:rPr>
        <w:t>（4）统筹分析研判和引导社会舆论，指导协调全县各新闻单位工作，负责宣传舆情和内容的分析监管。</w:t>
      </w:r>
    </w:p>
    <w:p>
      <w:pPr>
        <w:spacing w:line="580" w:lineRule="exact"/>
        <w:ind w:firstLine="640"/>
        <w:jc w:val="both"/>
      </w:pPr>
      <w:r>
        <w:rPr>
          <w:rFonts w:ascii="仿宋_GB2312" w:hAnsi="仿宋_GB2312" w:eastAsia="仿宋_GB2312"/>
          <w:sz w:val="32"/>
        </w:rPr>
        <w:t>（5）统筹指导协调全县互联网宣传和信息内容管理工作；统筹协调数字新媒体的建设和管理相关工作。</w:t>
      </w:r>
    </w:p>
    <w:p>
      <w:pPr>
        <w:spacing w:line="580" w:lineRule="exact"/>
        <w:ind w:firstLine="640"/>
        <w:jc w:val="both"/>
      </w:pPr>
      <w:r>
        <w:rPr>
          <w:rFonts w:ascii="仿宋_GB2312" w:hAnsi="仿宋_GB2312" w:eastAsia="仿宋_GB2312"/>
          <w:sz w:val="32"/>
        </w:rPr>
        <w:t>（6）负责新闻出版业的管理政策督促落实，管理新闻出版行政事务，组织协调有关行政审批工作，统筹规划和指导协调新闻出版事业、产业发展，监督管理印刷业，管理著作权，组织指导协调全县“扫黄打非”工作。</w:t>
      </w:r>
    </w:p>
    <w:p>
      <w:pPr>
        <w:spacing w:line="580" w:lineRule="exact"/>
        <w:ind w:firstLine="640"/>
        <w:jc w:val="both"/>
      </w:pPr>
      <w:r>
        <w:rPr>
          <w:rFonts w:ascii="仿宋_GB2312" w:hAnsi="仿宋_GB2312" w:eastAsia="仿宋_GB2312"/>
          <w:sz w:val="32"/>
        </w:rPr>
        <w:t>（7）负责组织实施全县精神文明建设规划、协调、指导、创建工作，负责规划和统筹协调全县未成年人思想道德建设工作。</w:t>
      </w:r>
    </w:p>
    <w:p>
      <w:pPr>
        <w:spacing w:line="580" w:lineRule="exact"/>
        <w:ind w:firstLine="640"/>
        <w:jc w:val="both"/>
      </w:pPr>
      <w:r>
        <w:rPr>
          <w:rFonts w:ascii="仿宋_GB2312" w:hAnsi="仿宋_GB2312" w:eastAsia="仿宋_GB2312"/>
          <w:sz w:val="32"/>
        </w:rPr>
        <w:t>（8）负责电影行政事务，指导监管电影放映工作，组织对电影内容进行审查，指导协调全县性重大电影活动，承担对外合作输入影片的合作交流等。</w:t>
      </w:r>
    </w:p>
    <w:p>
      <w:pPr>
        <w:spacing w:line="580" w:lineRule="exact"/>
        <w:ind w:firstLine="640"/>
        <w:jc w:val="both"/>
      </w:pPr>
      <w:r>
        <w:rPr>
          <w:rFonts w:ascii="仿宋_GB2312" w:hAnsi="仿宋_GB2312" w:eastAsia="仿宋_GB2312"/>
          <w:sz w:val="32"/>
        </w:rPr>
        <w:t>（9）统筹协调对外宣传工作，指导协调有关部门研究拟定对外宣传总体规划。会同有关部门组织涉疆方面的对外宣传和舆论斗争工作，做好境内外来访记者采访事务方面的工作。</w:t>
      </w:r>
    </w:p>
    <w:p>
      <w:pPr>
        <w:spacing w:line="580" w:lineRule="exact"/>
        <w:ind w:firstLine="640"/>
        <w:jc w:val="both"/>
      </w:pPr>
      <w:r>
        <w:rPr>
          <w:rFonts w:ascii="仿宋_GB2312" w:hAnsi="仿宋_GB2312" w:eastAsia="仿宋_GB2312"/>
          <w:sz w:val="32"/>
        </w:rPr>
        <w:t>（10）统筹协调组织开展新闻发布工作，推动新闻发言人制度建设；组织全县突发公共事件应急新闻工作。</w:t>
      </w:r>
    </w:p>
    <w:p>
      <w:pPr>
        <w:spacing w:line="580" w:lineRule="exact"/>
        <w:ind w:firstLine="640"/>
        <w:jc w:val="both"/>
      </w:pPr>
      <w:r>
        <w:rPr>
          <w:rFonts w:ascii="仿宋_GB2312" w:hAnsi="仿宋_GB2312" w:eastAsia="仿宋_GB2312"/>
          <w:sz w:val="32"/>
        </w:rPr>
        <w:t>（11）受县委委托，开展宣传思想等部门的领导班子建设，对乡镇党委宣传委员的任免提出建议；负责组织开展宣传思想系统干部教育培训和人才工作；协调宣传系统事业单位专业技术职称评审工作。</w:t>
      </w:r>
    </w:p>
    <w:p>
      <w:pPr>
        <w:spacing w:line="580" w:lineRule="exact"/>
        <w:ind w:firstLine="640"/>
        <w:jc w:val="both"/>
      </w:pPr>
      <w:r>
        <w:rPr>
          <w:rFonts w:ascii="仿宋_GB2312" w:hAnsi="仿宋_GB2312" w:eastAsia="仿宋_GB2312"/>
          <w:sz w:val="32"/>
        </w:rPr>
        <w:t>（12）完成县委交办的其他任务。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中共伽师县委宣传部2024年度，实有人数19人，其中：在职人员13人，减少1人；离休人员0人，增加0人；退休人员6人,增加0人。</w:t>
      </w:r>
    </w:p>
    <w:p>
      <w:pPr>
        <w:spacing w:line="580" w:lineRule="exact"/>
        <w:ind w:firstLine="640"/>
        <w:jc w:val="both"/>
      </w:pPr>
      <w:r>
        <w:rPr>
          <w:rFonts w:ascii="仿宋_GB2312" w:hAnsi="仿宋_GB2312" w:eastAsia="仿宋_GB2312"/>
          <w:sz w:val="32"/>
        </w:rPr>
        <w:t>中共伽师县委宣传部无下属预算单位，下设3个科室，分别是：办公室（理论教育办公室）、新闻宣传办公室（新闻出版管理办公室）、精神文明建设办公室（文教电影放映办公室）。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2024年度收入总计1,902.86万元，</w:t>
      </w:r>
      <w:r>
        <w:rPr>
          <w:rFonts w:ascii="仿宋_GB2312" w:hAnsi="仿宋_GB2312" w:eastAsia="仿宋_GB2312"/>
          <w:b w:val="0"/>
          <w:sz w:val="32"/>
        </w:rPr>
        <w:t>其中：本年收入合计1,902.86万元，使用非财政拨款结余（含专用结余）0.00万元，年初结转和结余0.00万元。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2024年度支出总计1,902.86万元，</w:t>
      </w:r>
      <w:r>
        <w:rPr>
          <w:rFonts w:ascii="仿宋_GB2312" w:hAnsi="仿宋_GB2312" w:eastAsia="仿宋_GB2312"/>
          <w:b w:val="0"/>
          <w:sz w:val="32"/>
        </w:rPr>
        <w:t>其中：本年支出合计1,902.86万元，结余分配0.00万元，年末结转和结余0.00万元。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366.64万元，下降16.16%，主要原因是：本年减少伽师县委宣传部2023年公共文化服务体系建设项目、伽师县委宣传部2023年新时代文明实践中心改造项目、关于解决第十届伽师瓜（第七届伽师新梅）展销会书画作品费用项目、伽师县2023年国家现代农业产业园建设项目等，导致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本年收入1,902.86万元，</w:t>
      </w:r>
      <w:r>
        <w:rPr>
          <w:rFonts w:ascii="仿宋_GB2312" w:hAnsi="仿宋_GB2312" w:eastAsia="仿宋_GB2312"/>
          <w:b w:val="0"/>
          <w:sz w:val="32"/>
        </w:rPr>
        <w:t>其中：财政拨款收入523.40万元，占27.51%；上级补助收入0.00万元，占0.00%；事业收入0.00万元，占0.00%；经营收入0.00万元，占0.00%；附属单位上缴收入0.00万元，占0.00%；其他收入1,379.46万元，占72.49%。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本年支出1,902.86万元，</w:t>
      </w:r>
      <w:r>
        <w:rPr>
          <w:rFonts w:ascii="仿宋_GB2312" w:hAnsi="仿宋_GB2312" w:eastAsia="仿宋_GB2312"/>
          <w:b w:val="0"/>
          <w:sz w:val="32"/>
        </w:rPr>
        <w:t>其中：基本支出373.40万元，占19.62%；项目支出1,529.46万元，占80.38%；上缴上级支出0.00万元，占0.00%；经营支出0.00万元，占0.00%；对附属单位补助支出0.00万元，占0.00%。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2024年度财政拨款收入总计523.40万元，</w:t>
      </w:r>
      <w:r>
        <w:rPr>
          <w:rFonts w:ascii="仿宋_GB2312" w:hAnsi="仿宋_GB2312" w:eastAsia="仿宋_GB2312"/>
          <w:b w:val="0"/>
          <w:sz w:val="32"/>
        </w:rPr>
        <w:t>其中：年初财政拨款结转和结余0.00万元，本年财政拨款收入523.40万元。</w:t>
      </w:r>
      <w:r>
        <w:rPr>
          <w:rFonts w:ascii="仿宋_GB2312" w:hAnsi="仿宋_GB2312" w:eastAsia="仿宋_GB2312"/>
          <w:b/>
          <w:sz w:val="32"/>
        </w:rPr>
        <w:t>财政拨款支出总计523.40万元，</w:t>
      </w:r>
      <w:r>
        <w:rPr>
          <w:rFonts w:ascii="仿宋_GB2312" w:hAnsi="仿宋_GB2312" w:eastAsia="仿宋_GB2312"/>
          <w:b w:val="0"/>
          <w:sz w:val="32"/>
        </w:rPr>
        <w:t>其中：年末财政拨款结转和结余0.00万元，本年财政拨款支出523.40万元。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减少78.84万元，下降13.09%，主要原因是：本年减少伽师县2023年国家现代农业产业园建设项目，导致经费较上年减少。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264.05万元，决算数523.40万元，预决算差异率98.22%，主要原因是：年中追加人员工资、社保、公积金基数调增部分资金，追加伽师县委宣传部2024年地方公共文化服务体系建设补助资金（群众文化服务）项目、伽师县委宣传部2024年地方公共文化服务体系建设补助资金项目、中央支持地方公共文化服务体系建设第三批补助资金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2024年度一般公共预算财政拨款支出523.40万元，</w:t>
      </w:r>
      <w:r>
        <w:rPr>
          <w:rFonts w:ascii="仿宋_GB2312" w:hAnsi="仿宋_GB2312" w:eastAsia="仿宋_GB2312"/>
          <w:b w:val="0"/>
          <w:sz w:val="32"/>
        </w:rPr>
        <w:t>占本年支出合计的27.51%。</w:t>
      </w:r>
      <w:r>
        <w:rPr>
          <w:rFonts w:ascii="仿宋_GB2312" w:hAnsi="仿宋_GB2312" w:eastAsia="仿宋_GB2312"/>
          <w:b/>
          <w:sz w:val="32"/>
        </w:rPr>
        <w:t>与上年相比，</w:t>
      </w:r>
      <w:r>
        <w:rPr>
          <w:rFonts w:ascii="仿宋_GB2312" w:hAnsi="仿宋_GB2312" w:eastAsia="仿宋_GB2312"/>
          <w:b w:val="0"/>
          <w:sz w:val="32"/>
        </w:rPr>
        <w:t>减少78.84万元，下降13.09%，主要原因是：本年减少伽师县2023年国家现代农业产业园建设项目，导致经费较上年减少。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264.05万元，决算数523.40万元，预决算差异率98.22%，主要原因是：年中追加人员工资、社保、公积金基数调增部分资金，追加伽师县委宣传部2024年地方公共文化服务体系建设补助资金（群众文化服务）项目、伽师县委宣传部2024年地方公共文化服务体系建设补助资金项目、中央支持地方公共文化服务体系建设第三批补助资金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1.一般公共服务支出(类)310.21万元,占59.27%。</w:t>
      </w:r>
    </w:p>
    <w:p>
      <w:pPr>
        <w:spacing w:line="580" w:lineRule="exact"/>
        <w:ind w:firstLine="640"/>
        <w:jc w:val="both"/>
      </w:pPr>
      <w:r>
        <w:rPr>
          <w:rFonts w:ascii="仿宋_GB2312" w:hAnsi="仿宋_GB2312" w:eastAsia="仿宋_GB2312"/>
          <w:b w:val="0"/>
          <w:sz w:val="32"/>
        </w:rPr>
        <w:t>2.文化旅游体育与传媒支出(类)150.00万元,占28.66%。</w:t>
      </w:r>
    </w:p>
    <w:p>
      <w:pPr>
        <w:spacing w:line="580" w:lineRule="exact"/>
        <w:ind w:firstLine="640"/>
        <w:jc w:val="both"/>
      </w:pPr>
      <w:r>
        <w:rPr>
          <w:rFonts w:ascii="仿宋_GB2312" w:hAnsi="仿宋_GB2312" w:eastAsia="仿宋_GB2312"/>
          <w:b w:val="0"/>
          <w:sz w:val="32"/>
        </w:rPr>
        <w:t>3.社会保障和就业支出(类)32.11万元,占6.13%。</w:t>
      </w:r>
    </w:p>
    <w:p>
      <w:pPr>
        <w:spacing w:line="580" w:lineRule="exact"/>
        <w:ind w:firstLine="640"/>
        <w:jc w:val="both"/>
      </w:pPr>
      <w:r>
        <w:rPr>
          <w:rFonts w:ascii="仿宋_GB2312" w:hAnsi="仿宋_GB2312" w:eastAsia="仿宋_GB2312"/>
          <w:b w:val="0"/>
          <w:sz w:val="32"/>
        </w:rPr>
        <w:t>4.卫生健康支出(类)11.71万元,占2.24%。</w:t>
      </w:r>
    </w:p>
    <w:p>
      <w:pPr>
        <w:spacing w:line="580" w:lineRule="exact"/>
        <w:ind w:firstLine="640"/>
        <w:jc w:val="both"/>
      </w:pPr>
      <w:r>
        <w:rPr>
          <w:rFonts w:ascii="仿宋_GB2312" w:hAnsi="仿宋_GB2312" w:eastAsia="仿宋_GB2312"/>
          <w:b w:val="0"/>
          <w:sz w:val="32"/>
        </w:rPr>
        <w:t>5.住房保障支出(类)19.36万元,占3.70%。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1.一般公共服务支出(类)宣传事务(款)行政运行(项):支出决算数为310.21万元，比上年决算减少6.39万元，下降2.02%,主要原因是：本年在职人员减少，相应人员经费较上年减少。</w:t>
      </w:r>
    </w:p>
    <w:p>
      <w:pPr>
        <w:spacing w:line="580" w:lineRule="exact"/>
        <w:ind w:firstLine="640"/>
        <w:jc w:val="both"/>
      </w:pPr>
      <w:r>
        <w:rPr>
          <w:rFonts w:ascii="仿宋_GB2312" w:hAnsi="仿宋_GB2312" w:eastAsia="仿宋_GB2312"/>
          <w:b w:val="0"/>
          <w:sz w:val="32"/>
        </w:rPr>
        <w:t>2.文化旅游体育与传媒支出(类)文化和旅游(款)文化活动(项):支出决算数为123.00万元，比上年决算增加123.00万元，增长100.00%,主要原因是：本年增加伽师县委宣传部2024年地方公共文化服务体系建设补助资金项目、中央支持地方公共文化服务体系建设第三批补助资金项目。</w:t>
      </w:r>
    </w:p>
    <w:p>
      <w:pPr>
        <w:spacing w:line="580" w:lineRule="exact"/>
        <w:ind w:firstLine="640"/>
        <w:jc w:val="both"/>
      </w:pPr>
      <w:r>
        <w:rPr>
          <w:rFonts w:ascii="仿宋_GB2312" w:hAnsi="仿宋_GB2312" w:eastAsia="仿宋_GB2312"/>
          <w:b w:val="0"/>
          <w:sz w:val="32"/>
        </w:rPr>
        <w:t>3.文化旅游体育与传媒支出(类)文化和旅游(款)群众文化(项):支出决算数为22.00万元，比上年决算增加22.00万元，增长100.00%,主要原因是：本年增加伽师县委宣传部2024年地方公共文化服务体系建设补助资金（群众文化服务）项目。</w:t>
      </w:r>
    </w:p>
    <w:p>
      <w:pPr>
        <w:spacing w:line="580" w:lineRule="exact"/>
        <w:ind w:firstLine="640"/>
        <w:jc w:val="both"/>
      </w:pPr>
      <w:r>
        <w:rPr>
          <w:rFonts w:ascii="仿宋_GB2312" w:hAnsi="仿宋_GB2312" w:eastAsia="仿宋_GB2312"/>
          <w:b w:val="0"/>
          <w:sz w:val="32"/>
        </w:rPr>
        <w:t>4.文化旅游体育与传媒支出(类)文化和旅游(款)文化和旅游市场管理(项):支出决算数为0.00万元，比上年决算减少8.00万元，下降100.00%,主要原因是：本年功能科目调整，伽师县委宣传部2024年出版物市场监管和版权保护工作经费项目上年度本科目列支，本年在其他文化旅游体育与传媒支出科目列支，导致经费较上年减少。</w:t>
      </w:r>
    </w:p>
    <w:p>
      <w:pPr>
        <w:spacing w:line="580" w:lineRule="exact"/>
        <w:ind w:firstLine="640"/>
        <w:jc w:val="both"/>
      </w:pPr>
      <w:r>
        <w:rPr>
          <w:rFonts w:ascii="仿宋_GB2312" w:hAnsi="仿宋_GB2312" w:eastAsia="仿宋_GB2312"/>
          <w:b w:val="0"/>
          <w:sz w:val="32"/>
        </w:rPr>
        <w:t>5.文化旅游体育与传媒支出(类)其他文化旅游体育与传媒支出(款)其他文化旅游体育与传媒支出(项):支出决算数为5.00万元，比上年决算增加5.00万元，增长100.00%,主要原因是：本年功能科目调整，伽师县委宣传部2024年出版物市场监管和版权保护工作经费项目上年度文化和旅游市场管理科目列支，本年在本科目列支，导致经费较上年增加。</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6.社会保障和就业支出(类)行政事业单位养老支出(款)行政单位离退休(项):支出决算数为8.30万元，比上年决算增加2.32万元，增长38.80%,主要原因是：本年增加退休人员基础绩效奖，退休费支出增加。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23.82万元，比上年决算增加3.75万元，增长18.68%,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8.社会保障和就业支出(类)行政事业单位养老支出(款)机关事业单位职业年金缴费支出(项):支出决算数为0.00万元，比上年决算减少25.63万元，下降100.00%,主要原因是：本年无新增退休人员，退休费支出减少。</w:t>
      </w:r>
    </w:p>
    <w:p>
      <w:pPr>
        <w:spacing w:line="580" w:lineRule="exact"/>
        <w:ind w:firstLine="640"/>
        <w:jc w:val="both"/>
      </w:pPr>
      <w:r>
        <w:rPr>
          <w:rFonts w:ascii="仿宋_GB2312" w:hAnsi="仿宋_GB2312" w:eastAsia="仿宋_GB2312"/>
          <w:b w:val="0"/>
          <w:sz w:val="32"/>
        </w:rPr>
        <w:t>9.卫生健康支出(类)行政事业单位医疗(款)行政单位医疗(项):支出决算数为10.12万元，比上年决算增加1.59万元，增长18.64%,主要原因是：本年在职人员工资基数调增，医疗缴费基数上涨，相应支出增加。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10.卫生健康支出(类)行政事业单位医疗(款)公务员医疗补助(项):支出决算数为1.59万元，比上年决算增加0.20万元，增长14.39%,主要原因是：本年在职人员工资基数调增，公务员医疗补助支出增加，相应支出增加。</w:t>
      </w:r>
    </w:p>
    <w:p>
      <w:pPr>
        <w:spacing w:line="580" w:lineRule="exact"/>
        <w:ind w:firstLine="640"/>
        <w:jc w:val="both"/>
      </w:pPr>
      <w:r>
        <w:rPr>
          <w:rFonts w:ascii="仿宋_GB2312" w:hAnsi="仿宋_GB2312" w:eastAsia="仿宋_GB2312"/>
          <w:b w:val="0"/>
          <w:sz w:val="32"/>
        </w:rPr>
        <w:t>11.农林水支出(类)农业农村(款)农业生产发展(项):支出决算数为0.00万元，比上年决算减少200.00万元，下降100.00%,主要原因是：本年减少伽师县2023年国家现代农业产业园建设项目。</w:t>
      </w:r>
    </w:p>
    <w:p>
      <w:pPr>
        <w:spacing w:line="580" w:lineRule="exact"/>
        <w:ind w:firstLine="640"/>
        <w:jc w:val="both"/>
      </w:pPr>
      <w:r>
        <w:rPr>
          <w:rFonts w:ascii="仿宋_GB2312" w:hAnsi="仿宋_GB2312" w:eastAsia="仿宋_GB2312"/>
          <w:b w:val="0"/>
          <w:sz w:val="32"/>
        </w:rPr>
        <w:t>12.住房保障支出(类)住房改革支出(款)住房公积金(项):支出决算数为19.36万元，比上年决算增加3.32万元，增长20.70%,主要原因是：本年在职人员工资基数调增，公积金缴费基数上涨，相应支出增加。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2024年度一般公共预算财政拨款基本支出373.40万元，其中：</w:t>
      </w:r>
      <w:r>
        <w:rPr>
          <w:rFonts w:ascii="仿宋_GB2312" w:hAnsi="仿宋_GB2312" w:eastAsia="仿宋_GB2312"/>
          <w:b/>
          <w:sz w:val="32"/>
        </w:rPr>
        <w:t>人员经费354.32万元，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公用经费19.08万元，</w:t>
      </w:r>
      <w:r>
        <w:rPr>
          <w:rFonts w:ascii="仿宋_GB2312" w:hAnsi="仿宋_GB2312" w:eastAsia="仿宋_GB2312"/>
          <w:b w:val="0"/>
          <w:sz w:val="32"/>
        </w:rPr>
        <w:t>包括：办公费、水费、邮电费、取暖费、差旅费、公务接待费、公务用车运行维护费。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2024年度财政拨款“三公”经费支出6.41万元，</w:t>
      </w:r>
      <w:r>
        <w:rPr>
          <w:rFonts w:ascii="仿宋_GB2312" w:hAnsi="仿宋_GB2312" w:eastAsia="仿宋_GB2312"/>
          <w:b w:val="0"/>
          <w:sz w:val="32"/>
        </w:rPr>
        <w:t>比上年减少2.12万元，下降24.82%，主要原因是：本年调出1辆</w:t>
      </w:r>
      <w:r>
        <w:rPr>
          <w:rFonts w:hint="eastAsia" w:ascii="仿宋_GB2312" w:hAnsi="仿宋_GB2312" w:eastAsia="仿宋_GB2312"/>
          <w:b w:val="0"/>
          <w:sz w:val="32"/>
          <w:lang w:val="en-US" w:eastAsia="zh-CN"/>
        </w:rPr>
        <w:t>公务用车</w:t>
      </w:r>
      <w:r>
        <w:rPr>
          <w:rFonts w:ascii="仿宋_GB2312" w:hAnsi="仿宋_GB2312" w:eastAsia="仿宋_GB2312"/>
          <w:b w:val="0"/>
          <w:sz w:val="32"/>
        </w:rPr>
        <w:t>，公务用车运行维护费支出减少，严格落实中央八项规定精神，厉行节约，减少公务接待费。其中：因公出国（境）费支出0.00万元，占0.00%，比上年增加0.00万元，增长0.00%，主要原因是：2023年与2024年均未安排因公出国（境）费支出。公务用车购置及运行维护费支出6.30万元，占98.28%，比上年减少2.08万元，下降24.82%，主要原因是：本年调出1辆</w:t>
      </w:r>
      <w:r>
        <w:rPr>
          <w:rFonts w:hint="eastAsia" w:ascii="仿宋_GB2312" w:hAnsi="仿宋_GB2312" w:eastAsia="仿宋_GB2312"/>
          <w:b w:val="0"/>
          <w:sz w:val="32"/>
          <w:lang w:val="en-US" w:eastAsia="zh-CN"/>
        </w:rPr>
        <w:t>公务用车</w:t>
      </w:r>
      <w:r>
        <w:rPr>
          <w:rFonts w:ascii="仿宋_GB2312" w:hAnsi="仿宋_GB2312" w:eastAsia="仿宋_GB2312"/>
          <w:b w:val="0"/>
          <w:sz w:val="32"/>
        </w:rPr>
        <w:t>，公务用车运行维护费支出减少。公务接待费支出0.11万元，占1.72%，比上年减少0.04万元，下降26.67%，主要原因是：严格落实中央八项规定精神，厉行节约，减少公务接待费。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6.30万元，其中：公务用车购置费0.00万元，公务用车运行维护费6.30万元。公务用车运行维护费开支内容包括车辆维修养护费、加油费、车辆保险费、过路费。公务用车购置数0辆，公务用车保有量3辆。国有资产占用情况中固定资产车辆3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公务接待费0.11万元，开支内容包括接待中央、自治区、地区等各级调研和来访记者的就餐费。单位全年安排的国内公务接待14批次，43人次。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6.41万元，决算数6.41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6.30万元，决算数6.30万元，预决算差异率0.00%，主要原因是：严格按照预算执行，预决算无差异。公务接待费全年预算数0.11万元，决算数0.11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2024年度中共伽师县委宣传部（行政单位和参照公务员法管理事业单位）机关运行经费支出19.08万元，比上年减少1.57万元，下降7.60%，主要原因是：严控经费支出，厉行节约，减少经费支出。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2024年度政府采购支出总额1,175.71万元，其中：政府采购货物支出0.00万元、政府采购工程支出295.62万元、政府采购服务支出880.09万元。</w:t>
      </w:r>
    </w:p>
    <w:p>
      <w:pPr>
        <w:spacing w:line="580" w:lineRule="exact"/>
        <w:ind w:firstLine="640"/>
        <w:jc w:val="both"/>
      </w:pPr>
      <w:r>
        <w:rPr>
          <w:rFonts w:ascii="仿宋_GB2312" w:hAnsi="仿宋_GB2312" w:eastAsia="仿宋_GB2312"/>
          <w:b w:val="0"/>
          <w:sz w:val="32"/>
        </w:rPr>
        <w:t>授予中小企业合同金额1,175.71万元，占政府采购支出总额的100.00%，其中：授予小微企业合同金额1,175.71万元，占政府采购支出总额的100.00%。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316.00平方米，价值19.00万元。车辆3辆，价值29.32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根据预算绩效管理要求，本单位2024年度预算绩效管理形成整体支出绩效自评表1个，全年预算总额1,902.91万元，实际执行总额1,902.86万元；预算绩效评价项目</w:t>
      </w:r>
      <w:r>
        <w:rPr>
          <w:rFonts w:hint="eastAsia" w:ascii="仿宋_GB2312" w:hAnsi="仿宋_GB2312" w:eastAsia="仿宋_GB2312"/>
          <w:b w:val="0"/>
          <w:sz w:val="32"/>
          <w:lang w:val="en-US" w:eastAsia="zh-CN"/>
        </w:rPr>
        <w:t>3</w:t>
      </w:r>
      <w:r>
        <w:rPr>
          <w:rFonts w:ascii="仿宋_GB2312" w:hAnsi="仿宋_GB2312" w:eastAsia="仿宋_GB2312"/>
          <w:b w:val="0"/>
          <w:sz w:val="32"/>
        </w:rPr>
        <w:t>个，全年预算数1,69</w:t>
      </w:r>
      <w:r>
        <w:rPr>
          <w:rFonts w:hint="eastAsia" w:ascii="仿宋_GB2312" w:hAnsi="仿宋_GB2312" w:eastAsia="仿宋_GB2312"/>
          <w:b w:val="0"/>
          <w:sz w:val="32"/>
          <w:lang w:val="en-US" w:eastAsia="zh-CN"/>
        </w:rPr>
        <w:t>5</w:t>
      </w:r>
      <w:r>
        <w:rPr>
          <w:rFonts w:ascii="仿宋_GB2312" w:hAnsi="仿宋_GB2312" w:eastAsia="仿宋_GB2312"/>
          <w:b w:val="0"/>
          <w:sz w:val="32"/>
        </w:rPr>
        <w:t>.00万元，全年执行数</w:t>
      </w:r>
      <w:r>
        <w:rPr>
          <w:rFonts w:hint="eastAsia" w:ascii="仿宋_GB2312" w:hAnsi="仿宋_GB2312" w:eastAsia="仿宋_GB2312"/>
          <w:b w:val="0"/>
          <w:sz w:val="32"/>
        </w:rPr>
        <w:t>1,531.59‬</w:t>
      </w:r>
      <w:r>
        <w:rPr>
          <w:rFonts w:ascii="仿宋_GB2312" w:hAnsi="仿宋_GB2312" w:eastAsia="仿宋_GB2312"/>
          <w:b w:val="0"/>
          <w:sz w:val="32"/>
        </w:rPr>
        <w:t>万元。预算绩效管理取得的成效：一是财政资金使用效率提高。预算绩效管理强调财政资金的有效使用，通过绩效目标的设定、绩效评估的开展，促</w:t>
      </w:r>
      <w:r>
        <w:rPr>
          <w:rFonts w:hint="eastAsia" w:ascii="仿宋_GB2312" w:hAnsi="仿宋_GB2312" w:eastAsia="仿宋_GB2312"/>
          <w:b w:val="0"/>
          <w:sz w:val="32"/>
          <w:lang w:val="en-US" w:eastAsia="zh-CN"/>
        </w:rPr>
        <w:t>进</w:t>
      </w:r>
      <w:r>
        <w:rPr>
          <w:rFonts w:hint="eastAsia" w:ascii="仿宋_GB2312" w:hAnsi="仿宋_GB2312" w:eastAsia="仿宋_GB2312"/>
          <w:b w:val="0"/>
          <w:sz w:val="32"/>
          <w:lang w:eastAsia="zh-CN"/>
        </w:rPr>
        <w:t>单位</w:t>
      </w:r>
      <w:r>
        <w:rPr>
          <w:rFonts w:ascii="仿宋_GB2312" w:hAnsi="仿宋_GB2312" w:eastAsia="仿宋_GB2312"/>
          <w:b w:val="0"/>
          <w:sz w:val="32"/>
        </w:rPr>
        <w:t>优化资源配置，提</w:t>
      </w:r>
      <w:r>
        <w:rPr>
          <w:rFonts w:hint="eastAsia" w:ascii="仿宋_GB2312" w:hAnsi="仿宋_GB2312" w:eastAsia="仿宋_GB2312"/>
          <w:b w:val="0"/>
          <w:sz w:val="32"/>
          <w:lang w:val="en-US" w:eastAsia="zh-CN"/>
        </w:rPr>
        <w:t>高</w:t>
      </w:r>
      <w:r>
        <w:rPr>
          <w:rFonts w:hint="eastAsia" w:ascii="仿宋_GB2312" w:hAnsi="仿宋_GB2312" w:eastAsia="仿宋_GB2312"/>
          <w:b w:val="0"/>
          <w:sz w:val="32"/>
          <w:lang w:eastAsia="zh-CN"/>
        </w:rPr>
        <w:t>财政资金使用</w:t>
      </w:r>
      <w:r>
        <w:rPr>
          <w:rFonts w:ascii="仿宋_GB2312" w:hAnsi="仿宋_GB2312" w:eastAsia="仿宋_GB2312"/>
          <w:b w:val="0"/>
          <w:sz w:val="32"/>
        </w:rPr>
        <w:t>效率。二是预算与部门计划更加匹配。预算绩效管理要求在预算编制时明确绩效目标，使预算与部门计划更加匹配。这有效保障</w:t>
      </w:r>
      <w:r>
        <w:rPr>
          <w:rFonts w:hint="eastAsia" w:ascii="仿宋_GB2312" w:hAnsi="仿宋_GB2312" w:eastAsia="仿宋_GB2312"/>
          <w:b w:val="0"/>
          <w:sz w:val="32"/>
          <w:lang w:eastAsia="zh-CN"/>
        </w:rPr>
        <w:t>单位</w:t>
      </w:r>
      <w:r>
        <w:rPr>
          <w:rFonts w:ascii="仿宋_GB2312" w:hAnsi="仿宋_GB2312" w:eastAsia="仿宋_GB2312"/>
          <w:b w:val="0"/>
          <w:sz w:val="32"/>
        </w:rPr>
        <w:t>更好地规划资金使用，避免资金的浪费和滥用，使预算</w:t>
      </w:r>
      <w:r>
        <w:rPr>
          <w:rFonts w:hint="eastAsia" w:ascii="仿宋_GB2312" w:hAnsi="仿宋_GB2312" w:eastAsia="仿宋_GB2312"/>
          <w:b w:val="0"/>
          <w:sz w:val="32"/>
          <w:lang w:eastAsia="zh-CN"/>
        </w:rPr>
        <w:t>符合单位</w:t>
      </w:r>
      <w:r>
        <w:rPr>
          <w:rFonts w:ascii="仿宋_GB2312" w:hAnsi="仿宋_GB2312" w:eastAsia="仿宋_GB2312"/>
          <w:b w:val="0"/>
          <w:sz w:val="32"/>
        </w:rPr>
        <w:t>发展的需要。三是项目管理水平提升。预算绩效管理强调绩效目标的设定、绩效计划的制定、绩效评估的开展，</w:t>
      </w:r>
      <w:r>
        <w:rPr>
          <w:rFonts w:hint="eastAsia" w:ascii="仿宋_GB2312" w:hAnsi="仿宋_GB2312" w:eastAsia="仿宋_GB2312"/>
          <w:b w:val="0"/>
          <w:sz w:val="32"/>
          <w:lang w:eastAsia="zh-CN"/>
        </w:rPr>
        <w:t>有助于单</w:t>
      </w:r>
      <w:r>
        <w:rPr>
          <w:rFonts w:ascii="仿宋_GB2312" w:hAnsi="仿宋_GB2312" w:eastAsia="仿宋_GB2312"/>
          <w:b w:val="0"/>
          <w:sz w:val="32"/>
        </w:rPr>
        <w:t>位加强项目管理，提高项目管理水平。促</w:t>
      </w:r>
      <w:r>
        <w:rPr>
          <w:rFonts w:hint="eastAsia" w:ascii="仿宋_GB2312" w:hAnsi="仿宋_GB2312" w:eastAsia="仿宋_GB2312"/>
          <w:b w:val="0"/>
          <w:sz w:val="32"/>
          <w:lang w:eastAsia="zh-CN"/>
        </w:rPr>
        <w:t>使单位</w:t>
      </w:r>
      <w:r>
        <w:rPr>
          <w:rFonts w:ascii="仿宋_GB2312" w:hAnsi="仿宋_GB2312" w:eastAsia="仿宋_GB2312"/>
          <w:b w:val="0"/>
          <w:sz w:val="32"/>
        </w:rPr>
        <w:t>能够更好地规划项目进度，控制成本，保证项目质量，提高项目的绩效。发现的问题及原因：一是单位未能按节点及时监控，绩效监控缺乏责任约束。二是绩效监控报告质量不达标，填报内容简单，对绩效目标偏差问题缺乏有效分析，无法监控绩效目标的实现程度，还有待进一步提升预算单位整体绩效管理理念。下一步改进措施：一是强化项目单位对资金绩效实现情况的责任约束，对专项资金偏离预算绩效目标的支出，及时采取有效措施予以纠正，让资金管理人、进一步规范专项资金使用绩效；二是加强财政资金使用效益跟踪“回头看”，根据绩效科针对资金绩效运行状况，及时预控、查找资金使用和管理过程中的薄弱环节，提出纠偏措</w:t>
      </w:r>
      <w:r>
        <w:rPr>
          <w:rFonts w:hint="eastAsia" w:ascii="仿宋_GB2312" w:hAnsi="仿宋_GB2312" w:eastAsia="仿宋_GB2312"/>
          <w:b w:val="0"/>
          <w:sz w:val="32"/>
          <w:lang w:eastAsia="zh-CN"/>
        </w:rPr>
        <w:t>，为</w:t>
      </w:r>
      <w:r>
        <w:rPr>
          <w:rFonts w:ascii="仿宋_GB2312" w:hAnsi="仿宋_GB2312" w:eastAsia="仿宋_GB2312"/>
          <w:b w:val="0"/>
          <w:sz w:val="32"/>
        </w:rPr>
        <w:t>，确保后续绩效目标的有效实现提供有力支撑；三是加强绩效管理信息报送，绩效管理信息报</w:t>
      </w:r>
      <w:r>
        <w:rPr>
          <w:rFonts w:hint="eastAsia" w:ascii="仿宋_GB2312" w:hAnsi="仿宋_GB2312" w:eastAsia="仿宋_GB2312"/>
          <w:b w:val="0"/>
          <w:sz w:val="32"/>
          <w:lang w:eastAsia="zh-CN"/>
        </w:rPr>
        <w:t>送</w:t>
      </w:r>
      <w:r>
        <w:rPr>
          <w:rFonts w:ascii="仿宋_GB2312" w:hAnsi="仿宋_GB2312" w:eastAsia="仿宋_GB2312"/>
          <w:b w:val="0"/>
          <w:sz w:val="32"/>
        </w:rPr>
        <w:t>时加强预算绩效管理工作的核心，若绩效管理工作滞后，项目资金执行也必将超时，升值造成资金滞拨、闲置，所以要加大力度加强绩效管理信息报送，同时努力提升绩效信息质量，保障项目执行情况直接体现。促使绩效工作更加组织科学化，管理常态化。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中共伽师县委宣传部</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264.05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1,902.91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1,902.86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259.05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373.45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373.40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1,379.46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1,379.46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一、抓好理论武装主阵地，在常学常新中彰显</w:t>
            </w:r>
            <w:bookmarkStart w:id="0" w:name="_GoBack"/>
            <w:bookmarkEnd w:id="0"/>
            <w:r>
              <w:rPr>
                <w:rFonts w:ascii="宋体" w:hAnsi="宋体" w:eastAsia="宋体"/>
                <w:sz w:val="16"/>
              </w:rPr>
              <w:t>政治站位。（一）着力夯实政治根基。（二）着力强化理论武装。（三）抓好理论宣传。（四）着力锤炼建强党性。二、把好意识形态主动权，在筑牢根基中强化凝聚力和引领力。（一）强化组织领导，夯实主体责任。（二）强化阵地建设，做好舆论引导（三）强化安全防范，压实网宣工作责任。（四）持续开展“扫黄打非”五大专项行动。（五）健全审读制度，继续开展好审读工作。（六）强化工作落实，体现为民情怀。三、守好思想舆论主战场，在弘扬正能量中唱响主旋律。（一）持续办好学习贯彻党的二十大精神专题专栏，大力宣传报道各领域建设取得的显著成效。（二）统筹做好重点主题宣传。（三）聚焦伽师优势亮点，加强与主流媒体的沟通联系，不断报道伽师特色产业优势，多渠道、多角度宣传推介伽师，擦亮文化品牌。（四）积极做好涉疆舆论对外斗争。四、唱好文化文艺主旋律，在守正创新中讲好伽师故事。（一）落实好《贯彻落实&lt;自治区党委、人民政府关于深入开展文化润疆工作的实施意见（2023-2025年）&gt;的责任分解方案》《伽师县文化润疆“细胞工程”实施方案》。（二）按照“一月一主题”，督促指导开展好系列文体活动。（三）加强优质文化产品供给。（四）</w:t>
            </w:r>
            <w:r>
              <w:rPr>
                <w:rFonts w:hint="eastAsia" w:ascii="宋体" w:hAnsi="宋体"/>
                <w:sz w:val="16"/>
                <w:lang w:eastAsia="zh-CN"/>
              </w:rPr>
              <w:t>传承发展中华优秀传统文化</w:t>
            </w:r>
            <w:r>
              <w:rPr>
                <w:rFonts w:ascii="宋体" w:hAnsi="宋体" w:eastAsia="宋体"/>
                <w:sz w:val="16"/>
              </w:rPr>
              <w:t>。（五）加快推进新时代文明实践中心（所、站）标准化、规范化建设，继续打造乡村两级新时代文明实践示范点建设，进一步发挥“五大服务平台”阵地作用，持续开展各类文明实践活动（六）持续抓好文明创建活动。（七）广泛开展先进典型学习宣传。五、建好宣传队伍主力军，不断提升宣传队伍能力水平。（一）加强政治建设。（二）加强宣传工作目标管理。（三）加强干部能力提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w:t>
            </w:r>
            <w:r>
              <w:rPr>
                <w:rFonts w:hint="eastAsia" w:ascii="宋体" w:hAnsi="宋体"/>
                <w:sz w:val="16"/>
                <w:lang w:eastAsia="zh-CN"/>
              </w:rPr>
              <w:t>本单位</w:t>
            </w:r>
            <w:r>
              <w:rPr>
                <w:rFonts w:ascii="宋体" w:hAnsi="宋体" w:eastAsia="宋体"/>
                <w:sz w:val="16"/>
              </w:rPr>
              <w:t>持续抓好理论武装学习，夯实政治根基，强化理论武装，组织完成30次的理论学习中心组学习，高质高量完成理论宣讲任务，开展1.6万余场次的理论宣讲活动，累计教育群众688.2万余人次；持续做好重点主题宣传，刊发、刊播稿件、视频2.4万条；持续做好本年度活动安排，为群众不断送去优质的文体活动，累计开展3000余场次的文化活动；加快推进新时代文明实践中心（所、站）标准化、规范化建设，本年打造、改建30个乡村两级 新时代文明实践示范点建设；深入开展12场次的“文明新风进万家·六大</w:t>
            </w:r>
            <w:r>
              <w:rPr>
                <w:rFonts w:hint="eastAsia" w:ascii="宋体" w:hAnsi="宋体"/>
                <w:sz w:val="16"/>
                <w:lang w:eastAsia="zh-CN"/>
              </w:rPr>
              <w:t>习惯</w:t>
            </w:r>
            <w:r>
              <w:rPr>
                <w:rFonts w:ascii="宋体" w:hAnsi="宋体" w:eastAsia="宋体"/>
                <w:sz w:val="16"/>
              </w:rPr>
              <w:t>养成”专项文明活动，持续抓好文明创建活动；深入文化润疆，传承和发展优秀传统文化，开展送戏下基层进校园活动400余场次以及做好农村数字电影公益放映的爱国主义电影进校园活动，全年放映3720余场次。</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开展理论宣讲活动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&gt;=16000场次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伽师县2024年宣传思想文化工作计划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16000场次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开展各类文化活动场次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伽师县2024年宣传思想文化工作计划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打造、改建乡村两级新时代文明实践示范点建设个数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伽师县2024年宣传思想文化工作计划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组织召开理论学习中心组学习场次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伽师县2024年宣传思想文化工作计划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刊发刊播稿件、视频数量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&gt;=24000条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伽师县2024年宣传思想文化工作计划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24000条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开展“文明新风进万家、六大习惯贵养成”专项文明场次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伽师县2024年宣传思想文化工作计划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开展送戏下基层进校园活动场次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伽师县2024年宣传思想文化工作计划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开展农村公益电影放映场次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&gt;=3720场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伽师县2024年宣传思想文化工作计划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3720场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伽师县委宣传部2024年公共文化服务体系建设项目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中共伽师县委宣传部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974.17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9.36分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974.17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按照地区</w:t>
            </w:r>
            <w:r>
              <w:rPr>
                <w:rFonts w:hint="eastAsia" w:ascii="宋体" w:hAnsi="宋体"/>
                <w:sz w:val="16"/>
                <w:lang w:eastAsia="zh-CN"/>
              </w:rPr>
              <w:t>宣传思想文化工作</w:t>
            </w:r>
            <w:r>
              <w:rPr>
                <w:rFonts w:ascii="宋体" w:hAnsi="宋体" w:eastAsia="宋体"/>
                <w:sz w:val="16"/>
              </w:rPr>
              <w:t>会议确定的目标任务，完善文化基础设施建设，拓展文化交流渠道，推动中华优秀传统文化创造性转化和创新性发展，把文化提升行动项目打造成亮丽名片，使文化惠民真正落到实处，让中华文化通过实物实景实事得到充分展现，润物无声、直抵人心。为加快解决制约我县“文化润疆”工作发展的瓶颈短板问题，推动“文化润疆”高质量发展，充分利用好援疆资源及资金，进一步促进“文化润疆”工作发展。“文化润疆”系列文体活动举办2次、开展文化及展览活动2场次、示范引领工程建设26个村采购设备1批等。下达资金共1000万元，主要用于伽师县特色农副产品推介；文化润疆示范引领工程建设；公共文化服务水平及精神文明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该项目投入974.17万元，有效完善了文化基础设施建设，拓展了文化交流渠道，推动了中华优秀传统文化创造性转化和创新性发展，把文化提升行动项目打造成亮丽名片，使文化惠民真正落到实处，让中华文化通过实物实景实事得到充分展现，润物无声、直抵人心。有效推动“文化润疆”高质量发展，充分利用好援疆资源及资金，进一步促进了“文化润疆”工作发展。“文化润疆”系列文体活动举办2次、开展文化及展览活动2场次、示范引领工程建设26个村采购设备1批等。下达资金共1000万元，主要用于伽师县特色农副产品推介；文化润疆示范引领工程建设；公共文化服务水平及精神文明建设。</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采购设备（批）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开展文化及展览活动（场）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主题巡回宣讲活动（场）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媒体对外宣传及宣传产品提升率（%）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“文化润疆”系列文体活动举办次数（次）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示范引领工程建设（村）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主题巡回宣讲覆盖率（%）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活动计划完成率（%）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偏差原因：有些活动尚未开展；改进措施：加强沟通，进一步精细活动安排和时间，做好活动计划。</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活动举办及时率（%）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设备采购及时率（%）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偏差原因：有些活动尚未开展；改进措施：加强沟通，进一步精细活动安排和时间，做好项目时间安排。</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伽师县特色农副产品推介（万元）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=498.99万元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偏差原因：经过公开招标和磋商以及节约成本，价格有所下降；改进措施：加强预算测算，进一步控制成本。</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文化润疆示范引领工程建设（万元）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=176.18万元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偏差原因：经过招投标，价格有所下降；改进措施：加强预算测算，进一步控制成本。</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公共文化服务水平及精神文明建设（万元）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偏差原因：经过公开招标和磋商以及节约成本，价格有所下降；改进措施：加强预算测算，进一步控制成本。</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提升社会文明程度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偏差原因：有些活动尚未开展；改进措施：加强项目执行力度，进一步完善项目执行，提高社会文明程度。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市民满意度（%）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93.89分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fixed"/>
        <w:tblCellMar>
          <w:top w:w="0" w:type="dxa"/>
          <w:left w:w="108" w:type="dxa"/>
          <w:bottom w:w="0" w:type="dxa"/>
          <w:right w:w="108" w:type="dxa"/>
        </w:tblCellMar>
      </w:tblPr>
      <w:tblGrid>
        <w:gridCol w:w="616"/>
        <w:gridCol w:w="592"/>
        <w:gridCol w:w="592"/>
        <w:gridCol w:w="593"/>
        <w:gridCol w:w="1016"/>
        <w:gridCol w:w="593"/>
        <w:gridCol w:w="593"/>
        <w:gridCol w:w="605"/>
        <w:gridCol w:w="593"/>
        <w:gridCol w:w="605"/>
        <w:gridCol w:w="856"/>
        <w:gridCol w:w="472"/>
        <w:gridCol w:w="158"/>
        <w:gridCol w:w="546"/>
        <w:gridCol w:w="630"/>
      </w:tblGrid>
      <w:tr>
        <w:tblPrEx>
          <w:tblCellMar>
            <w:top w:w="0" w:type="dxa"/>
            <w:left w:w="108" w:type="dxa"/>
            <w:bottom w:w="0" w:type="dxa"/>
            <w:right w:w="108" w:type="dxa"/>
          </w:tblCellMar>
        </w:tblPrEx>
        <w:tc>
          <w:tcPr>
            <w:tcW w:w="9060" w:type="dxa"/>
            <w:gridSpan w:val="15"/>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9060" w:type="dxa"/>
            <w:gridSpan w:val="15"/>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4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伽师县委宣传部2024年地方公共文化服务体系建设补助资金（群众文化服务）项目</w:t>
            </w:r>
          </w:p>
        </w:tc>
      </w:tr>
      <w:tr>
        <w:tblPrEx>
          <w:tblCellMar>
            <w:top w:w="0" w:type="dxa"/>
            <w:left w:w="108" w:type="dxa"/>
            <w:bottom w:w="0" w:type="dxa"/>
            <w:right w:w="108" w:type="dxa"/>
          </w:tblCellMar>
        </w:tblPrEx>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8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中共伽师县委宣传部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6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中共伽师县委宣传部</w:t>
            </w:r>
          </w:p>
        </w:tc>
      </w:tr>
      <w:tr>
        <w:tblPrEx>
          <w:tblCellMar>
            <w:top w:w="0" w:type="dxa"/>
            <w:left w:w="108" w:type="dxa"/>
            <w:bottom w:w="0" w:type="dxa"/>
            <w:right w:w="108" w:type="dxa"/>
          </w:tblCellMar>
        </w:tblPrEx>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1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6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17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6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740.00</w:t>
            </w:r>
          </w:p>
        </w:tc>
        <w:tc>
          <w:tcPr>
            <w:tcW w:w="11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690.00</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552.42</w:t>
            </w:r>
          </w:p>
        </w:tc>
        <w:tc>
          <w:tcPr>
            <w:tcW w:w="14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7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80.1%</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5.02分</w:t>
            </w:r>
          </w:p>
        </w:tc>
      </w:tr>
      <w:tr>
        <w:tblPrEx>
          <w:tblCellMar>
            <w:top w:w="0" w:type="dxa"/>
            <w:left w:w="108" w:type="dxa"/>
            <w:bottom w:w="0" w:type="dxa"/>
            <w:right w:w="108" w:type="dxa"/>
          </w:tblCellMar>
        </w:tblPrEx>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6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740.00</w:t>
            </w:r>
          </w:p>
        </w:tc>
        <w:tc>
          <w:tcPr>
            <w:tcW w:w="11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690.00</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552.42</w:t>
            </w:r>
          </w:p>
        </w:tc>
        <w:tc>
          <w:tcPr>
            <w:tcW w:w="14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7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6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7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8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6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8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此项目共投入690万，用于全县13个乡镇公共文化体系建设，加快优质文化资源向基层倾斜，为基层提供更多更优质的公共文化产品和文化服务。培育新时代公民、提升社会文明程度，为增强新疆各族人民法治观念、法治素养提供智力支撑；为持续唱响爱党爱国爱社会主义的时代主旋律，提升精神文明建设水平，推进新时代文明实践提质扩面。</w:t>
            </w:r>
          </w:p>
        </w:tc>
        <w:tc>
          <w:tcPr>
            <w:tcW w:w="386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本项目共投入552.424万元，用于全县13个乡镇公共文化体系建设，共计购置了489件设备，完成了18次对设备的维护维修，举办了25次的体育文化活动，加快了优质文化资源向基层的倾斜，为基层提供了更多更优质的公共文化产品和文化服务，业务保障能力和设备利用率提升基本达成目标。培育了新时代公民、提升社会文明程度，</w:t>
            </w:r>
            <w:r>
              <w:rPr>
                <w:rFonts w:hint="eastAsia" w:ascii="宋体" w:hAnsi="宋体"/>
                <w:sz w:val="16"/>
                <w:lang w:eastAsia="zh-CN"/>
              </w:rPr>
              <w:t>在</w:t>
            </w:r>
            <w:r>
              <w:rPr>
                <w:rFonts w:ascii="宋体" w:hAnsi="宋体" w:eastAsia="宋体"/>
                <w:sz w:val="16"/>
              </w:rPr>
              <w:t>一定程度上增强了新疆各族人</w:t>
            </w:r>
            <w:r>
              <w:rPr>
                <w:rFonts w:hint="eastAsia" w:ascii="宋体" w:hAnsi="宋体"/>
                <w:sz w:val="16"/>
                <w:lang w:eastAsia="zh-CN"/>
              </w:rPr>
              <w:t>民的</w:t>
            </w:r>
            <w:r>
              <w:rPr>
                <w:rFonts w:ascii="宋体" w:hAnsi="宋体" w:eastAsia="宋体"/>
                <w:sz w:val="16"/>
              </w:rPr>
              <w:t>法治观念、法治素养；持续唱响了爱党爱国爱社会主义的时代主旋律，提升了精神文明建设水平，推进了新时代文明实践提质扩面。</w:t>
            </w:r>
          </w:p>
        </w:tc>
      </w:tr>
      <w:tr>
        <w:tblPrEx>
          <w:tblCellMar>
            <w:top w:w="0" w:type="dxa"/>
            <w:left w:w="108" w:type="dxa"/>
            <w:bottom w:w="0" w:type="dxa"/>
            <w:right w:w="108" w:type="dxa"/>
          </w:tblCellMar>
        </w:tblPrEx>
        <w:tc>
          <w:tcPr>
            <w:tcW w:w="616" w:type="dxa"/>
            <w:tcBorders>
              <w:top w:val="single" w:color="auto" w:sz="10" w:space="0"/>
              <w:left w:val="single" w:color="auto" w:sz="10" w:space="0"/>
              <w:bottom w:val="single" w:color="auto" w:sz="10" w:space="0"/>
              <w:right w:val="single" w:color="auto" w:sz="10" w:space="0"/>
              <w:insideV w:val="single" w:sz="10" w:space="0"/>
            </w:tcBorders>
          </w:tcP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59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59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设备购置数</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&gt;=500套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=489套</w:t>
            </w:r>
          </w:p>
        </w:tc>
        <w:tc>
          <w:tcPr>
            <w:tcW w:w="6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9.45</w:t>
            </w:r>
          </w:p>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偏差原因：有些活动尚未开展，相关设备尚未购买；改进措施：协调各单位，进一步做好预算安排。</w:t>
            </w:r>
          </w:p>
        </w:tc>
      </w:tr>
      <w:tr>
        <w:tblPrEx>
          <w:tblCellMar>
            <w:top w:w="0" w:type="dxa"/>
            <w:left w:w="108" w:type="dxa"/>
            <w:bottom w:w="0" w:type="dxa"/>
            <w:right w:w="108" w:type="dxa"/>
          </w:tblCellMar>
        </w:tblPrEx>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维护设备数量</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=18套</w:t>
            </w:r>
          </w:p>
        </w:tc>
        <w:tc>
          <w:tcPr>
            <w:tcW w:w="47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w:t>
            </w:r>
          </w:p>
        </w:tc>
        <w:tc>
          <w:tcPr>
            <w:tcW w:w="133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偏差原因：剩余设备较为完好，尚未修理；改进措施：针对全县设备进一步做好检查和预算。</w:t>
            </w:r>
          </w:p>
        </w:tc>
      </w:tr>
      <w:tr>
        <w:tblPrEx>
          <w:tblCellMar>
            <w:top w:w="0" w:type="dxa"/>
            <w:left w:w="108" w:type="dxa"/>
            <w:bottom w:w="0" w:type="dxa"/>
            <w:right w:w="108" w:type="dxa"/>
          </w:tblCellMar>
        </w:tblPrEx>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活动开展次数</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&gt;=35场次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=25场次</w:t>
            </w:r>
          </w:p>
        </w:tc>
        <w:tc>
          <w:tcPr>
            <w:tcW w:w="47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1.43</w:t>
            </w:r>
          </w:p>
        </w:tc>
        <w:tc>
          <w:tcPr>
            <w:tcW w:w="133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偏差原因：有些活动尚未开展，例如春节期间的各类活动；改进措施：进一步精准预算，降低成本。</w:t>
            </w:r>
          </w:p>
        </w:tc>
      </w:tr>
      <w:tr>
        <w:tblPrEx>
          <w:tblCellMar>
            <w:top w:w="0" w:type="dxa"/>
            <w:left w:w="108" w:type="dxa"/>
            <w:bottom w:w="0" w:type="dxa"/>
            <w:right w:w="108" w:type="dxa"/>
          </w:tblCellMar>
        </w:tblPrEx>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政府采购率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=97.8%</w:t>
            </w:r>
          </w:p>
        </w:tc>
        <w:tc>
          <w:tcPr>
            <w:tcW w:w="47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4.72</w:t>
            </w:r>
          </w:p>
        </w:tc>
        <w:tc>
          <w:tcPr>
            <w:tcW w:w="133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偏差原因：有些活动尚未开展，尚未购买；改进措施：加强各单位的协调安排，推进项目执行，提高政府采购率。</w:t>
            </w:r>
          </w:p>
        </w:tc>
      </w:tr>
      <w:tr>
        <w:tblPrEx>
          <w:tblCellMar>
            <w:top w:w="0" w:type="dxa"/>
            <w:left w:w="108" w:type="dxa"/>
            <w:bottom w:w="0" w:type="dxa"/>
            <w:right w:w="108" w:type="dxa"/>
          </w:tblCellMar>
        </w:tblPrEx>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质量合格率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47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33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47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33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偏差原因：有些活动尚未开展，例如春节期间的各类活动；改进措施：进一步精准预算，根据时间节点，安排好项目时间。</w:t>
            </w:r>
          </w:p>
        </w:tc>
      </w:tr>
      <w:tr>
        <w:tblPrEx>
          <w:tblCellMar>
            <w:top w:w="0" w:type="dxa"/>
            <w:left w:w="108" w:type="dxa"/>
            <w:bottom w:w="0" w:type="dxa"/>
            <w:right w:w="108" w:type="dxa"/>
          </w:tblCellMar>
        </w:tblPrEx>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59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设备采购成本</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&lt;=6400元/套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=5834.38元/套</w:t>
            </w:r>
          </w:p>
        </w:tc>
        <w:tc>
          <w:tcPr>
            <w:tcW w:w="47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7.79</w:t>
            </w:r>
          </w:p>
        </w:tc>
        <w:tc>
          <w:tcPr>
            <w:tcW w:w="133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偏差原因：经过磋商和节约成本，价格有所下降；改进措施：进一步加强预算安排，控制成本。</w:t>
            </w:r>
          </w:p>
        </w:tc>
      </w:tr>
      <w:tr>
        <w:tblPrEx>
          <w:tblCellMar>
            <w:top w:w="0" w:type="dxa"/>
            <w:left w:w="108" w:type="dxa"/>
            <w:bottom w:w="0" w:type="dxa"/>
            <w:right w:w="108" w:type="dxa"/>
          </w:tblCellMar>
        </w:tblPrEx>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设备维修成本</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&lt;=100000元/套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=99305元/套</w:t>
            </w:r>
          </w:p>
        </w:tc>
        <w:tc>
          <w:tcPr>
            <w:tcW w:w="47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4.91</w:t>
            </w:r>
          </w:p>
        </w:tc>
        <w:tc>
          <w:tcPr>
            <w:tcW w:w="133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偏差原因：维修成本经过磋商和节约成本，价格有所下降；改进措施：进一步精准预算，降低成本。</w:t>
            </w:r>
          </w:p>
        </w:tc>
      </w:tr>
      <w:tr>
        <w:tblPrEx>
          <w:tblCellMar>
            <w:top w:w="0" w:type="dxa"/>
            <w:left w:w="108" w:type="dxa"/>
            <w:bottom w:w="0" w:type="dxa"/>
            <w:right w:w="108" w:type="dxa"/>
          </w:tblCellMar>
        </w:tblPrEx>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举办活动成本</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&lt;=48571.43元/场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=35349.6元/场</w:t>
            </w:r>
          </w:p>
        </w:tc>
        <w:tc>
          <w:tcPr>
            <w:tcW w:w="47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w:t>
            </w:r>
          </w:p>
        </w:tc>
        <w:tc>
          <w:tcPr>
            <w:tcW w:w="133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偏差原因：根据中华文化传统节日，有些活动尚未开展，例如春节期间的各类活动，所以均价成本较低；改进措施：进一步加强预算安排，控制成本。</w:t>
            </w:r>
          </w:p>
        </w:tc>
      </w:tr>
      <w:tr>
        <w:tblPrEx>
          <w:tblCellMar>
            <w:top w:w="0" w:type="dxa"/>
            <w:left w:w="108" w:type="dxa"/>
            <w:bottom w:w="0" w:type="dxa"/>
            <w:right w:w="108" w:type="dxa"/>
          </w:tblCellMar>
        </w:tblPrEx>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59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提升业务保障能力</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47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33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偏差原因：有些活动尚未开展；改进措施：加强预算安排，进一步加强项目执行力度</w:t>
            </w:r>
            <w:r>
              <w:rPr>
                <w:rFonts w:hint="eastAsia" w:ascii="宋体" w:hAnsi="宋体"/>
                <w:sz w:val="16"/>
                <w:lang w:eastAsia="zh-CN"/>
              </w:rPr>
              <w:t>。</w:t>
            </w:r>
          </w:p>
        </w:tc>
      </w:tr>
      <w:tr>
        <w:tblPrEx>
          <w:tblCellMar>
            <w:top w:w="0" w:type="dxa"/>
            <w:left w:w="108" w:type="dxa"/>
            <w:bottom w:w="0" w:type="dxa"/>
            <w:right w:w="108" w:type="dxa"/>
          </w:tblCellMar>
        </w:tblPrEx>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提升设备利用率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47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33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偏差原因：有些活动尚未开展；改进措施：加强预算安排，进一步加强项目执行力度。</w:t>
            </w:r>
          </w:p>
        </w:tc>
      </w:tr>
      <w:tr>
        <w:tblPrEx>
          <w:tblCellMar>
            <w:top w:w="0" w:type="dxa"/>
            <w:left w:w="108" w:type="dxa"/>
            <w:bottom w:w="0" w:type="dxa"/>
            <w:right w:w="108" w:type="dxa"/>
          </w:tblCellMar>
        </w:tblPrEx>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受益使用人员满意度</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47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3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59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54"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47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73.42分</w:t>
            </w:r>
          </w:p>
        </w:tc>
        <w:tc>
          <w:tcPr>
            <w:tcW w:w="1334" w:type="dxa"/>
            <w:gridSpan w:val="3"/>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本年本单位SM项目1个，全年预算数5.00万元，全年执行数5.00万元。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11FF82C-7001-46F9-B504-3995872274C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93619D0A-9238-42A5-B134-446B040EE449}"/>
  </w:font>
  <w:font w:name="仿宋_GB2312">
    <w:panose1 w:val="02010609030101010101"/>
    <w:charset w:val="86"/>
    <w:family w:val="modern"/>
    <w:pitch w:val="default"/>
    <w:sig w:usb0="00000001" w:usb1="080E0000" w:usb2="00000000" w:usb3="00000000" w:csb0="00040000" w:csb1="00000000"/>
    <w:embedRegular r:id="rId3" w:fontKey="{28157480-1D2C-4AAB-AB29-07E682669A08}"/>
  </w:font>
  <w:font w:name="楷体_GB2312">
    <w:panose1 w:val="02010609030101010101"/>
    <w:charset w:val="86"/>
    <w:family w:val="auto"/>
    <w:pitch w:val="default"/>
    <w:sig w:usb0="00000001" w:usb1="080E0000" w:usb2="00000000" w:usb3="00000000" w:csb0="00040000" w:csb1="00000000"/>
    <w:embedRegular r:id="rId4" w:fontKey="{46FB1255-BB1A-47CA-98CA-658032B8FD7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C907DE2"/>
    <w:rsid w:val="1DAF458D"/>
    <w:rsid w:val="1E086ACE"/>
    <w:rsid w:val="1E4B5CA5"/>
    <w:rsid w:val="1EAA4A5F"/>
    <w:rsid w:val="1F587A0B"/>
    <w:rsid w:val="20307F23"/>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3F775972"/>
    <w:rsid w:val="40834692"/>
    <w:rsid w:val="423A32B2"/>
    <w:rsid w:val="423C0CB4"/>
    <w:rsid w:val="427B5743"/>
    <w:rsid w:val="42E64542"/>
    <w:rsid w:val="464B7E04"/>
    <w:rsid w:val="464F7E64"/>
    <w:rsid w:val="46901EEE"/>
    <w:rsid w:val="469C74D2"/>
    <w:rsid w:val="47445515"/>
    <w:rsid w:val="47BD79A9"/>
    <w:rsid w:val="4B4C0111"/>
    <w:rsid w:val="4BB23021"/>
    <w:rsid w:val="4F3F074E"/>
    <w:rsid w:val="50DB5F45"/>
    <w:rsid w:val="52F92565"/>
    <w:rsid w:val="543D17CB"/>
    <w:rsid w:val="55DA564E"/>
    <w:rsid w:val="568D0821"/>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E675E5"/>
    <w:rsid w:val="7E381D2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2509</Words>
  <Characters>2800</Characters>
  <Lines>0</Lines>
  <Paragraphs>0</Paragraphs>
  <TotalTime>22</TotalTime>
  <ScaleCrop>false</ScaleCrop>
  <LinksUpToDate>false</LinksUpToDate>
  <CharactersWithSpaces>2808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2025-10-21T05:20:33Z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