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中共伽师县纪律检查委员会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⑴负责党的纪律检查工作。贯彻落实地委、地区纪委和县委关于纪律检查工作的决定，维护党的章程和其他党内法规，检查党的路线方针政策和决议的执行情况，协助县委推进全面从严治党、加强党风廉政建设和组织协调反腐败工作。</w:t>
      </w:r>
    </w:p>
    <w:p>
      <w:pPr>
        <w:spacing w:line="580" w:lineRule="exact"/>
        <w:ind w:firstLine="640"/>
        <w:jc w:val="both"/>
      </w:pPr>
      <w:r>
        <w:rPr>
          <w:rFonts w:ascii="仿宋_GB2312" w:hAnsi="仿宋_GB2312" w:eastAsia="仿宋_GB2312"/>
          <w:sz w:val="32"/>
        </w:rPr>
        <w:t>⑵依照党的章程和其他党内法规履行监督、执纪、问责职责。负责经常对党员进行遵守纪律的教育，作出关于维护党纪的决定。对县委工作部门、县委批准设立的党组（党委），各乡镇党委、纪委等党的组织和县委管理的党员领导干部履行职责、行使权力进行监督，受理处置党员群众检举举报，开展谈话提醒、约谈函询；检查和处理上述党的组织和党员违反党的章程和其他党内法规的比较重要或者复杂的案件，决定或者取消对这些案件中的</w:t>
      </w:r>
      <w:r>
        <w:rPr>
          <w:rFonts w:hint="eastAsia" w:ascii="仿宋_GB2312" w:hAnsi="仿宋_GB2312" w:eastAsia="仿宋_GB2312"/>
          <w:sz w:val="32"/>
          <w:lang w:eastAsia="zh-CN"/>
        </w:rPr>
        <w:t>中共</w:t>
      </w:r>
      <w:r>
        <w:rPr>
          <w:rFonts w:ascii="仿宋_GB2312" w:hAnsi="仿宋_GB2312" w:eastAsia="仿宋_GB2312"/>
          <w:sz w:val="32"/>
        </w:rPr>
        <w:t>党员的处分；进行问责或者提出责任追究的建议；受理党员的控告和申诉；</w:t>
      </w:r>
      <w:r>
        <w:rPr>
          <w:rFonts w:hint="eastAsia" w:ascii="仿宋_GB2312" w:hAnsi="仿宋_GB2312" w:eastAsia="仿宋_GB2312"/>
          <w:sz w:val="32"/>
          <w:lang w:eastAsia="zh-CN"/>
        </w:rPr>
        <w:t>保障党员权利</w:t>
      </w:r>
      <w:r>
        <w:rPr>
          <w:rFonts w:ascii="仿宋_GB2312" w:hAnsi="仿宋_GB2312" w:eastAsia="仿宋_GB2312"/>
          <w:sz w:val="32"/>
        </w:rPr>
        <w:t>。</w:t>
      </w:r>
    </w:p>
    <w:p>
      <w:pPr>
        <w:spacing w:line="580" w:lineRule="exact"/>
        <w:ind w:firstLine="640"/>
        <w:jc w:val="both"/>
      </w:pPr>
      <w:r>
        <w:rPr>
          <w:rFonts w:ascii="仿宋_GB2312" w:hAnsi="仿宋_GB2312" w:eastAsia="仿宋_GB2312"/>
          <w:sz w:val="32"/>
        </w:rPr>
        <w:t>⑶在县委领导下组织开展巡察工作。配合县委巡察工作领导小组指导各乡镇和县直部门的巡察工作。</w:t>
      </w:r>
    </w:p>
    <w:p>
      <w:pPr>
        <w:spacing w:line="580" w:lineRule="exact"/>
        <w:ind w:firstLine="640"/>
        <w:jc w:val="both"/>
      </w:pPr>
      <w:r>
        <w:rPr>
          <w:rFonts w:ascii="仿宋_GB2312" w:hAnsi="仿宋_GB2312" w:eastAsia="仿宋_GB2312"/>
          <w:sz w:val="32"/>
        </w:rPr>
        <w:t>⑷负责全县监察工作。贯彻落实地委、地区监委和县委关于监察工作的决定，维护宪法</w:t>
      </w:r>
      <w:r>
        <w:rPr>
          <w:rFonts w:hint="eastAsia" w:ascii="仿宋_GB2312" w:hAnsi="仿宋_GB2312" w:eastAsia="仿宋_GB2312"/>
          <w:sz w:val="32"/>
          <w:lang w:eastAsia="zh-CN"/>
        </w:rPr>
        <w:t>、</w:t>
      </w:r>
      <w:r>
        <w:rPr>
          <w:rFonts w:ascii="仿宋_GB2312" w:hAnsi="仿宋_GB2312" w:eastAsia="仿宋_GB2312"/>
          <w:sz w:val="32"/>
        </w:rPr>
        <w:t>法律，依法对县委管理的行使公权力的公职人员进行监察，调查职务违法和职务犯罪，开展廉政建设和反腐败工作。</w:t>
      </w:r>
    </w:p>
    <w:p>
      <w:pPr>
        <w:spacing w:line="580" w:lineRule="exact"/>
        <w:ind w:firstLine="640"/>
        <w:jc w:val="both"/>
      </w:pPr>
      <w:r>
        <w:rPr>
          <w:rFonts w:ascii="仿宋_GB2312" w:hAnsi="仿宋_GB2312" w:eastAsia="仿宋_GB2312"/>
          <w:sz w:val="32"/>
        </w:rPr>
        <w:t>⑸依照法律规定履行监督、调查、处置职责。对县委管理的行使公权力的公职人员落实党中央治疆方略、聚焦维护社会稳定和长治久安总目标，维护祖国统一情况进行监督检查；推进开展廉政教育，对公职人员依法履职、秉公用权、廉洁从政从业以及道德操守情况进行监督检查，对涉嫌贪污贿赂、滥用职权、玩忽职守、权力寻租、利益输送、徇私舞弊以及浪费国家资财等职务违法和职务犯罪进行调查；对违法的公职人员依法作出政务处分决定。对履行职责不力、失职失责的领导人员进行问责。对涉嫌职务犯罪的，将调查结果移送人民检察院依法审查、提起公诉；向监察对象所在单位提出监察建议。</w:t>
      </w:r>
    </w:p>
    <w:p>
      <w:pPr>
        <w:spacing w:line="580" w:lineRule="exact"/>
        <w:ind w:firstLine="640"/>
        <w:jc w:val="both"/>
      </w:pPr>
      <w:r>
        <w:rPr>
          <w:rFonts w:ascii="仿宋_GB2312" w:hAnsi="仿宋_GB2312" w:eastAsia="仿宋_GB2312"/>
          <w:sz w:val="32"/>
        </w:rPr>
        <w:t>⑹负责组织协调全县全面从严治党、党风廉政建设和反腐败宣传教育工作。</w:t>
      </w:r>
    </w:p>
    <w:p>
      <w:pPr>
        <w:spacing w:line="580" w:lineRule="exact"/>
        <w:ind w:firstLine="640"/>
        <w:jc w:val="both"/>
      </w:pPr>
      <w:r>
        <w:rPr>
          <w:rFonts w:ascii="仿宋_GB2312" w:hAnsi="仿宋_GB2312" w:eastAsia="仿宋_GB2312"/>
          <w:sz w:val="32"/>
        </w:rPr>
        <w:t>⑺负责综合分析全县全面从严治党、党风廉政建设和反腐败工作情况，对纪检监察工作重要理论及实践问题进行调查研究；提出全县纪检监察法规制度建设规划、计划和立法立规建议。</w:t>
      </w:r>
    </w:p>
    <w:p>
      <w:pPr>
        <w:spacing w:line="580" w:lineRule="exact"/>
        <w:ind w:firstLine="640"/>
        <w:jc w:val="both"/>
      </w:pPr>
      <w:r>
        <w:rPr>
          <w:rFonts w:ascii="仿宋_GB2312" w:hAnsi="仿宋_GB2312" w:eastAsia="仿宋_GB2312"/>
          <w:sz w:val="32"/>
        </w:rPr>
        <w:t>⑻负责配合地区纪委监委做好国际组织的反腐败国际交流、合作，加强对反腐败国际追逃追赃和防逃工作的配合工作，督促有关单位做好相关工作。</w:t>
      </w:r>
    </w:p>
    <w:p>
      <w:pPr>
        <w:spacing w:line="580" w:lineRule="exact"/>
        <w:ind w:firstLine="640"/>
        <w:jc w:val="both"/>
      </w:pPr>
      <w:r>
        <w:rPr>
          <w:rFonts w:ascii="仿宋_GB2312" w:hAnsi="仿宋_GB2312" w:eastAsia="仿宋_GB2312"/>
          <w:sz w:val="32"/>
        </w:rPr>
        <w:t>⑼根据干部管理权限，负责县纪检监察系统领导班子建设、干部队伍建设和组织建设的综合规划、政策研究、制度建设和业务指导；会同有关方面做好县纪委监委派驻（派出）机构、各乡镇纪检监察机关、县委管理的中小学以及幼儿园、国有企业纪检监察机构领导班子建设有关工作；组织和指导全县纪检监察系统干部教育培训工作等。</w:t>
      </w:r>
    </w:p>
    <w:p>
      <w:pPr>
        <w:spacing w:line="580" w:lineRule="exact"/>
        <w:ind w:firstLine="640"/>
        <w:jc w:val="both"/>
      </w:pPr>
      <w:r>
        <w:rPr>
          <w:rFonts w:ascii="仿宋_GB2312" w:hAnsi="仿宋_GB2312" w:eastAsia="仿宋_GB2312"/>
          <w:sz w:val="32"/>
        </w:rPr>
        <w:t>⑽完成地区纪委监委和县委交办的其他事项。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中共伽师县纪律检查委员会2024年度，实有人数106人，其中：在职人员96人，增加6人；离休人员0人，增加0人；退休人员10人,增加3人。</w:t>
      </w:r>
    </w:p>
    <w:p>
      <w:pPr>
        <w:spacing w:line="580" w:lineRule="exact"/>
        <w:ind w:firstLine="640"/>
        <w:jc w:val="both"/>
      </w:pPr>
      <w:r>
        <w:rPr>
          <w:rFonts w:ascii="仿宋_GB2312" w:hAnsi="仿宋_GB2312" w:eastAsia="仿宋_GB2312"/>
          <w:sz w:val="32"/>
        </w:rPr>
        <w:t>中共伽师县纪律检查委员会无下属预算单位，下设10个科室，分别是：办公室、信访室、案件监督管理室、审理室、纪检监察一室、纪检监察二室、纪检监察三室、组宣部、党风政风监督室、县委巡察办。</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2024年度收入总计2,482.98万元，</w:t>
      </w:r>
      <w:r>
        <w:rPr>
          <w:rFonts w:ascii="仿宋_GB2312" w:hAnsi="仿宋_GB2312" w:eastAsia="仿宋_GB2312"/>
          <w:b w:val="0"/>
          <w:sz w:val="32"/>
        </w:rPr>
        <w:t>其中：本年收入合计2,482.98万元，使用非财政拨款结余（含专用结余）0.00万元，年初结转和结余0.00万元。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2024年度支出总计2,482.98万元，</w:t>
      </w:r>
      <w:r>
        <w:rPr>
          <w:rFonts w:ascii="仿宋_GB2312" w:hAnsi="仿宋_GB2312" w:eastAsia="仿宋_GB2312"/>
          <w:b w:val="0"/>
          <w:sz w:val="32"/>
        </w:rPr>
        <w:t>其中：本年支出合计2,482.98万元，结余分配0.00万元，年末结转和结余0.00万元。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收入支出总体与上年相比，减少25.64万元，下降1.02%，主要原因是：本年减少</w:t>
      </w:r>
      <w:r>
        <w:rPr>
          <w:rFonts w:hint="eastAsia" w:ascii="仿宋_GB2312" w:hAnsi="仿宋_GB2312" w:eastAsia="仿宋_GB2312"/>
          <w:b w:val="0"/>
          <w:sz w:val="32"/>
        </w:rPr>
        <w:t>援疆资金用于伽师县纪委监委“走读式”谈话场所业务用房配套信息化建设项目</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本年收入2,482.98万元，</w:t>
      </w:r>
      <w:r>
        <w:rPr>
          <w:rFonts w:ascii="仿宋_GB2312" w:hAnsi="仿宋_GB2312" w:eastAsia="仿宋_GB2312"/>
          <w:b w:val="0"/>
          <w:sz w:val="32"/>
        </w:rPr>
        <w:t>其中：财政拨款收入1,775.92万元，占71.52%；上级补助收入0.00万元，占0.00%；事业收入0.00万元，占0.00%；经营收入0.00万元，占0.00%；附属单位上缴收入0.00万元，占0.00%；其他收入707.06万元，占28.48%。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本年支出2,482.98万元，</w:t>
      </w:r>
      <w:r>
        <w:rPr>
          <w:rFonts w:ascii="仿宋_GB2312" w:hAnsi="仿宋_GB2312" w:eastAsia="仿宋_GB2312"/>
          <w:b w:val="0"/>
          <w:sz w:val="32"/>
        </w:rPr>
        <w:t>其中：基本支出1,740.80万元，占70.11%；项目支出742.18万元，占29.89%；上缴上级支出0.00万元，占0.00%；经营支出0.00万元，占0.00%；对附属单位补助支出0.00万元，占0.00%。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2024年度财政拨款收入总计1,775.92万元，</w:t>
      </w:r>
      <w:r>
        <w:rPr>
          <w:rFonts w:ascii="仿宋_GB2312" w:hAnsi="仿宋_GB2312" w:eastAsia="仿宋_GB2312"/>
          <w:b w:val="0"/>
          <w:sz w:val="32"/>
        </w:rPr>
        <w:t>其中：年初财政拨款结转和结余0.00万元，本年财政拨款收入1,775.92万元。</w:t>
      </w:r>
      <w:r>
        <w:rPr>
          <w:rFonts w:ascii="仿宋_GB2312" w:hAnsi="仿宋_GB2312" w:eastAsia="仿宋_GB2312"/>
          <w:b/>
          <w:sz w:val="32"/>
        </w:rPr>
        <w:t>财政拨款支出总计1,775.92万元，</w:t>
      </w:r>
      <w:r>
        <w:rPr>
          <w:rFonts w:ascii="仿宋_GB2312" w:hAnsi="仿宋_GB2312" w:eastAsia="仿宋_GB2312"/>
          <w:b w:val="0"/>
          <w:sz w:val="32"/>
        </w:rPr>
        <w:t>其中：年末财政拨款结转和结余0.00万元，本年财政拨款支出1,775.92万元。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增加55.39万元，增长3.22%，主要原因是：本年在职人员增加，在职人员工资、社保、公积金调增，人员经费增加。</w:t>
      </w:r>
      <w:r>
        <w:rPr>
          <w:rFonts w:ascii="仿宋_GB2312" w:hAnsi="仿宋_GB2312" w:eastAsia="仿宋_GB2312"/>
          <w:b/>
          <w:sz w:val="32"/>
        </w:rPr>
        <w:t>与年初预算相比，</w:t>
      </w:r>
      <w:r>
        <w:rPr>
          <w:rFonts w:ascii="仿宋_GB2312" w:hAnsi="仿宋_GB2312" w:eastAsia="仿宋_GB2312"/>
          <w:b w:val="0"/>
          <w:sz w:val="32"/>
        </w:rPr>
        <w:t>年初预算数1,624.09万元，决算数1,775.92万元，预决算差异率9.35%，主要原因是：年中追加人员工资、社保、公积金基数调增部分资金，导致预决算存在差异。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2024年度一般公共预算财政拨款支出1,775.92万元，</w:t>
      </w:r>
      <w:r>
        <w:rPr>
          <w:rFonts w:ascii="仿宋_GB2312" w:hAnsi="仿宋_GB2312" w:eastAsia="仿宋_GB2312"/>
          <w:b w:val="0"/>
          <w:sz w:val="32"/>
        </w:rPr>
        <w:t>占本年支出合计的71.52%。</w:t>
      </w:r>
      <w:r>
        <w:rPr>
          <w:rFonts w:ascii="仿宋_GB2312" w:hAnsi="仿宋_GB2312" w:eastAsia="仿宋_GB2312"/>
          <w:b/>
          <w:sz w:val="32"/>
        </w:rPr>
        <w:t>与上年相比，</w:t>
      </w:r>
      <w:r>
        <w:rPr>
          <w:rFonts w:ascii="仿宋_GB2312" w:hAnsi="仿宋_GB2312" w:eastAsia="仿宋_GB2312"/>
          <w:b w:val="0"/>
          <w:sz w:val="32"/>
        </w:rPr>
        <w:t>增加55.39万元，增长3.22%，主要原因是：本年在职人员增加，在职人员工资、社保、公积金调增，人员经费增加。</w:t>
      </w:r>
      <w:r>
        <w:rPr>
          <w:rFonts w:ascii="仿宋_GB2312" w:hAnsi="仿宋_GB2312" w:eastAsia="仿宋_GB2312"/>
          <w:b/>
          <w:sz w:val="32"/>
        </w:rPr>
        <w:t>与年初预算相比,</w:t>
      </w:r>
      <w:r>
        <w:rPr>
          <w:rFonts w:ascii="仿宋_GB2312" w:hAnsi="仿宋_GB2312" w:eastAsia="仿宋_GB2312"/>
          <w:b w:val="0"/>
          <w:sz w:val="32"/>
        </w:rPr>
        <w:t>年初预算数1,624.09万元，决算数1,775.92万元，预决算差异率9.35%，主要原因是：年中追加人员工资、社保、公积金基数调增部分资金，导致预决算存在差异。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1.一般公共服务支出(类)1,361.94万元,占76.69%。</w:t>
      </w:r>
    </w:p>
    <w:p>
      <w:pPr>
        <w:spacing w:line="580" w:lineRule="exact"/>
        <w:ind w:firstLine="640"/>
        <w:jc w:val="both"/>
      </w:pPr>
      <w:r>
        <w:rPr>
          <w:rFonts w:ascii="仿宋_GB2312" w:hAnsi="仿宋_GB2312" w:eastAsia="仿宋_GB2312"/>
          <w:b w:val="0"/>
          <w:sz w:val="32"/>
        </w:rPr>
        <w:t>2.社会保障和就业支出(类)196.18万元,占11.05%。</w:t>
      </w:r>
    </w:p>
    <w:p>
      <w:pPr>
        <w:spacing w:line="580" w:lineRule="exact"/>
        <w:ind w:firstLine="640"/>
        <w:jc w:val="both"/>
      </w:pPr>
      <w:r>
        <w:rPr>
          <w:rFonts w:ascii="仿宋_GB2312" w:hAnsi="仿宋_GB2312" w:eastAsia="仿宋_GB2312"/>
          <w:b w:val="0"/>
          <w:sz w:val="32"/>
        </w:rPr>
        <w:t>3.卫生健康支出(类)87.35万元,占4.92%。</w:t>
      </w:r>
    </w:p>
    <w:p>
      <w:pPr>
        <w:spacing w:line="580" w:lineRule="exact"/>
        <w:ind w:firstLine="640"/>
        <w:jc w:val="both"/>
      </w:pPr>
      <w:r>
        <w:rPr>
          <w:rFonts w:ascii="仿宋_GB2312" w:hAnsi="仿宋_GB2312" w:eastAsia="仿宋_GB2312"/>
          <w:b w:val="0"/>
          <w:sz w:val="32"/>
        </w:rPr>
        <w:t>4.住房保障支出(类)130.45万元,占7.35%。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1.一般公共服务支出(类)纪检监察事务(款)行政运行(项):支出决算数为1,326.82万元，比上年决算增加25.13万元，增长1.93%,主要原因是：本年新增在职人员，人员经费增加，导致经费较上年有所增加。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2.一般公共服务支出(类)纪检监察事务(款)其他纪检监察事务支出(项):支出决算数为35.12万元，比上年决算减少14.53万元，下降29.26%,主要原因是：本年</w:t>
      </w:r>
      <w:r>
        <w:rPr>
          <w:rFonts w:hint="eastAsia" w:ascii="仿宋_GB2312" w:hAnsi="仿宋_GB2312" w:eastAsia="仿宋_GB2312"/>
          <w:b w:val="0"/>
          <w:sz w:val="32"/>
        </w:rPr>
        <w:t>中央纪检监察转移支付资金项目</w:t>
      </w:r>
      <w:r>
        <w:rPr>
          <w:rFonts w:hint="eastAsia" w:ascii="仿宋_GB2312" w:hAnsi="仿宋_GB2312" w:eastAsia="仿宋_GB2312"/>
          <w:b w:val="0"/>
          <w:sz w:val="32"/>
          <w:lang w:val="en-US" w:eastAsia="zh-CN"/>
        </w:rPr>
        <w:t>较上年减少，相应支出减少</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3.社会保障和就业支出(类)行政事业单位养老支出(款)行政单位离退休(项):支出决算数为12.22万元，比上年决算增加5.05万元，增长70.43%,主要原因是：本年退休人员增加，退休费支出增加。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159.54万元，比上年决算增加21.84万元，增长15.86%,主要原因是：本年在职人员增加，养老保险缴费较上年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5.社会保障和就业支出(类)行政事业单位养老支出(款)机关事业单位职业年金缴费支出(项):支出决算数为24.43万元，比上年决算减少8.79万元，下降26.46%,主要原因是：本年退休人员职业年金</w:t>
      </w:r>
      <w:r>
        <w:rPr>
          <w:rFonts w:hint="eastAsia" w:ascii="仿宋_GB2312" w:hAnsi="仿宋_GB2312" w:eastAsia="仿宋_GB2312"/>
          <w:b w:val="0"/>
          <w:sz w:val="32"/>
          <w:lang w:val="en-US" w:eastAsia="zh-CN"/>
        </w:rPr>
        <w:t>做实</w:t>
      </w:r>
      <w:r>
        <w:rPr>
          <w:rFonts w:ascii="仿宋_GB2312" w:hAnsi="仿宋_GB2312" w:eastAsia="仿宋_GB2312"/>
          <w:b w:val="0"/>
          <w:sz w:val="32"/>
        </w:rPr>
        <w:t>较上年减少，职业年金较上年减少。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6.卫生健康支出(类)行政事业单位医疗(款)行政单位医疗(项):支出决算数为67.80万元，比上年决算增加9.18万元，增长15.66%,主要原因是：本年在职人员增加，行政单位医疗支出较上年增加。</w:t>
      </w:r>
    </w:p>
    <w:p>
      <w:pPr>
        <w:spacing w:line="580" w:lineRule="exact"/>
        <w:ind w:firstLine="640"/>
        <w:jc w:val="both"/>
      </w:pPr>
      <w:r>
        <w:rPr>
          <w:rFonts w:ascii="仿宋_GB2312" w:hAnsi="仿宋_GB2312" w:eastAsia="仿宋_GB2312"/>
          <w:b w:val="0"/>
          <w:sz w:val="32"/>
        </w:rPr>
        <w:t>7.卫生健康支出(类)行政事业单位医疗(款)公务员医疗补助(项):支出决算数为19.55万元，比上年决算增加2.65万元，增长15.68%,主要原因是</w:t>
      </w:r>
      <w:bookmarkStart w:id="0" w:name="_GoBack"/>
      <w:bookmarkEnd w:id="0"/>
      <w:r>
        <w:rPr>
          <w:rFonts w:ascii="仿宋_GB2312" w:hAnsi="仿宋_GB2312" w:eastAsia="仿宋_GB2312"/>
          <w:b w:val="0"/>
          <w:sz w:val="32"/>
        </w:rPr>
        <w:t>：本年在职人员增加，公务员医疗补助较上年增加。</w:t>
      </w:r>
    </w:p>
    <w:p>
      <w:pPr>
        <w:spacing w:line="580" w:lineRule="exact"/>
        <w:ind w:firstLine="640"/>
        <w:jc w:val="both"/>
      </w:pPr>
      <w:r>
        <w:rPr>
          <w:rFonts w:ascii="仿宋_GB2312" w:hAnsi="仿宋_GB2312" w:eastAsia="仿宋_GB2312"/>
          <w:b w:val="0"/>
          <w:sz w:val="32"/>
        </w:rPr>
        <w:t>8.住房保障支出(类)住房改革支出(款)住房公积金(项):支出决算数为130.45万元，比上年决算增加14.86万元，增长12.86%,主要原因是：本年在职人员增加，住房公积金支出较上年增加。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2024年度一般公共预算财政拨款基本支出1,740.80万元，其中：</w:t>
      </w:r>
      <w:r>
        <w:rPr>
          <w:rFonts w:ascii="仿宋_GB2312" w:hAnsi="仿宋_GB2312" w:eastAsia="仿宋_GB2312"/>
          <w:b/>
          <w:sz w:val="32"/>
        </w:rPr>
        <w:t>人员经费1,686.31万元，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公用经费54.49万元，</w:t>
      </w:r>
      <w:r>
        <w:rPr>
          <w:rFonts w:ascii="仿宋_GB2312" w:hAnsi="仿宋_GB2312" w:eastAsia="仿宋_GB2312"/>
          <w:b w:val="0"/>
          <w:sz w:val="32"/>
        </w:rPr>
        <w:t>包括：办公费、水费、电费、邮电费、取暖费、差旅费、公务接待费、公务用车运行维护费。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2024年度财政拨款“三公”经费支出9.23万元，</w:t>
      </w:r>
      <w:r>
        <w:rPr>
          <w:rFonts w:ascii="仿宋_GB2312" w:hAnsi="仿宋_GB2312" w:eastAsia="仿宋_GB2312"/>
          <w:b w:val="0"/>
          <w:sz w:val="32"/>
        </w:rPr>
        <w:t>比上年减少0.25万元，下降2.64%，主要原因是：严格落实中央八项规定精神，厉行节约，减少公务接待费。其中：因公出国（境）费支出0.00万元，占0.00%，比上年增加0.00万元，增长0.00%，主要原因是：2023年与2024年均未安排因公出国（境）费支出。公务用车购置及运行维护费支出8.40万元，占91.01%，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公务用车运行维护费与上年一致无变化。公务接待费支出0.83万元，占8.99%，比上年减少0.25万元，下降23.15%，主要原因是：严格落实中央八项规定精神，厉行节约，减少公务接待费。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8.40万元，其中：公务用车购置费0.00万元，公务用车运行维护费8.40万元。公务用车运行维护费开支内容包括车辆加油费、维修费、保险费、审车费、过路费等。公务用车购置数0辆，公务用车保有量10辆。国有资产占用情况中固定资产车辆13辆，与公务用车保有量差异原因是：本单位车辆借用其他单位使用，车辆费用由使用单位支付。</w:t>
      </w:r>
    </w:p>
    <w:p>
      <w:pPr>
        <w:spacing w:line="580" w:lineRule="exact"/>
        <w:ind w:firstLine="640"/>
        <w:jc w:val="both"/>
      </w:pPr>
      <w:r>
        <w:rPr>
          <w:rFonts w:ascii="仿宋_GB2312" w:hAnsi="仿宋_GB2312" w:eastAsia="仿宋_GB2312"/>
          <w:b w:val="0"/>
          <w:sz w:val="32"/>
        </w:rPr>
        <w:t>公务接待费0.83万元，开支内容包括因监督检查和纪检监察工作需要，接待上级监督检查组、业务指导组等产生的就餐费。单位全年安排的国内公务接待65批次，172人次。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9.23万元，决算数9.23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8.40万元，决算数8.40万元，预决算差异率0.00%，主要原因是：严格按照预算执行，预决算无差异。公务接待费全年预算数0.83万元，决算数0.83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2024年度中共伽师县纪律检查委员会（行政单位和参照公务员法管理事业单位）机关运行经费支出54.49万元，比上年增加10.05万元，增长22.61%，主要原因是：本年在职人员增加，办公费用增加。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2024年度政府采购支出总额7.91万元，其中：政府采购货物支出0.00万元、政府采购工程支出0.00万元、政府采购服务支出7.91万元。</w:t>
      </w:r>
    </w:p>
    <w:p>
      <w:pPr>
        <w:spacing w:line="580" w:lineRule="exact"/>
        <w:ind w:firstLine="640"/>
        <w:jc w:val="both"/>
      </w:pPr>
      <w:r>
        <w:rPr>
          <w:rFonts w:ascii="仿宋_GB2312" w:hAnsi="仿宋_GB2312" w:eastAsia="仿宋_GB2312"/>
          <w:b w:val="0"/>
          <w:sz w:val="32"/>
        </w:rPr>
        <w:t>授予中小企业合同金额4.92万元，占政府采购支出总额的62.20%，其中：授予小微企业合同金额4.92万元，占政府采购支出总额的62.20%。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3,904.80平方米，价值743.14万元。车辆13辆，价值185.93万元，其中：副部（省）级及以上领导用车0辆、主要负责人用车0辆、机要通信用车0辆、应急保障用车0辆、执法执勤用车0辆、特种专业技术用车0辆、离退休干部服务用车0辆、其他用车13辆，其他用车主要是：本单位有1辆洒水车，10辆一般公务用车，2辆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2,482.98万元，实际执行总额2,482.98万元；预算绩效评价项目1个，全年预算数35.12万元，全年执行数35.12万元。预算绩效管理取得的成效：本单位项目绩效自评表</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不予公开。发现的问题及原因：本单位项目绩效自评表</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不予公开。下一步改进措施：本单位项目绩效自评表</w:t>
      </w:r>
      <w:r>
        <w:rPr>
          <w:rFonts w:hint="eastAsia" w:ascii="仿宋_GB2312" w:hAnsi="仿宋_GB2312" w:eastAsia="仿宋_GB2312"/>
          <w:b w:val="0"/>
          <w:sz w:val="32"/>
          <w:lang w:val="en-US" w:eastAsia="zh-CN"/>
        </w:rPr>
        <w:t>涉密</w:t>
      </w:r>
      <w:r>
        <w:rPr>
          <w:rFonts w:ascii="仿宋_GB2312" w:hAnsi="仿宋_GB2312" w:eastAsia="仿宋_GB2312"/>
          <w:b w:val="0"/>
          <w:sz w:val="32"/>
        </w:rPr>
        <w:t>不予公开。具体附整体支出绩效自评表。</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中共伽师县纪律检查委员会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2,482.98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2,110.80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337.06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2024年伽师县纪检监察机关坚持以习近平新时代中国特色社会主义思想为指导，全面贯彻落实党的二十大、</w:t>
            </w:r>
            <w:r>
              <w:rPr>
                <w:rFonts w:hint="eastAsia" w:ascii="宋体" w:hAnsi="宋体"/>
                <w:sz w:val="16"/>
                <w:lang w:eastAsia="zh-CN"/>
              </w:rPr>
              <w:t>党的二十届二中全会精神</w:t>
            </w:r>
            <w:r>
              <w:rPr>
                <w:rFonts w:ascii="宋体" w:hAnsi="宋体" w:eastAsia="宋体"/>
                <w:sz w:val="16"/>
              </w:rPr>
              <w:t>，深入贯彻二十届中央纪委三次全会、</w:t>
            </w:r>
            <w:r>
              <w:rPr>
                <w:rFonts w:hint="eastAsia" w:ascii="宋体" w:hAnsi="宋体"/>
                <w:sz w:val="16"/>
                <w:lang w:eastAsia="zh-CN"/>
              </w:rPr>
              <w:t>自治区党委十届四次全会</w:t>
            </w:r>
            <w:r>
              <w:rPr>
                <w:rFonts w:ascii="宋体" w:hAnsi="宋体" w:eastAsia="宋体"/>
                <w:sz w:val="16"/>
              </w:rPr>
              <w:t>和地区党风廉政建设会议精神，认真落实自治区党委、地委和县委工作部署，聚焦完整准确全面贯彻新时代党的治疆方略，深入学习贯彻习近平总书记关于党的自我革命的重要思想，坚决落实全面从严治党战略方针，深刻领悟“两个确立”的决定性意义，自觉增强“四个意识”、坚定“四个自信”、做到“两个维护”，坚持稳中求进工作总基调，巩固拓展主题教育和教育整顿成果，忠诚履行党章和宪法赋予的职责，开展监督检查，受理各类问题线索及时处置，</w:t>
            </w:r>
            <w:r>
              <w:rPr>
                <w:rFonts w:hint="eastAsia" w:ascii="宋体" w:hAnsi="宋体"/>
                <w:sz w:val="16"/>
                <w:lang w:eastAsia="zh-CN"/>
              </w:rPr>
              <w:t>查办违纪违法案件</w:t>
            </w:r>
            <w:r>
              <w:rPr>
                <w:rFonts w:ascii="宋体" w:hAnsi="宋体" w:eastAsia="宋体"/>
                <w:sz w:val="16"/>
              </w:rPr>
              <w:t>提高案件办结率，开展3轮巡察，推动健全全面从严治党体系，持续深化正风肃纪反腐，纵深</w:t>
            </w:r>
            <w:r>
              <w:rPr>
                <w:rFonts w:hint="eastAsia" w:ascii="宋体" w:hAnsi="宋体"/>
                <w:sz w:val="16"/>
                <w:lang w:eastAsia="zh-CN"/>
              </w:rPr>
              <w:t>推进新时代新征程纪检监察工作高质量发展</w:t>
            </w:r>
            <w:r>
              <w:rPr>
                <w:rFonts w:ascii="宋体" w:hAnsi="宋体" w:eastAsia="宋体"/>
                <w:sz w:val="16"/>
              </w:rPr>
              <w:t>，为在中国式现代化进程中更好建设美丽伽师提供坚强保障。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伽师县纪检监察机关深入学习贯彻习近平总书记关于党的自我革命的重要思想，坚决落实全面从严治党战略方针，深刻领悟“两个确立”的决定性意义，自觉增强“四个意识”、坚定“四个自信”、做到“两个维护”，坚持稳中求进工作总基调，巩固拓展主题教育和教育整顿成果，忠诚履行党章和宪法赋予的职责，开展监督检查，受理各类问题线索及时处置，</w:t>
            </w:r>
            <w:r>
              <w:rPr>
                <w:rFonts w:hint="eastAsia" w:ascii="宋体" w:hAnsi="宋体"/>
                <w:sz w:val="16"/>
                <w:lang w:eastAsia="zh-CN"/>
              </w:rPr>
              <w:t>查办违纪违法案件</w:t>
            </w:r>
            <w:r>
              <w:rPr>
                <w:rFonts w:ascii="宋体" w:hAnsi="宋体" w:eastAsia="宋体"/>
                <w:sz w:val="16"/>
              </w:rPr>
              <w:t>提高案件办结率，开展3轮巡察，推动健全全面从严治党体系，持续深化正风肃纪反腐，纵深</w:t>
            </w:r>
            <w:r>
              <w:rPr>
                <w:rFonts w:hint="eastAsia" w:ascii="宋体" w:hAnsi="宋体"/>
                <w:sz w:val="16"/>
                <w:lang w:eastAsia="zh-CN"/>
              </w:rPr>
              <w:t>推进新时代新征程纪检监察工作高质量发展</w:t>
            </w:r>
            <w:r>
              <w:rPr>
                <w:rFonts w:ascii="宋体" w:hAnsi="宋体" w:eastAsia="宋体"/>
                <w:sz w:val="16"/>
              </w:rPr>
              <w:t>，为在中国式现代化进程中更好建设美丽伽师提供坚强保障。查办案件数量446件，开展日常监督检查27次，开展日常</w:t>
            </w:r>
            <w:r>
              <w:rPr>
                <w:rFonts w:hint="eastAsia" w:ascii="宋体" w:hAnsi="宋体"/>
                <w:sz w:val="16"/>
                <w:lang w:eastAsia="zh-CN"/>
              </w:rPr>
              <w:t>巡查</w:t>
            </w:r>
            <w:r>
              <w:rPr>
                <w:rFonts w:ascii="宋体" w:hAnsi="宋体" w:eastAsia="宋体"/>
                <w:sz w:val="16"/>
              </w:rPr>
              <w:t>3轮，线索处置率100%，案件办结率100%。</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查办案件数量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《伽师县纪检监察系统2024年工作计划》、自治区政府工作报告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开展日常监督检查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《伽师县纪检监察系统2024年工作计划》、自治区政府工作报告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开展日常</w:t>
            </w:r>
            <w:r>
              <w:rPr>
                <w:rFonts w:hint="eastAsia" w:ascii="宋体" w:hAnsi="宋体"/>
                <w:sz w:val="16"/>
                <w:lang w:eastAsia="zh-CN"/>
              </w:rPr>
              <w:t>巡查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《伽师县纪检监察系统2024年工作计划》、自治区政府工作报告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线索处置率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《伽师县纪检监察系统2024年工作计划》、自治区政府工作报告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案件办结率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《伽师县纪检监察系统2024年工作计划》、自治区政府工作报告</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项目1个，全年预算数35.12万元，全年执行数35.12万元。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DB77B5B-53E9-43F9-B5F0-06764D793D6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013779F7-26A0-45E0-86D6-6C042DB6BD35}"/>
  </w:font>
  <w:font w:name="仿宋_GB2312">
    <w:panose1 w:val="02010609030101010101"/>
    <w:charset w:val="86"/>
    <w:family w:val="auto"/>
    <w:pitch w:val="default"/>
    <w:sig w:usb0="00000001" w:usb1="080E0000" w:usb2="00000000" w:usb3="00000000" w:csb0="00040000" w:csb1="00000000"/>
    <w:embedRegular r:id="rId3" w:fontKey="{C79D9AE6-B10A-4404-BD7B-18FC4CE684DE}"/>
  </w:font>
  <w:font w:name="楷体_GB2312">
    <w:panose1 w:val="02010609030101010101"/>
    <w:charset w:val="86"/>
    <w:family w:val="auto"/>
    <w:pitch w:val="default"/>
    <w:sig w:usb0="00000001" w:usb1="080E0000" w:usb2="00000000" w:usb3="00000000" w:csb0="00040000" w:csb1="00000000"/>
    <w:embedRegular r:id="rId4" w:fontKey="{106C791D-18CA-4C5E-8D1A-AB11AE7BDFF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69C2F1D"/>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B771A8"/>
    <w:rsid w:val="464B7E04"/>
    <w:rsid w:val="464F7E64"/>
    <w:rsid w:val="46901EEE"/>
    <w:rsid w:val="469C74D2"/>
    <w:rsid w:val="47445515"/>
    <w:rsid w:val="494C65A4"/>
    <w:rsid w:val="4B4C0111"/>
    <w:rsid w:val="4BB23021"/>
    <w:rsid w:val="4F3F074E"/>
    <w:rsid w:val="50DB5F45"/>
    <w:rsid w:val="52F92565"/>
    <w:rsid w:val="543D17CB"/>
    <w:rsid w:val="55DA564E"/>
    <w:rsid w:val="56E07045"/>
    <w:rsid w:val="583059FA"/>
    <w:rsid w:val="587E6212"/>
    <w:rsid w:val="5AFC6609"/>
    <w:rsid w:val="5B685E14"/>
    <w:rsid w:val="5D5D6EC1"/>
    <w:rsid w:val="5FA17648"/>
    <w:rsid w:val="5FD320BD"/>
    <w:rsid w:val="60DE4D57"/>
    <w:rsid w:val="613409CB"/>
    <w:rsid w:val="61A46A97"/>
    <w:rsid w:val="62DD7D21"/>
    <w:rsid w:val="63C81B5F"/>
    <w:rsid w:val="65D97752"/>
    <w:rsid w:val="664C500C"/>
    <w:rsid w:val="67D111AB"/>
    <w:rsid w:val="68DB0208"/>
    <w:rsid w:val="68DF36D5"/>
    <w:rsid w:val="69846A0E"/>
    <w:rsid w:val="69AD798C"/>
    <w:rsid w:val="6A222D36"/>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B0621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5323</Words>
  <Characters>6094</Characters>
  <Lines>0</Lines>
  <Paragraphs>0</Paragraphs>
  <TotalTime>17</TotalTime>
  <ScaleCrop>false</ScaleCrop>
  <LinksUpToDate>false</LinksUpToDate>
  <CharactersWithSpaces>6102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2025-11-11T15:41:47Z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