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认真学习研究党的基本理论、基本路线、基本纲领，紧密联系本县实际，为县政府提出贯彻落实的意见，提供科学决策的依据和决策方案，增强“为基层服务、为机关服务、为领导服务”三大职能，全面做好综合协调工作，确保信息畅通，上情及时下达、下情及时上传。</w:t>
      </w:r>
    </w:p>
    <w:p>
      <w:pPr>
        <w:spacing w:line="580" w:lineRule="exact"/>
        <w:ind w:firstLine="640"/>
        <w:jc w:val="both"/>
      </w:pPr>
      <w:r>
        <w:rPr>
          <w:rFonts w:ascii="仿宋_GB2312" w:hAnsi="仿宋_GB2312" w:eastAsia="仿宋_GB2312"/>
          <w:sz w:val="32"/>
        </w:rPr>
        <w:t>（二）围绕县委、县政府各个时期的中心工作，关注的重大问题，开展调查研究，做好信息收集和反馈工作。</w:t>
      </w:r>
    </w:p>
    <w:p>
      <w:pPr>
        <w:spacing w:line="580" w:lineRule="exact"/>
        <w:ind w:firstLine="640"/>
        <w:jc w:val="both"/>
      </w:pPr>
      <w:r>
        <w:rPr>
          <w:rFonts w:ascii="仿宋_GB2312" w:hAnsi="仿宋_GB2312" w:eastAsia="仿宋_GB2312"/>
          <w:sz w:val="32"/>
        </w:rPr>
        <w:t>（三）做好上级文件收发、传递、阅办及县政府公文的起草、审定、翻译、分发、立卷、归档工作，推进公文工作的</w:t>
      </w:r>
      <w:r>
        <w:rPr>
          <w:rFonts w:hint="eastAsia" w:ascii="仿宋_GB2312" w:hAnsi="仿宋_GB2312" w:eastAsia="仿宋_GB2312"/>
          <w:sz w:val="32"/>
          <w:lang w:eastAsia="zh-CN"/>
        </w:rPr>
        <w:t>制度化、规范化、科学化</w:t>
      </w:r>
      <w:r>
        <w:rPr>
          <w:rFonts w:ascii="仿宋_GB2312" w:hAnsi="仿宋_GB2312" w:eastAsia="仿宋_GB2312"/>
          <w:sz w:val="32"/>
        </w:rPr>
        <w:t>。</w:t>
      </w:r>
    </w:p>
    <w:p>
      <w:pPr>
        <w:spacing w:line="580" w:lineRule="exact"/>
        <w:ind w:firstLine="640"/>
        <w:jc w:val="both"/>
      </w:pPr>
      <w:r>
        <w:rPr>
          <w:rFonts w:ascii="仿宋_GB2312" w:hAnsi="仿宋_GB2312" w:eastAsia="仿宋_GB2312"/>
          <w:sz w:val="32"/>
        </w:rPr>
        <w:t>（四）负责政府系统的机要、保密工作，做好政府</w:t>
      </w:r>
      <w:r>
        <w:rPr>
          <w:rFonts w:hint="eastAsia" w:ascii="仿宋_GB2312" w:hAnsi="仿宋_GB2312" w:eastAsia="仿宋_GB2312"/>
          <w:sz w:val="32"/>
          <w:lang w:eastAsia="zh-CN"/>
        </w:rPr>
        <w:t>机关机要电传</w:t>
      </w:r>
      <w:bookmarkStart w:id="0" w:name="_GoBack"/>
      <w:bookmarkEnd w:id="0"/>
      <w:r>
        <w:rPr>
          <w:rFonts w:ascii="仿宋_GB2312" w:hAnsi="仿宋_GB2312" w:eastAsia="仿宋_GB2312"/>
          <w:sz w:val="32"/>
        </w:rPr>
        <w:t>和普通电传的收发、呈送、传阅、立卷、归档工作。严格执行保密规定，严防失泄密事件的发生。</w:t>
      </w:r>
    </w:p>
    <w:p>
      <w:pPr>
        <w:spacing w:line="580" w:lineRule="exact"/>
        <w:ind w:firstLine="640"/>
        <w:jc w:val="both"/>
      </w:pPr>
      <w:r>
        <w:rPr>
          <w:rFonts w:ascii="仿宋_GB2312" w:hAnsi="仿宋_GB2312" w:eastAsia="仿宋_GB2312"/>
          <w:sz w:val="32"/>
        </w:rPr>
        <w:t>（五）负责</w:t>
      </w:r>
      <w:r>
        <w:rPr>
          <w:rFonts w:hint="eastAsia" w:ascii="仿宋_GB2312" w:hAnsi="仿宋_GB2312" w:eastAsia="仿宋_GB2312"/>
          <w:sz w:val="32"/>
          <w:lang w:eastAsia="zh-CN"/>
        </w:rPr>
        <w:t>县政府常务会议</w:t>
      </w:r>
      <w:r>
        <w:rPr>
          <w:rFonts w:ascii="仿宋_GB2312" w:hAnsi="仿宋_GB2312" w:eastAsia="仿宋_GB2312"/>
          <w:sz w:val="32"/>
        </w:rPr>
        <w:t>、县长办公会议、政府常务会议、政府党组会议、政府民主生活会，县政府召开的各类工作会议的秘书、翻译、会务服务工作，组织实施会议决议。</w:t>
      </w:r>
    </w:p>
    <w:p>
      <w:pPr>
        <w:spacing w:line="580" w:lineRule="exact"/>
        <w:ind w:firstLine="640"/>
        <w:jc w:val="both"/>
      </w:pPr>
      <w:r>
        <w:rPr>
          <w:rFonts w:ascii="仿宋_GB2312" w:hAnsi="仿宋_GB2312" w:eastAsia="仿宋_GB2312"/>
          <w:sz w:val="32"/>
        </w:rPr>
        <w:t>（六）根据领导指示和办文办会需要，认真协调政府机关和各部门之间的关系，更好</w:t>
      </w:r>
      <w:r>
        <w:rPr>
          <w:rFonts w:hint="eastAsia" w:ascii="仿宋_GB2312" w:hAnsi="仿宋_GB2312" w:eastAsia="仿宋_GB2312"/>
          <w:sz w:val="32"/>
          <w:lang w:eastAsia="zh-CN"/>
        </w:rPr>
        <w:t>地</w:t>
      </w:r>
      <w:r>
        <w:rPr>
          <w:rFonts w:ascii="仿宋_GB2312" w:hAnsi="仿宋_GB2312" w:eastAsia="仿宋_GB2312"/>
          <w:sz w:val="32"/>
        </w:rPr>
        <w:t>完成县委、县政府的各项任务。</w:t>
      </w:r>
    </w:p>
    <w:p>
      <w:pPr>
        <w:spacing w:line="580" w:lineRule="exact"/>
        <w:ind w:firstLine="640"/>
        <w:jc w:val="both"/>
      </w:pPr>
      <w:r>
        <w:rPr>
          <w:rFonts w:ascii="仿宋_GB2312" w:hAnsi="仿宋_GB2312" w:eastAsia="仿宋_GB2312"/>
          <w:sz w:val="32"/>
        </w:rPr>
        <w:t>（七）负责人大代表、政协委员对政府的意见、建议及提案的办理和答复工作。</w:t>
      </w:r>
    </w:p>
    <w:p>
      <w:pPr>
        <w:spacing w:line="580" w:lineRule="exact"/>
        <w:ind w:firstLine="640"/>
        <w:jc w:val="both"/>
      </w:pPr>
      <w:r>
        <w:rPr>
          <w:rFonts w:ascii="仿宋_GB2312" w:hAnsi="仿宋_GB2312" w:eastAsia="仿宋_GB2312"/>
          <w:sz w:val="32"/>
        </w:rPr>
        <w:t>（八）负责机关纪律、机关政治学习、机关安全保卫等工作。</w:t>
      </w:r>
    </w:p>
    <w:p>
      <w:pPr>
        <w:spacing w:line="580" w:lineRule="exact"/>
        <w:ind w:firstLine="640"/>
        <w:jc w:val="both"/>
      </w:pPr>
      <w:r>
        <w:rPr>
          <w:rFonts w:ascii="仿宋_GB2312" w:hAnsi="仿宋_GB2312" w:eastAsia="仿宋_GB2312"/>
          <w:sz w:val="32"/>
        </w:rPr>
        <w:t>（九）负责公务接待、后勤服务工作。</w:t>
      </w:r>
    </w:p>
    <w:p>
      <w:pPr>
        <w:spacing w:line="580" w:lineRule="exact"/>
        <w:ind w:firstLine="640"/>
        <w:jc w:val="both"/>
      </w:pPr>
      <w:r>
        <w:rPr>
          <w:rFonts w:ascii="仿宋_GB2312" w:hAnsi="仿宋_GB2312" w:eastAsia="仿宋_GB2312"/>
          <w:sz w:val="32"/>
        </w:rPr>
        <w:t>（十）协助县政府领导处理突发事件和县政府领导交办的其他工作。</w:t>
      </w:r>
    </w:p>
    <w:p>
      <w:pPr>
        <w:spacing w:line="580" w:lineRule="exact"/>
        <w:ind w:firstLine="640"/>
        <w:jc w:val="both"/>
      </w:pPr>
      <w:r>
        <w:rPr>
          <w:rFonts w:ascii="仿宋_GB2312" w:hAnsi="仿宋_GB2312" w:eastAsia="仿宋_GB2312"/>
          <w:sz w:val="32"/>
        </w:rPr>
        <w:t>（十一）贯彻执行国家、自治区、地区对外方针、政策和有关法律法规以及县委、县政府关于外事工作的决定。</w:t>
      </w:r>
    </w:p>
    <w:p>
      <w:pPr>
        <w:spacing w:line="580" w:lineRule="exact"/>
        <w:ind w:firstLine="640"/>
        <w:jc w:val="both"/>
      </w:pPr>
      <w:r>
        <w:rPr>
          <w:rFonts w:ascii="仿宋_GB2312" w:hAnsi="仿宋_GB2312" w:eastAsia="仿宋_GB2312"/>
          <w:sz w:val="32"/>
        </w:rPr>
        <w:t>（十二）研究制定全县外事工作制度、工作规划和年度计划；检查全县有关部门的单位贯彻执行对外方针、政策和法规情况；协调、处理全县重大外事</w:t>
      </w:r>
      <w:r>
        <w:rPr>
          <w:rFonts w:hint="eastAsia" w:ascii="仿宋_GB2312" w:hAnsi="仿宋_GB2312" w:eastAsia="仿宋_GB2312"/>
          <w:sz w:val="32"/>
          <w:lang w:eastAsia="zh-CN"/>
        </w:rPr>
        <w:t>工作及涉外活动事务</w:t>
      </w:r>
      <w:r>
        <w:rPr>
          <w:rFonts w:ascii="仿宋_GB2312" w:hAnsi="仿宋_GB2312" w:eastAsia="仿宋_GB2312"/>
          <w:sz w:val="32"/>
        </w:rPr>
        <w:t>。</w:t>
      </w:r>
    </w:p>
    <w:p>
      <w:pPr>
        <w:spacing w:line="580" w:lineRule="exact"/>
        <w:ind w:firstLine="640"/>
        <w:jc w:val="both"/>
      </w:pPr>
      <w:r>
        <w:rPr>
          <w:rFonts w:ascii="仿宋_GB2312" w:hAnsi="仿宋_GB2312" w:eastAsia="仿宋_GB2312"/>
          <w:sz w:val="32"/>
        </w:rPr>
        <w:t>（十三）根据全县经济建设和社会发展以及对外开放的需要开展调查研究，为县委、县政府的对外工作提出建议和措施。</w:t>
      </w:r>
    </w:p>
    <w:p>
      <w:pPr>
        <w:spacing w:line="580" w:lineRule="exact"/>
        <w:ind w:firstLine="640"/>
        <w:jc w:val="both"/>
      </w:pPr>
      <w:r>
        <w:rPr>
          <w:rFonts w:ascii="仿宋_GB2312" w:hAnsi="仿宋_GB2312" w:eastAsia="仿宋_GB2312"/>
          <w:sz w:val="32"/>
        </w:rPr>
        <w:t>（十四）负责以县政府名义举办的对外联络、协调工作；组织接待来县访问的外宾；统筹安排县委</w:t>
      </w:r>
      <w:r>
        <w:rPr>
          <w:rFonts w:hint="eastAsia" w:ascii="仿宋_GB2312" w:hAnsi="仿宋_GB2312" w:eastAsia="仿宋_GB2312"/>
          <w:sz w:val="32"/>
          <w:lang w:eastAsia="zh-CN"/>
        </w:rPr>
        <w:t>、县</w:t>
      </w:r>
      <w:r>
        <w:rPr>
          <w:rFonts w:ascii="仿宋_GB2312" w:hAnsi="仿宋_GB2312" w:eastAsia="仿宋_GB2312"/>
          <w:sz w:val="32"/>
        </w:rPr>
        <w:t>人大、政府、政协的对外交往事宜。</w:t>
      </w:r>
    </w:p>
    <w:p>
      <w:pPr>
        <w:spacing w:line="580" w:lineRule="exact"/>
        <w:ind w:firstLine="640"/>
        <w:jc w:val="both"/>
      </w:pPr>
      <w:r>
        <w:rPr>
          <w:rFonts w:ascii="仿宋_GB2312" w:hAnsi="仿宋_GB2312" w:eastAsia="仿宋_GB2312"/>
          <w:sz w:val="32"/>
        </w:rPr>
        <w:t>（十五）配合有关部门检查外事纪律及保密制度的执行情况，向有关部门提出违反外事纪律问题的处理意见和建议。</w:t>
      </w:r>
    </w:p>
    <w:p>
      <w:pPr>
        <w:spacing w:line="580" w:lineRule="exact"/>
        <w:ind w:firstLine="640"/>
        <w:jc w:val="both"/>
      </w:pPr>
      <w:r>
        <w:rPr>
          <w:rFonts w:ascii="仿宋_GB2312" w:hAnsi="仿宋_GB2312" w:eastAsia="仿宋_GB2312"/>
          <w:sz w:val="32"/>
        </w:rPr>
        <w:t>（十六）承办县委、县政府交办的其他事项。</w:t>
      </w:r>
    </w:p>
    <w:p>
      <w:pPr>
        <w:spacing w:line="580" w:lineRule="exact"/>
        <w:ind w:firstLine="640"/>
        <w:jc w:val="both"/>
      </w:pPr>
      <w:r>
        <w:rPr>
          <w:rFonts w:ascii="仿宋_GB2312" w:hAnsi="仿宋_GB2312" w:eastAsia="仿宋_GB2312"/>
          <w:sz w:val="32"/>
        </w:rPr>
        <w:t>（十七）制定机关事务工作的规划和管理制度，并组织实施。</w:t>
      </w:r>
    </w:p>
    <w:p>
      <w:pPr>
        <w:spacing w:line="580" w:lineRule="exact"/>
        <w:ind w:firstLine="640"/>
        <w:jc w:val="both"/>
      </w:pPr>
      <w:r>
        <w:rPr>
          <w:rFonts w:ascii="仿宋_GB2312" w:hAnsi="仿宋_GB2312" w:eastAsia="仿宋_GB2312"/>
          <w:sz w:val="32"/>
        </w:rPr>
        <w:t>（十八）组织开展机关事业单位后勤保障工作改革；协调、指导后勤服务单位业务工作。</w:t>
      </w:r>
    </w:p>
    <w:p>
      <w:pPr>
        <w:spacing w:line="580" w:lineRule="exact"/>
        <w:ind w:firstLine="640"/>
        <w:jc w:val="both"/>
      </w:pPr>
      <w:r>
        <w:rPr>
          <w:rFonts w:ascii="仿宋_GB2312" w:hAnsi="仿宋_GB2312" w:eastAsia="仿宋_GB2312"/>
          <w:sz w:val="32"/>
        </w:rPr>
        <w:t>（十九）协助县财政部门对机关事业单位国有资产进行产权界定、清查登记、资产处置等工作；协助做好公务用车、接待用车和机动车辆的定编申报、更新、处置工作。</w:t>
      </w:r>
    </w:p>
    <w:p>
      <w:pPr>
        <w:spacing w:line="580" w:lineRule="exact"/>
        <w:ind w:firstLine="640"/>
        <w:jc w:val="both"/>
      </w:pPr>
      <w:r>
        <w:rPr>
          <w:rFonts w:ascii="仿宋_GB2312" w:hAnsi="仿宋_GB2312" w:eastAsia="仿宋_GB2312"/>
          <w:sz w:val="32"/>
        </w:rPr>
        <w:t>（二十）制定关于机关事业单位房地产管理的制度，并组织实施；配合有关单位做好机关事业单位行政办公用房和保障性住房建设项目审核、规划编制、建设监管工作；承担办公用房和办公区建设的规划编制、权属登记、使用调配等工作；承担机关事业单位及所属单位用地管理工作。</w:t>
      </w:r>
    </w:p>
    <w:p>
      <w:pPr>
        <w:spacing w:line="580" w:lineRule="exact"/>
        <w:ind w:firstLine="640"/>
        <w:jc w:val="both"/>
      </w:pPr>
      <w:r>
        <w:rPr>
          <w:rFonts w:ascii="仿宋_GB2312" w:hAnsi="仿宋_GB2312" w:eastAsia="仿宋_GB2312"/>
          <w:sz w:val="32"/>
        </w:rPr>
        <w:t>（二十一）承担机关事业单位办公区公共机构节能减排工作。</w:t>
      </w:r>
    </w:p>
    <w:p>
      <w:pPr>
        <w:spacing w:line="580" w:lineRule="exact"/>
        <w:ind w:firstLine="640"/>
        <w:jc w:val="both"/>
      </w:pPr>
      <w:r>
        <w:rPr>
          <w:rFonts w:ascii="仿宋_GB2312" w:hAnsi="仿宋_GB2312" w:eastAsia="仿宋_GB2312"/>
          <w:sz w:val="32"/>
        </w:rPr>
        <w:t>（二十二）承办地区机关事务管理局及县领导交办的其他工作。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伽师县人民政府办公室2024年度，实有人数53人，其中：在职人员26人，增加0人；离休人员0人，增加0人；退休人员27人,增加4人。</w:t>
      </w:r>
    </w:p>
    <w:p>
      <w:pPr>
        <w:spacing w:line="580" w:lineRule="exact"/>
        <w:ind w:firstLine="640"/>
        <w:jc w:val="both"/>
      </w:pPr>
      <w:r>
        <w:rPr>
          <w:rFonts w:ascii="仿宋_GB2312" w:hAnsi="仿宋_GB2312" w:eastAsia="仿宋_GB2312"/>
          <w:sz w:val="32"/>
        </w:rPr>
        <w:t>伽师县人民政府办公室无下属预算单位，下设6个科室，分别是：机要档案室、秘书室、财务室、后勤室、机关事务服务中心、数据信息服务中心。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2024年度收入总计873.69万元，</w:t>
      </w:r>
      <w:r>
        <w:rPr>
          <w:rFonts w:ascii="仿宋_GB2312" w:hAnsi="仿宋_GB2312" w:eastAsia="仿宋_GB2312"/>
          <w:b w:val="0"/>
          <w:sz w:val="32"/>
        </w:rPr>
        <w:t>其中：本年收入合计873.69万元，使用非财政拨款结余（含专用结余）0.00万元，年初结转和结余0.00万元。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2024年度支出总计873.69万元，</w:t>
      </w:r>
      <w:r>
        <w:rPr>
          <w:rFonts w:ascii="仿宋_GB2312" w:hAnsi="仿宋_GB2312" w:eastAsia="仿宋_GB2312"/>
          <w:b w:val="0"/>
          <w:sz w:val="32"/>
        </w:rPr>
        <w:t>其中：本年支出合计873.69万元，结余分配0.00万元，年末结转和结余0.00万元。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收入支出总体与上年相比，增加72.52万元，增长9.05%，主要原因是：本年增加2021—2023年伽师县人民政府购买法律服务项目、2024年缴纳建设项目耕地开垦费项目等，导致经费较上年增加。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本年收入873.69万元，</w:t>
      </w:r>
      <w:r>
        <w:rPr>
          <w:rFonts w:ascii="仿宋_GB2312" w:hAnsi="仿宋_GB2312" w:eastAsia="仿宋_GB2312"/>
          <w:b w:val="0"/>
          <w:sz w:val="32"/>
        </w:rPr>
        <w:t>其中：财政拨款收入781.86万元，占89.49%；上级补助收入0.00万元，占0.00%；事业收入0.00万元，占0.00%；经营收入0.00万元，占0.00%；附属单位上缴收入0.00万元，占0.00%；其他收入91.83万元，占10.51%。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本年支出873.69万元，</w:t>
      </w:r>
      <w:r>
        <w:rPr>
          <w:rFonts w:ascii="仿宋_GB2312" w:hAnsi="仿宋_GB2312" w:eastAsia="仿宋_GB2312"/>
          <w:b w:val="0"/>
          <w:sz w:val="32"/>
        </w:rPr>
        <w:t>其中：基本支出681.32万元，占77.98%；项目支出192.37万元，占22.02%；上缴上级支出0.00万元，占0.00%；经营支出0.00万元，占0.00%；对附属单位补助支出0.00万元，占0.00%。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2024年度财政拨款收入总计781.86万元，</w:t>
      </w:r>
      <w:r>
        <w:rPr>
          <w:rFonts w:ascii="仿宋_GB2312" w:hAnsi="仿宋_GB2312" w:eastAsia="仿宋_GB2312"/>
          <w:b w:val="0"/>
          <w:sz w:val="32"/>
        </w:rPr>
        <w:t>其中：年初财政拨款结转和结余0.00万元，本年财政拨款收入781.86万元。</w:t>
      </w:r>
      <w:r>
        <w:rPr>
          <w:rFonts w:ascii="仿宋_GB2312" w:hAnsi="仿宋_GB2312" w:eastAsia="仿宋_GB2312"/>
          <w:b/>
          <w:sz w:val="32"/>
        </w:rPr>
        <w:t>财政拨款支出总计781.86万元，</w:t>
      </w:r>
      <w:r>
        <w:rPr>
          <w:rFonts w:ascii="仿宋_GB2312" w:hAnsi="仿宋_GB2312" w:eastAsia="仿宋_GB2312"/>
          <w:b w:val="0"/>
          <w:sz w:val="32"/>
        </w:rPr>
        <w:t>其中：年末财政拨款结转和结余0.00万元，本年财政拨款支出781.86万元。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增加29.47万元，增长3.92%，主要原因是：本年增加2021—2023年伽师县人民政府购买法律服务项目、2024年缴纳建设项目耕地开垦费项目等，导致经费较上年增加。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585.22万元，决算数781.86万元，预决算差异率33.60%，主要原因是：年中追加2024年政府及政府大院后勤保障项目，2021—2023年伽师县人民政府购买法律服务项目，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2024年度一般公共预算财政拨款支出781.86万元，</w:t>
      </w:r>
      <w:r>
        <w:rPr>
          <w:rFonts w:ascii="仿宋_GB2312" w:hAnsi="仿宋_GB2312" w:eastAsia="仿宋_GB2312"/>
          <w:b w:val="0"/>
          <w:sz w:val="32"/>
        </w:rPr>
        <w:t>占本年支出合计的89.49%。</w:t>
      </w:r>
      <w:r>
        <w:rPr>
          <w:rFonts w:ascii="仿宋_GB2312" w:hAnsi="仿宋_GB2312" w:eastAsia="仿宋_GB2312"/>
          <w:b/>
          <w:sz w:val="32"/>
        </w:rPr>
        <w:t>与上年相比，</w:t>
      </w:r>
      <w:r>
        <w:rPr>
          <w:rFonts w:ascii="仿宋_GB2312" w:hAnsi="仿宋_GB2312" w:eastAsia="仿宋_GB2312"/>
          <w:b w:val="0"/>
          <w:sz w:val="32"/>
        </w:rPr>
        <w:t>增加29.47万元，增长3.92%，主要原因是：本年增加2021—2023年伽师县人民政府购买法律服务项目、2024年缴纳建设项目耕地开垦费项目等，导致经费较上年增加。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585.22万元，决算数781.86万元，预决算差异率33.60%，主要原因是：年中追加2024年政府及政府大院后勤保障项目，2021—2023年伽师县人民政府购买法律服务项目，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1.一般公共服务支出(类)618.87万元,占79.15%。</w:t>
      </w:r>
    </w:p>
    <w:p>
      <w:pPr>
        <w:spacing w:line="580" w:lineRule="exact"/>
        <w:ind w:firstLine="640"/>
        <w:jc w:val="both"/>
      </w:pPr>
      <w:r>
        <w:rPr>
          <w:rFonts w:ascii="仿宋_GB2312" w:hAnsi="仿宋_GB2312" w:eastAsia="仿宋_GB2312"/>
          <w:b w:val="0"/>
          <w:sz w:val="32"/>
        </w:rPr>
        <w:t>2.社会保障和就业支出(类)99.16万元,占12.68%。</w:t>
      </w:r>
    </w:p>
    <w:p>
      <w:pPr>
        <w:spacing w:line="580" w:lineRule="exact"/>
        <w:ind w:firstLine="640"/>
        <w:jc w:val="both"/>
      </w:pPr>
      <w:r>
        <w:rPr>
          <w:rFonts w:ascii="仿宋_GB2312" w:hAnsi="仿宋_GB2312" w:eastAsia="仿宋_GB2312"/>
          <w:b w:val="0"/>
          <w:sz w:val="32"/>
        </w:rPr>
        <w:t>3.卫生健康支出(类)24.36万元,占3.12%。</w:t>
      </w:r>
    </w:p>
    <w:p>
      <w:pPr>
        <w:spacing w:line="580" w:lineRule="exact"/>
        <w:ind w:firstLine="640"/>
        <w:jc w:val="both"/>
      </w:pPr>
      <w:r>
        <w:rPr>
          <w:rFonts w:ascii="仿宋_GB2312" w:hAnsi="仿宋_GB2312" w:eastAsia="仿宋_GB2312"/>
          <w:b w:val="0"/>
          <w:sz w:val="32"/>
        </w:rPr>
        <w:t>4.住房保障支出(类)39.47万元,占5.05%。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1.一般公共服务支出(类)政府办公厅（室）及相关机构事务(款)行政运行(项):支出决算数为518.33万元，比上年决算减少30.18万元，下降5.50%,主要原因是：本年人员</w:t>
      </w:r>
      <w:r>
        <w:rPr>
          <w:rFonts w:hint="eastAsia" w:ascii="仿宋_GB2312" w:hAnsi="仿宋_GB2312" w:eastAsia="仿宋_GB2312"/>
          <w:b w:val="0"/>
          <w:sz w:val="32"/>
          <w:lang w:val="en-US" w:eastAsia="zh-CN"/>
        </w:rPr>
        <w:t>存在调入，退休</w:t>
      </w:r>
      <w:r>
        <w:rPr>
          <w:rFonts w:ascii="仿宋_GB2312" w:hAnsi="仿宋_GB2312" w:eastAsia="仿宋_GB2312"/>
          <w:b w:val="0"/>
          <w:sz w:val="32"/>
        </w:rPr>
        <w:t>，人员职级不同，工资基数不同，导致人员经费较上年减少。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100.54万元，比上年决算增加55.48万元，增长123.12%,主要原因是：本年增加2024年政府及政府大院后勤保障项目，2021—2023年伽师县人民政府购买法律服务项目，2024年缴纳建设项目耕地开垦费项目等。</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3.社会保障和就业支出(类)行政事业单位养老支出(款)行政单位离退休(项):支出决算数为30.50万元，比上年决算增加7.49万元，增长32.55%,主要原因是：本年退休人员增加4人，退休费支出增加。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48.37万元，比上年决算增加3.06万元，增长6.75%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20.29万元，比上年决算减少10.34万元，下降33.76%,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6.卫生健康支出(类)行政事业单位医疗(款)行政单位医疗(项):支出决算数为20.56万元，比上年决算增加1.00万元，增长5.11%,主要原因是：本年在职人员工资基数调增，医疗缴费基数上涨，相应支出增加。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7.卫生健康支出(类)行政事业单位医疗(款)公务员医疗补助(项):支出决算数为3.80万元，比上年决算增加0.16万元，增长4.40%,主要原因是：本年在职人员工资基数调增，公务员医疗补助支出增加，相应支出增加。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8.住房保障支出(类)住房改革支出(款)住房公积金(项):支出决算数为39.47万元，比上年决算增加2.81万元，增长7.67%,主要原因是：本年在职人员工资基数调增，公积金缴费基数上涨，相应支出增加。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2024年度一般公共预算财政拨款基本支出681.32万元，其中：</w:t>
      </w:r>
      <w:r>
        <w:rPr>
          <w:rFonts w:ascii="仿宋_GB2312" w:hAnsi="仿宋_GB2312" w:eastAsia="仿宋_GB2312"/>
          <w:b/>
          <w:sz w:val="32"/>
        </w:rPr>
        <w:t>人员经费635.86万元，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公用经费45.45万元，</w:t>
      </w:r>
      <w:r>
        <w:rPr>
          <w:rFonts w:ascii="仿宋_GB2312" w:hAnsi="仿宋_GB2312" w:eastAsia="仿宋_GB2312"/>
          <w:b w:val="0"/>
          <w:sz w:val="32"/>
        </w:rPr>
        <w:t>包括：办公费、水费、电费、邮电费、取暖费、差旅费、公务接待费、公务用车运行维护费。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2024年度财政拨款“三公”经费支出25.43万元，</w:t>
      </w:r>
      <w:r>
        <w:rPr>
          <w:rFonts w:ascii="仿宋_GB2312" w:hAnsi="仿宋_GB2312" w:eastAsia="仿宋_GB2312"/>
          <w:b w:val="0"/>
          <w:sz w:val="32"/>
        </w:rPr>
        <w:t>比上年减少0.12万元，下降0.47%，主要原因是：采取有效措施加强公务接待管理，严格控制公务接待活动，认真执行经费开支标准，减少公务接待运行成本费用。其中：因公出国（境）费支出0.00万元，占0.00%，比上年增加0.00万元，增长0.00%，主要原因是：2023年与2024年均未安排因公出国（境）费支出。公务用车购置及运行维护费支出25.20万元，占99.10%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0.23万元，占0.90%，比上年减少0.12万元，下降34.29%，主要原因是：采取有效措施加强公务接待管理，严格控制公务接待活动，认真执行经费开支标准，减少公务接待运行成本费用。</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25.20万元，其中：公务用车购置费0.00万元，公务用车运行维护费25.20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公务接待费0.23万元，开支内容包括因调研、交流学习、检查指导等工作，接待上级领导检查产生的就餐费。单位全年安排的国内公务接待2批次，20人次。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25.43万元，决算数25.43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25.20万元，决算数25.20万元，预决算差异率0.00%，主要原因是：严格按照预算执行，预决算无差异。公务接待费全年预算数0.23万元，决算数0.23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2024年度伽师县人民政府办公室（行政单位和参照公务员法管理事业单位）机关运行经费支出45.45万元，比上年增加2.24万元，增长5.18%，主要原因是：本年办公费支出增加，相应支出增加。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2024年度政府采购支出总额18.04万元，其中：政府采购货物支出0.78万元、政府采购工程支出3.95万元、政府采购服务支出13.31万元。</w:t>
      </w:r>
    </w:p>
    <w:p>
      <w:pPr>
        <w:spacing w:line="580" w:lineRule="exact"/>
        <w:ind w:firstLine="640"/>
        <w:jc w:val="both"/>
      </w:pPr>
      <w:r>
        <w:rPr>
          <w:rFonts w:ascii="仿宋_GB2312" w:hAnsi="仿宋_GB2312" w:eastAsia="仿宋_GB2312"/>
          <w:b w:val="0"/>
          <w:sz w:val="32"/>
        </w:rPr>
        <w:t>授予中小企业合同金额18.04万元，占政府采购支出总额的100.00%，其中：授予小微企业合同金额18.04万元，占政府采购支出总额的100.00%。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2,258.70平方米，价值532.48万元。车辆4辆，价值147.71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873.69万元，实际执行总额873.69万元；预算绩效评价项目2个，全年预算数100.54万元，全年执行数100.54万元。预算绩效管理取得的成效：一是及时优化整体绩效指标值，及时更新调整绩效指标值；二是持续加强绩效相关业务知识学习，提高政治站位，进一步优化整体绩效工作。发现的问题及原因：一是</w:t>
      </w:r>
      <w:r>
        <w:rPr>
          <w:rFonts w:hint="eastAsia" w:ascii="仿宋_GB2312" w:hAnsi="仿宋_GB2312" w:eastAsia="仿宋_GB2312"/>
          <w:b w:val="0"/>
          <w:sz w:val="32"/>
          <w:lang w:eastAsia="zh-CN"/>
        </w:rPr>
        <w:t>截至</w:t>
      </w:r>
      <w:r>
        <w:rPr>
          <w:rFonts w:ascii="仿宋_GB2312" w:hAnsi="仿宋_GB2312" w:eastAsia="仿宋_GB2312"/>
          <w:b w:val="0"/>
          <w:sz w:val="32"/>
        </w:rPr>
        <w:t>2024年12月31日</w:t>
      </w:r>
      <w:r>
        <w:rPr>
          <w:rFonts w:hint="eastAsia" w:ascii="仿宋_GB2312" w:hAnsi="仿宋_GB2312" w:eastAsia="仿宋_GB2312"/>
          <w:b w:val="0"/>
          <w:sz w:val="32"/>
          <w:lang w:eastAsia="zh-CN"/>
        </w:rPr>
        <w:t>本单位</w:t>
      </w:r>
      <w:r>
        <w:rPr>
          <w:rFonts w:ascii="仿宋_GB2312" w:hAnsi="仿宋_GB2312" w:eastAsia="仿宋_GB2312"/>
          <w:b w:val="0"/>
          <w:sz w:val="32"/>
        </w:rPr>
        <w:t>资金支出率完成较高。主要原因是2024年在职转退休4人，职业年金单位缴费部分一次性缴实支出；2024年调整补发职工2023年基础绩效奖、艰苦边远津贴、考核绩效奖等人员支出；二是</w:t>
      </w:r>
      <w:r>
        <w:rPr>
          <w:rFonts w:hint="eastAsia" w:ascii="仿宋_GB2312" w:hAnsi="仿宋_GB2312" w:eastAsia="仿宋_GB2312"/>
          <w:b w:val="0"/>
          <w:sz w:val="32"/>
          <w:lang w:eastAsia="zh-CN"/>
        </w:rPr>
        <w:t>截至2024</w:t>
      </w:r>
      <w:r>
        <w:rPr>
          <w:rFonts w:ascii="仿宋_GB2312" w:hAnsi="仿宋_GB2312" w:eastAsia="仿宋_GB2312"/>
          <w:b w:val="0"/>
          <w:sz w:val="32"/>
        </w:rPr>
        <w:t>年12月31日</w:t>
      </w:r>
      <w:r>
        <w:rPr>
          <w:rFonts w:hint="eastAsia" w:ascii="仿宋_GB2312" w:hAnsi="仿宋_GB2312" w:eastAsia="仿宋_GB2312"/>
          <w:b w:val="0"/>
          <w:sz w:val="32"/>
          <w:lang w:eastAsia="zh-CN"/>
        </w:rPr>
        <w:t>本单位</w:t>
      </w:r>
      <w:r>
        <w:rPr>
          <w:rFonts w:ascii="仿宋_GB2312" w:hAnsi="仿宋_GB2312" w:eastAsia="仿宋_GB2312"/>
          <w:b w:val="0"/>
          <w:sz w:val="32"/>
        </w:rPr>
        <w:t>工作进度完成较高。政府办集中力量抓好</w:t>
      </w:r>
      <w:r>
        <w:rPr>
          <w:rFonts w:hint="eastAsia" w:ascii="仿宋_GB2312" w:hAnsi="仿宋_GB2312" w:eastAsia="仿宋_GB2312"/>
          <w:b w:val="0"/>
          <w:sz w:val="32"/>
          <w:lang w:eastAsia="zh-CN"/>
        </w:rPr>
        <w:t>县委、县政府</w:t>
      </w:r>
      <w:r>
        <w:rPr>
          <w:rFonts w:ascii="仿宋_GB2312" w:hAnsi="仿宋_GB2312" w:eastAsia="仿宋_GB2312"/>
          <w:b w:val="0"/>
          <w:sz w:val="32"/>
        </w:rPr>
        <w:t>重大决策部署、重大项目、高质量发展等中心任务，进一步提高督查督办质量、强化督导问责，确保县委、县政府政令畅通，加快各项决策部署落实落地。下一步改进措施：一是职业年金单位缴费部分</w:t>
      </w:r>
      <w:r>
        <w:rPr>
          <w:rFonts w:hint="eastAsia" w:ascii="仿宋_GB2312" w:hAnsi="仿宋_GB2312" w:eastAsia="仿宋_GB2312"/>
          <w:b w:val="0"/>
          <w:sz w:val="32"/>
          <w:lang w:eastAsia="zh-CN"/>
        </w:rPr>
        <w:t>实缴</w:t>
      </w:r>
      <w:r>
        <w:rPr>
          <w:rFonts w:ascii="仿宋_GB2312" w:hAnsi="仿宋_GB2312" w:eastAsia="仿宋_GB2312"/>
          <w:b w:val="0"/>
          <w:sz w:val="32"/>
        </w:rPr>
        <w:t>、职工工资调整补发属于政策调整，无需改进；保证以后人员工资等支出按时足额发放；二是行业主管部门和财政等部门要建立项目资金绩效目标执行监督机制，开展目标执行监督，适时开展绩效执行情况抽查，确保项目支出进度和绩效目标有效执行。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伽师县人民政府办公室</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县政府办将紧紧围绕县委、县政府工作，聚焦用力、持续提升、努力推动整体工作再上新台阶，为全县高质量发展作出新贡献，一是在以文辅政上聚焦用力、持续提升政务服务质量；二是全面加强机关党支部标准化</w:t>
            </w:r>
            <w:r>
              <w:rPr>
                <w:rFonts w:hint="eastAsia" w:ascii="宋体" w:hAnsi="宋体"/>
                <w:sz w:val="16"/>
                <w:lang w:eastAsia="zh-CN"/>
              </w:rPr>
              <w:t>规范化建设</w:t>
            </w:r>
            <w:r>
              <w:rPr>
                <w:rFonts w:ascii="宋体" w:hAnsi="宋体" w:eastAsia="宋体"/>
                <w:sz w:val="16"/>
              </w:rPr>
              <w:t>，提升政治功能和组织力；三是完成行政事业单位公务用车统计报告数据报送系统工作；四是加强政府门户网站管理，及时更新政府网站信息，发布公开信息，推动政府门户网站内容更新及时。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县政府办将紧紧围绕县委、县政府工作，聚焦用力、持续提升、努力推动整体工作再上新台阶，为全县高质量发展作出新贡献，一是在以文辅政上聚焦用力、持续提升政务服务质量；二是全面加强机关党支部标准化</w:t>
            </w:r>
            <w:r>
              <w:rPr>
                <w:rFonts w:hint="eastAsia" w:ascii="宋体" w:hAnsi="宋体"/>
                <w:sz w:val="16"/>
                <w:lang w:eastAsia="zh-CN"/>
              </w:rPr>
              <w:t>规范化建设</w:t>
            </w:r>
            <w:r>
              <w:rPr>
                <w:rFonts w:ascii="宋体" w:hAnsi="宋体" w:eastAsia="宋体"/>
                <w:sz w:val="16"/>
              </w:rPr>
              <w:t>，提升政治功能和组织力；三是完成行政事业单位公务用车统计报告数据报送系统工作；四是加强政府门户网站管理，及时更新政府网站信息，发布公开信息，推动政府门户网站内容更新及时。全年上行各类文件数量300份，筹备政府各类会议服务次数10次，行政事业单位完成公务用车统计报送系统工作115家，保障全县公务用车合理合规使用632辆，政府网站公开信息数量1500条</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全年上行各类文件数量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2023年底工作总结及2024年工作计划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筹备政府各类会议服务次数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2023年度工作总结及2024年度工作计划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行政事业单位完成公务用车统计报送系统工作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2023年度工作总结及2024年度工作计划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保障全县公务用车合理合规使用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2023年度工作总结及2024年度工作计划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632辆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政府网站公开信息数量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2023年度工作总结及2024年度工作计划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2024年政府及政府大院后勤保障项目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48.54万元，后勤保障项目其他成本29.54万元，项目涉及水、电、网、燃油费用19万元。为切实保障好2024年政府及政府大院基础设施运转，水、电、网、暖、机房等设施设备维护，召开政府会议、重大活动后勤保障等，经县委、县政府安排实施此项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48.54万元，截至2024年12月31日，已支出48.54万元，主要用于保障伽师县人民政府办公室1个单位的日常工作经费支出，其中：涉及水、电、网、燃油费用19万元，其他成本29.54万元。实施该项目，切实保障了2024年政府及政府大院基础设施运转，水、电、网、暖、机房等设施设备维护条件，完成了各项政府会议、重大活动召开的后勤保障等。</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后勤保障资金涉及单位数量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后勤保障项目其他成本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项目涉及水、电、网、燃油费用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持续提升政府服务保障能力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年初满意度指标设置预期值较低</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伽师县人民政府2021-2023年常年基础法律顾问服务项目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伽师县人民政府办公室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县政府安排，为县政府及所属26个部门购买2021-2023年常年基础法律顾问服务，每年费用26万元，法律顾问提供政府及所属部门提供相关法律咨询、政策依据；审查、修改相关法律文书、合同；应邀参加有关会议；协助解决重点项目和活动推进中涉及的法律问题。实施该项目，可以推动我县经济高质量发展和依法治县、依法执政、依法行政共同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52万元，主要用于为政府及所属部门共26个单位聘请1个律师服务团队提供法律咨询、政策依据审查、修改相关法律文书、合同；应邀参加有关会议；协助解决重点项目和活动推进中涉及的法律问题；推动我县经济高质量发展和</w:t>
            </w:r>
            <w:r>
              <w:rPr>
                <w:rFonts w:hint="eastAsia" w:ascii="宋体" w:hAnsi="宋体"/>
                <w:sz w:val="16"/>
                <w:lang w:eastAsia="zh-CN"/>
              </w:rPr>
              <w:t>依法治国、依法执政、依法行政</w:t>
            </w:r>
            <w:r>
              <w:rPr>
                <w:rFonts w:ascii="宋体" w:hAnsi="宋体" w:eastAsia="宋体"/>
                <w:sz w:val="16"/>
              </w:rPr>
              <w:t>共同推进。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提供基础法律顾问团队数量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接受法律服务单位数量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提供基础法律顾问服务周期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基础法律顾问服务费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&lt;=1万元/单位/年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=1万元/单位/年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有效保障县政府合法权益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接受法律服务单位满意度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537659"/>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8B1A64"/>
    <w:rsid w:val="23BC04D2"/>
    <w:rsid w:val="25275618"/>
    <w:rsid w:val="27636744"/>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2F0085"/>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5882</Words>
  <Characters>6617</Characters>
  <Lines>0</Lines>
  <Paragraphs>0</Paragraphs>
  <TotalTime>10</TotalTime>
  <ScaleCrop>false</ScaleCrop>
  <LinksUpToDate>false</LinksUpToDate>
  <CharactersWithSpaces>6625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2025-10-21T03:07:49Z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