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伽师县信访局2024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严格贯彻落实党中央、自治区党委、地委关于信访工作的方针政策、决策部署和县委工作要求，在履行职责过程中坚持党对信访工作的集中统一领导。负责处理国内群众、境内外人士、法人及其他组织通过信访渠道向县委、县人民政府领导的来信来电，接待群众来访；负责向县委、县人民政府反映群众来信来电来访中提出的重要建议、意见和问题，综合研判信访信息，开展调查研究，提出制定修改完善有关方针政策和法律法规的建议；上级机关和县委、县人民政府领导同志交办或转办的信访事项，督促检查领导同志有关批示落实情况，拟定信访督查制度并组织实施，承办县领导交办信访事项的落实，向有关部门、单位转办、交办信访事项，督查检查重要信访事项的处理和落实；承担协调处理群众进京、赴自治区、跨行业、跨部门和人事分离、人户分离、人事户分离的重要信访问题；制定信访问题排查化解措施并组织实施，建立和完善信访信息汇集分析机制，指导自治区信访信息系统建设和应用；承担信访工作联席会议的日常工作，督促落实县信访工作联席会议决定的事项；协调和组织信访工作的宣传和有关信息的公布，了解掌握信访干部队伍及联合接待场所建设情况，有针对性</w:t>
      </w:r>
      <w:r>
        <w:rPr>
          <w:rFonts w:hint="eastAsia" w:ascii="仿宋_GB2312" w:hAnsi="仿宋_GB2312" w:eastAsia="仿宋_GB2312"/>
          <w:sz w:val="32"/>
          <w:lang w:eastAsia="zh-CN"/>
        </w:rPr>
        <w:t>地</w:t>
      </w:r>
      <w:r>
        <w:rPr>
          <w:rFonts w:ascii="仿宋_GB2312" w:hAnsi="仿宋_GB2312" w:eastAsia="仿宋_GB2312"/>
          <w:sz w:val="32"/>
        </w:rPr>
        <w:t>组织干部培训；负责网上信访系统操作培训及网络运行维护；承办县委、县人民政府交办的其他事项。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伽师县信访局2024年度，实有人数14人，其中：在职人员7人，增加0人；离休人员0人，增加0人；退休人员7人,增加1人。</w:t>
      </w:r>
    </w:p>
    <w:p>
      <w:pPr>
        <w:spacing w:line="580" w:lineRule="exact"/>
        <w:ind w:firstLine="640"/>
        <w:jc w:val="both"/>
      </w:pPr>
      <w:r>
        <w:rPr>
          <w:rFonts w:ascii="仿宋_GB2312" w:hAnsi="仿宋_GB2312" w:eastAsia="仿宋_GB2312"/>
          <w:sz w:val="32"/>
        </w:rPr>
        <w:t>伽师县信访局无下属预算单位，下设2个科室，分别是：综合办公室、伽师县人民群众来访接待中心。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2024年度收入总计165.29万元，</w:t>
      </w:r>
      <w:r>
        <w:rPr>
          <w:rFonts w:ascii="仿宋_GB2312" w:hAnsi="仿宋_GB2312" w:eastAsia="仿宋_GB2312"/>
          <w:b w:val="0"/>
          <w:sz w:val="32"/>
        </w:rPr>
        <w:t>其中：本年收入合计165.29万元，使用非财政拨款结余（含专用结余）0.00万元，年初结转和结余0.00万元。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2024年度支出总计165.29万元，</w:t>
      </w:r>
      <w:r>
        <w:rPr>
          <w:rFonts w:ascii="仿宋_GB2312" w:hAnsi="仿宋_GB2312" w:eastAsia="仿宋_GB2312"/>
          <w:b w:val="0"/>
          <w:sz w:val="32"/>
        </w:rPr>
        <w:t>其中：本年支出合计165.29万元，结余分配0.00万元，年末结转和结余0.00万元。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收入支出总体与上年相比，减少11.77万元，下降6.65%，主要原因是：2023年10月在职转退休1人、2024年5月在职转退休1人，本年新招录人员，在职人员变动，人员职级不同，缴费基数不同，导致人员经费减少。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本年收入165.29万元，</w:t>
      </w:r>
      <w:r>
        <w:rPr>
          <w:rFonts w:ascii="仿宋_GB2312" w:hAnsi="仿宋_GB2312" w:eastAsia="仿宋_GB2312"/>
          <w:b w:val="0"/>
          <w:sz w:val="32"/>
        </w:rPr>
        <w:t>其中：财政拨款收入162.91万元，占98.56%；上级补助收入0.00万元，占0.00%；事业收入0.00万元，占0.00%；经营收入0.00万元，占0.00%；附属单位上缴收入0.00万元，占0.00%；其他收入2.38万元，占1.44%。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本年支出165.29万元，</w:t>
      </w:r>
      <w:r>
        <w:rPr>
          <w:rFonts w:ascii="仿宋_GB2312" w:hAnsi="仿宋_GB2312" w:eastAsia="仿宋_GB2312"/>
          <w:b w:val="0"/>
          <w:sz w:val="32"/>
        </w:rPr>
        <w:t>其中：基本支出162.91万元，占98.56%；项目支出2.38万元，占1.44%；上缴上级支出0.00万元，占0.00%；经营支出0.00万元，占0.00%；对附属单位补助支出0.00万元，占0.00%。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2024年度财政拨款收入总计162.91万元，</w:t>
      </w:r>
      <w:r>
        <w:rPr>
          <w:rFonts w:ascii="仿宋_GB2312" w:hAnsi="仿宋_GB2312" w:eastAsia="仿宋_GB2312"/>
          <w:b w:val="0"/>
          <w:sz w:val="32"/>
        </w:rPr>
        <w:t>其中：年初财政拨款结转和结余0.00万元，本年财政拨款收入162.91万元。</w:t>
      </w:r>
      <w:r>
        <w:rPr>
          <w:rFonts w:ascii="仿宋_GB2312" w:hAnsi="仿宋_GB2312" w:eastAsia="仿宋_GB2312"/>
          <w:b/>
          <w:sz w:val="32"/>
        </w:rPr>
        <w:t>财政拨款支出总计162.91万元，</w:t>
      </w:r>
      <w:r>
        <w:rPr>
          <w:rFonts w:ascii="仿宋_GB2312" w:hAnsi="仿宋_GB2312" w:eastAsia="仿宋_GB2312"/>
          <w:b w:val="0"/>
          <w:sz w:val="32"/>
        </w:rPr>
        <w:t>其中：年末财政拨款结转和结余0.00万元，本年财政拨款支出162.91万元。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减少12.95万元，下降7.36%，主要原因是：2023年10月在职转退休1人、2024年5月在职转退休1人，本年新招录人员，在职人员变动，人员职级不同，缴费基数不同，导致人员经费减少。</w:t>
      </w:r>
      <w:r>
        <w:rPr>
          <w:rFonts w:ascii="仿宋_GB2312" w:hAnsi="仿宋_GB2312" w:eastAsia="仿宋_GB2312"/>
          <w:b/>
          <w:sz w:val="32"/>
        </w:rPr>
        <w:t>与年初预算相比，</w:t>
      </w:r>
      <w:r>
        <w:rPr>
          <w:rFonts w:ascii="仿宋_GB2312" w:hAnsi="仿宋_GB2312" w:eastAsia="仿宋_GB2312"/>
          <w:b w:val="0"/>
          <w:sz w:val="32"/>
        </w:rPr>
        <w:t>年初预算数166.25万元，决算数162.91万元，预决算差异率-2.01%，主要原因是：年中人员变动，调减人员经费预算，导致预决算存在差异。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2024年度一般公共预算财政拨款支出162.91万元，</w:t>
      </w:r>
      <w:r>
        <w:rPr>
          <w:rFonts w:ascii="仿宋_GB2312" w:hAnsi="仿宋_GB2312" w:eastAsia="仿宋_GB2312"/>
          <w:b w:val="0"/>
          <w:sz w:val="32"/>
        </w:rPr>
        <w:t>占本年支出合计的98.56%。</w:t>
      </w:r>
      <w:r>
        <w:rPr>
          <w:rFonts w:ascii="仿宋_GB2312" w:hAnsi="仿宋_GB2312" w:eastAsia="仿宋_GB2312"/>
          <w:b/>
          <w:sz w:val="32"/>
        </w:rPr>
        <w:t>与上年相比，</w:t>
      </w:r>
      <w:r>
        <w:rPr>
          <w:rFonts w:ascii="仿宋_GB2312" w:hAnsi="仿宋_GB2312" w:eastAsia="仿宋_GB2312"/>
          <w:b w:val="0"/>
          <w:sz w:val="32"/>
        </w:rPr>
        <w:t>减少12.95万元，下降7.36%，主要原因是：2023年10月在职转退休1人、2024年5月在职转退休1人，本年新招录人员，在职人员变动，人员职级不同，缴费基数不同，导致人员经费减少。</w:t>
      </w:r>
      <w:r>
        <w:rPr>
          <w:rFonts w:ascii="仿宋_GB2312" w:hAnsi="仿宋_GB2312" w:eastAsia="仿宋_GB2312"/>
          <w:b/>
          <w:sz w:val="32"/>
        </w:rPr>
        <w:t>与年初预算相比,</w:t>
      </w:r>
      <w:r>
        <w:rPr>
          <w:rFonts w:ascii="仿宋_GB2312" w:hAnsi="仿宋_GB2312" w:eastAsia="仿宋_GB2312"/>
          <w:b w:val="0"/>
          <w:sz w:val="32"/>
        </w:rPr>
        <w:t>年初预算数166.25万元，决算数162.91万元，预决算差异率-2.01%，主要原因是：年中人员变动，调减人员经费预算，导致预决算存在差异。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1.一般公共服务支出(类)115.22万元,占70.73%。</w:t>
      </w:r>
    </w:p>
    <w:p>
      <w:pPr>
        <w:spacing w:line="580" w:lineRule="exact"/>
        <w:ind w:firstLine="640"/>
        <w:jc w:val="both"/>
      </w:pPr>
      <w:r>
        <w:rPr>
          <w:rFonts w:ascii="仿宋_GB2312" w:hAnsi="仿宋_GB2312" w:eastAsia="仿宋_GB2312"/>
          <w:b w:val="0"/>
          <w:sz w:val="32"/>
        </w:rPr>
        <w:t>2.社会保障和就业支出(类)30.94万元,占18.99%。</w:t>
      </w:r>
    </w:p>
    <w:p>
      <w:pPr>
        <w:spacing w:line="580" w:lineRule="exact"/>
        <w:ind w:firstLine="640"/>
        <w:jc w:val="both"/>
      </w:pPr>
      <w:r>
        <w:rPr>
          <w:rFonts w:ascii="仿宋_GB2312" w:hAnsi="仿宋_GB2312" w:eastAsia="仿宋_GB2312"/>
          <w:b w:val="0"/>
          <w:sz w:val="32"/>
        </w:rPr>
        <w:t>3.卫生健康支出(类)6.51万元,占4.00%。</w:t>
      </w:r>
    </w:p>
    <w:p>
      <w:pPr>
        <w:spacing w:line="580" w:lineRule="exact"/>
        <w:ind w:firstLine="640"/>
        <w:jc w:val="both"/>
      </w:pPr>
      <w:r>
        <w:rPr>
          <w:rFonts w:ascii="仿宋_GB2312" w:hAnsi="仿宋_GB2312" w:eastAsia="仿宋_GB2312"/>
          <w:b w:val="0"/>
          <w:sz w:val="32"/>
        </w:rPr>
        <w:t>4.住房保障支出(类)10.24万元,占6.29%。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130.19万元，下降100.00%,主要原因是：本年功能科目调整，人员经费上年在本科目列支，本年调整至一般公共服务支出(类)信访事务(款)行政运行(项)科目列支，相应经费减少。</w:t>
      </w:r>
    </w:p>
    <w:p>
      <w:pPr>
        <w:spacing w:line="580" w:lineRule="exact"/>
        <w:ind w:firstLine="640"/>
        <w:jc w:val="both"/>
      </w:pPr>
      <w:r>
        <w:rPr>
          <w:rFonts w:ascii="仿宋_GB2312" w:hAnsi="仿宋_GB2312" w:eastAsia="仿宋_GB2312"/>
          <w:b w:val="0"/>
          <w:sz w:val="32"/>
        </w:rPr>
        <w:t>2.一般公共服务支出(类)信访事务(款)行政运行(项):支出决算数为115.22万元，比上年决算增加115.22万元，增长100.00%,主要原因是：本年功能科目调整，人员经费上年在一般公共服务支出(类)政府办公厅（室）及相关机构事务(款)行政运行(项)科目列支，本年调整至本科目列支，相应经费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3.社会保障和就业支出(类)行政事业单位养老支出(款)行政单位离退休(项):支出决算数为9.10万元，比上年决算增加2.64万元，增长40.87%,主要原因是：本年退休人员增加，退休费支出增加。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12.56万元，比上年决算减少1.04万元，下降7.65%,主要原因是：本年在职人员变动，人员职级不同，缴费基数不同，养老保险</w:t>
      </w:r>
      <w:r>
        <w:rPr>
          <w:rFonts w:hint="eastAsia" w:ascii="仿宋_GB2312" w:hAnsi="仿宋_GB2312" w:eastAsia="仿宋_GB2312"/>
          <w:b w:val="0"/>
          <w:sz w:val="32"/>
          <w:lang w:val="en-US" w:eastAsia="zh-CN"/>
        </w:rPr>
        <w:t>缴费</w:t>
      </w:r>
      <w:r>
        <w:rPr>
          <w:rFonts w:ascii="仿宋_GB2312" w:hAnsi="仿宋_GB2312" w:eastAsia="仿宋_GB2312"/>
          <w:b w:val="0"/>
          <w:sz w:val="32"/>
        </w:rPr>
        <w:t>支出减少。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9.28万元，比上年决算增加1.76万元，增长23.40%,主要原因是：本年新增退休人员职级较上年退休人员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6.卫生健康支出(类)行政事业单位医疗(款)行政单位医疗(项):支出决算数为5.34万元，比上年决算减少0.44万元，下降7.61%,主要原因是：本年在职人员变动，人员职级不同，缴费基数不同，医疗保险支出减少。</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1.17万元，比上年决算减少0.19万元，下降13.97%,主要原因是：本年在职人员变动，人员职级不同，缴费基数不同，公务员医疗补助经费减少。</w:t>
      </w:r>
    </w:p>
    <w:p>
      <w:pPr>
        <w:spacing w:line="580" w:lineRule="exact"/>
        <w:ind w:firstLine="640"/>
        <w:jc w:val="both"/>
      </w:pPr>
      <w:r>
        <w:rPr>
          <w:rFonts w:ascii="仿宋_GB2312" w:hAnsi="仿宋_GB2312" w:eastAsia="仿宋_GB2312"/>
          <w:b w:val="0"/>
          <w:sz w:val="32"/>
        </w:rPr>
        <w:t>8.住房保障支出(类)住房改革支出(款)住房公积金(项):支出决算数为10.24万元，比上年决算减少0.72万元，下降6.57%,主要原因是：本年在职人员变动，人员职级不同，缴费基数不同，住房公积金缴费支出减少。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2024年度一般公共预算财政拨款基本支出162.91万元，其中：</w:t>
      </w:r>
      <w:r>
        <w:rPr>
          <w:rFonts w:ascii="仿宋_GB2312" w:hAnsi="仿宋_GB2312" w:eastAsia="仿宋_GB2312"/>
          <w:b/>
          <w:sz w:val="32"/>
        </w:rPr>
        <w:t>人员经费157.55万元，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公用经费5.36万元，</w:t>
      </w:r>
      <w:r>
        <w:rPr>
          <w:rFonts w:ascii="仿宋_GB2312" w:hAnsi="仿宋_GB2312" w:eastAsia="仿宋_GB2312"/>
          <w:b w:val="0"/>
          <w:sz w:val="32"/>
        </w:rPr>
        <w:t>包括：办公费、邮电费、公务接待费、公务用车运行维护费。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2024年度财政拨款“三公”经费支出2.17万元，</w:t>
      </w:r>
      <w:r>
        <w:rPr>
          <w:rFonts w:ascii="仿宋_GB2312" w:hAnsi="仿宋_GB2312" w:eastAsia="仿宋_GB2312"/>
          <w:b w:val="0"/>
          <w:sz w:val="32"/>
        </w:rPr>
        <w:t>比上年增加0.01万元，增长0.46%，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2.10万元，占96.77%，比上年增加0.00万元，增长0.00%，主要原因是：本单位公务用车运行维护费与上年一致无变化。公务接待费支出0.07万元，占3.23%，比上年增加0.01万元，增长16.67%，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公务用车燃料费及车辆维修费。公务用车购置数0辆，公务用车保有量1辆。国有资产占用情况中固定资产车辆0辆，与公务用车保有量差异原因是：本单位无固定资产车辆，借用人民政府车辆，车辆费用由本单位支付。</w:t>
      </w:r>
    </w:p>
    <w:p>
      <w:pPr>
        <w:spacing w:line="580" w:lineRule="exact"/>
        <w:ind w:firstLine="640"/>
        <w:jc w:val="both"/>
      </w:pPr>
      <w:r>
        <w:rPr>
          <w:rFonts w:ascii="仿宋_GB2312" w:hAnsi="仿宋_GB2312" w:eastAsia="仿宋_GB2312"/>
          <w:b w:val="0"/>
          <w:sz w:val="32"/>
        </w:rPr>
        <w:t>公务接待费0.07万元，开支内容包括接待上级领导检查的就餐费。单位全年安排的国内公务接待1批次，10人次。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2.17万元，决算数2.17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0.07万元，决算数0.07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2024年度伽师县信访局（行政单位和参照公务员法管理事业单位）机关运行经费支出5.36万元，比上年增加1.71万元，增长46.85%，主要原因是：本年办公费用增加，相应支出增加。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2024年度政府采购支出总额1.55万元，其中：政府采购货物支出0.20万元、政府采购工程支出0.00万元、政府采购服务支出1.35万元。</w:t>
      </w:r>
    </w:p>
    <w:p>
      <w:pPr>
        <w:spacing w:line="580" w:lineRule="exact"/>
        <w:ind w:firstLine="640"/>
        <w:jc w:val="both"/>
      </w:pPr>
      <w:r>
        <w:rPr>
          <w:rFonts w:ascii="仿宋_GB2312" w:hAnsi="仿宋_GB2312" w:eastAsia="仿宋_GB2312"/>
          <w:b w:val="0"/>
          <w:sz w:val="32"/>
        </w:rPr>
        <w:t>授予中小企业合同金额1.55万元，占政府采购支出总额的100.00%，其中：授予小微企业合同金额1.35万元，占政府采购支出总额的87.10%。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165.29万元，实际执行总额165.29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伽师县信访局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严格贯彻落实党中央、自治区党委、地委关于信访工作的方针政策、决策部署和县委工作要求，在履行职责过程中坚持党对信访工作的集中统一领导。负责做好上访群众的接待、引导、处理、劝导和政策解释工作。2024年信访工作要坚持以习近平新时代中国特色社会主义思想为指导，全面学习贯彻党的二十大精神，第九次全国信访工作会议精神，牢记为民解难、为党分忧的政治责任，加强信访问题源头治理，坚持和发展新时代新疆特色“枫桥经验”，深入开展信访问题源头治理三年攻坚行动、“全国信访工作示范县”创建活动、“大督查大接访大调研”活动，不断夯实信访工作基础；推进化解信访积案常态化，巩固提升专项工作常态长效，解决好重点领域信访问题，及时就地解决群众初次信访事项，切实把问题解决在初始阶段，不断提高一次性化解率和群众满意率；全面开展《信访工作条例》落实年活动，推进条例普法宣传制度化、常态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信访工作要坚持以习近平新时代中国特色社会主义思想为指导，深入开展信访问题源头治理三年攻坚行动、“全国信访工作示范县”创建活动、“大督查大接访大调研”活动，不断夯实信访工作基础；推进化解信访积案常态化，巩固提升专项工作常态长效，解决好重点领域信访问题，及时就地解决群众初次信访事项，切实把问题解决在初始阶段，不断提高一次性化解率和群众满意率。2024年度接待人民群众来访50次，信访案件及时受理率100%，联合接访大厅提供律师参与涉法信访工作咨询服务率100%，信访事项化解率90.23%，落实领导干部接访制度100%。</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信访案件及时受理率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关于印发2024年信访工作计划的通知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接待人民群众来访次数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2024年第一季度县委、人大、政府、政协、法检两院领导接访人民群众来访日程安排表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联合接访大厅提供律师参与涉法信访工作咨询服务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《司法部国家信访局关于进一步加强律师参与涉法信访工作的意见》（司法通〔2004〕151号）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信访事项化解率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关于印发2024年信访工作计划的通知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落实领导干部接访制度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关于印发2024年信访工作计划的通知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432010-C8F8-4227-A5CD-7C7C4A7694B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85BFCCF-9EE5-43FA-93E2-BE38CE1B6CDE}"/>
  </w:font>
  <w:font w:name="仿宋_GB2312">
    <w:panose1 w:val="02010609030101010101"/>
    <w:charset w:val="86"/>
    <w:family w:val="auto"/>
    <w:pitch w:val="default"/>
    <w:sig w:usb0="00000001" w:usb1="080E0000" w:usb2="00000000" w:usb3="00000000" w:csb0="00040000" w:csb1="00000000"/>
    <w:embedRegular r:id="rId3" w:fontKey="{D52FF54F-9BF1-4E65-B4E3-8DBA4B9439EF}"/>
  </w:font>
  <w:font w:name="楷体_GB2312">
    <w:panose1 w:val="02010609030101010101"/>
    <w:charset w:val="86"/>
    <w:family w:val="auto"/>
    <w:pitch w:val="default"/>
    <w:sig w:usb0="00000001" w:usb1="080E0000" w:usb2="00000000" w:usb3="00000000" w:csb0="00040000" w:csb1="00000000"/>
    <w:embedRegular r:id="rId4" w:fontKey="{8D043E3A-1790-4B19-BB34-B9F7EFC228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11AED"/>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586A23"/>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735EBA"/>
    <w:rsid w:val="4B4C0111"/>
    <w:rsid w:val="4BB23021"/>
    <w:rsid w:val="4E6662F7"/>
    <w:rsid w:val="4F3F074E"/>
    <w:rsid w:val="50C1254D"/>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3A61C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4749</Words>
  <Characters>5394</Characters>
  <Lines>0</Lines>
  <Paragraphs>0</Paragraphs>
  <TotalTime>8</TotalTime>
  <ScaleCrop>false</ScaleCrop>
  <LinksUpToDate>false</LinksUpToDate>
  <CharactersWithSpaces>5402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2025-10-21T04:48:01Z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