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伽师县工商业联合会2024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1、加强和改进非公有制经济人士思想政治工作。</w:t>
      </w:r>
    </w:p>
    <w:p>
      <w:pPr>
        <w:spacing w:line="580" w:lineRule="exact"/>
        <w:ind w:firstLine="640"/>
        <w:jc w:val="both"/>
      </w:pPr>
      <w:r>
        <w:rPr>
          <w:rFonts w:ascii="仿宋_GB2312" w:hAnsi="仿宋_GB2312" w:eastAsia="仿宋_GB2312"/>
          <w:sz w:val="32"/>
        </w:rPr>
        <w:t>2、参与政治协商，发挥民主监督作用，积极参政议政。</w:t>
      </w:r>
    </w:p>
    <w:p>
      <w:pPr>
        <w:spacing w:line="580" w:lineRule="exact"/>
        <w:ind w:firstLine="640"/>
        <w:jc w:val="both"/>
      </w:pPr>
      <w:r>
        <w:rPr>
          <w:rFonts w:ascii="仿宋_GB2312" w:hAnsi="仿宋_GB2312" w:eastAsia="仿宋_GB2312"/>
          <w:sz w:val="32"/>
        </w:rPr>
        <w:t>3、协助政府管理和服务非公有制经济。</w:t>
      </w:r>
    </w:p>
    <w:p>
      <w:pPr>
        <w:spacing w:line="580" w:lineRule="exact"/>
        <w:ind w:firstLine="640"/>
        <w:jc w:val="both"/>
      </w:pPr>
      <w:r>
        <w:rPr>
          <w:rFonts w:ascii="仿宋_GB2312" w:hAnsi="仿宋_GB2312" w:eastAsia="仿宋_GB2312"/>
          <w:sz w:val="32"/>
        </w:rPr>
        <w:t>4、促进行业协会商会改革发展。</w:t>
      </w:r>
    </w:p>
    <w:p>
      <w:pPr>
        <w:spacing w:line="580" w:lineRule="exact"/>
        <w:ind w:firstLine="640"/>
        <w:jc w:val="both"/>
      </w:pPr>
      <w:r>
        <w:rPr>
          <w:rFonts w:ascii="仿宋_GB2312" w:hAnsi="仿宋_GB2312" w:eastAsia="仿宋_GB2312"/>
          <w:sz w:val="32"/>
        </w:rPr>
        <w:t>5、参与协调劳动关系，协同社会管理，促进社会和谐稳定。</w:t>
      </w:r>
    </w:p>
    <w:p>
      <w:pPr>
        <w:spacing w:line="580" w:lineRule="exact"/>
        <w:ind w:firstLine="640"/>
        <w:jc w:val="both"/>
      </w:pPr>
      <w:r>
        <w:rPr>
          <w:rFonts w:ascii="仿宋_GB2312" w:hAnsi="仿宋_GB2312" w:eastAsia="仿宋_GB2312"/>
          <w:sz w:val="32"/>
        </w:rPr>
        <w:t>6、反映非公有制企业和非公有制经济人士利益诉求，维护其合法权益。参与经济纠纷的调解、仲裁。</w:t>
      </w:r>
    </w:p>
    <w:p>
      <w:pPr>
        <w:spacing w:line="580" w:lineRule="exact"/>
        <w:ind w:firstLine="640"/>
        <w:jc w:val="both"/>
      </w:pPr>
      <w:r>
        <w:rPr>
          <w:rFonts w:ascii="仿宋_GB2312" w:hAnsi="仿宋_GB2312" w:eastAsia="仿宋_GB2312"/>
          <w:sz w:val="32"/>
        </w:rPr>
        <w:t>7、依法加强会产管理和保护。</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伽师县工商业联合会2024年度，实有人数3人，其中：在职人员3人，增加1人；离休人员0人，增加0人；退休人员0人,增加0人。</w:t>
      </w:r>
    </w:p>
    <w:p>
      <w:pPr>
        <w:spacing w:line="580" w:lineRule="exact"/>
        <w:ind w:firstLine="640"/>
        <w:jc w:val="both"/>
      </w:pPr>
      <w:r>
        <w:rPr>
          <w:rFonts w:ascii="仿宋_GB2312" w:hAnsi="仿宋_GB2312" w:eastAsia="仿宋_GB2312"/>
          <w:sz w:val="32"/>
        </w:rPr>
        <w:t>伽师县工商业联合会无下属预算单位，下设1个科室，分别是：综合办公室。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2024年度收入总计43.20万元，</w:t>
      </w:r>
      <w:r>
        <w:rPr>
          <w:rFonts w:ascii="仿宋_GB2312" w:hAnsi="仿宋_GB2312" w:eastAsia="仿宋_GB2312"/>
          <w:b w:val="0"/>
          <w:sz w:val="32"/>
        </w:rPr>
        <w:t>其中：本年收入合计43.20万元，使用非财政拨款结余（含专用结余）0.00万元，年初结转和结余0.00万元。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2024年度支出总计43.20万元，</w:t>
      </w:r>
      <w:r>
        <w:rPr>
          <w:rFonts w:ascii="仿宋_GB2312" w:hAnsi="仿宋_GB2312" w:eastAsia="仿宋_GB2312"/>
          <w:b w:val="0"/>
          <w:sz w:val="32"/>
        </w:rPr>
        <w:t>其中：本年支出合计43.20万元，结余分配0.00万元，年末结转和结余0.00万元。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收入支出总体与上年相比，增加6.25万元，增长16.91%，主要原因是：本年在职人员增加，在职人员工资调增、社保、公积金基数调增，人员经费增加，增加伽师县体系建设和信息化项目，导致经费较上年增加。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本年收入43.20万元，</w:t>
      </w:r>
      <w:r>
        <w:rPr>
          <w:rFonts w:ascii="仿宋_GB2312" w:hAnsi="仿宋_GB2312" w:eastAsia="仿宋_GB2312"/>
          <w:b w:val="0"/>
          <w:sz w:val="32"/>
        </w:rPr>
        <w:t>其中：财政拨款收入41.75万元，占96.64%；上级补助收入0.00万元，占0.00%；事业收入0.00万元，占0.00%；经营收入0.00万元，占0.00%；附属单位上缴收入0.00万元，占0.00%；其他收入1.45万元，占3.36%。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本年支出43.20万元，</w:t>
      </w:r>
      <w:r>
        <w:rPr>
          <w:rFonts w:ascii="仿宋_GB2312" w:hAnsi="仿宋_GB2312" w:eastAsia="仿宋_GB2312"/>
          <w:b w:val="0"/>
          <w:sz w:val="32"/>
        </w:rPr>
        <w:t>其中：基本支出41.75万元，占96.64%；项目支出1.45万元，占3.36%；上缴上级支出0.00万元，占0.00%；经营支出0.00万元，占0.00%；对附属单位补助支出0.00万元，占0.00%。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2024年度财政拨款收入总计41.75万元，</w:t>
      </w:r>
      <w:r>
        <w:rPr>
          <w:rFonts w:ascii="仿宋_GB2312" w:hAnsi="仿宋_GB2312" w:eastAsia="仿宋_GB2312"/>
          <w:b w:val="0"/>
          <w:sz w:val="32"/>
        </w:rPr>
        <w:t>其中：年初财政拨款结转和结余0.00万元，本年财政拨款收入41.75万元。</w:t>
      </w:r>
      <w:r>
        <w:rPr>
          <w:rFonts w:ascii="仿宋_GB2312" w:hAnsi="仿宋_GB2312" w:eastAsia="仿宋_GB2312"/>
          <w:b/>
          <w:sz w:val="32"/>
        </w:rPr>
        <w:t>财政拨款支出总计41.75万元，</w:t>
      </w:r>
      <w:r>
        <w:rPr>
          <w:rFonts w:ascii="仿宋_GB2312" w:hAnsi="仿宋_GB2312" w:eastAsia="仿宋_GB2312"/>
          <w:b w:val="0"/>
          <w:sz w:val="32"/>
        </w:rPr>
        <w:t>其中：年末财政拨款结转和结余0.00万元，本年财政拨款支出41.75万元。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增加4.80万元，增长12.99%，主要原因是：本年在职人员增加，在职人员工资、社保、公积金调增，人员经费增加。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年初预算数40.11万元，决算数41.75万元，预决算差异率4.09%，主要原因是：年中追加人员工资、社保、公积金基数调增部分资金，导致预决算存在差异。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2024年度一般公共预算财政拨款支出41.75万元，</w:t>
      </w:r>
      <w:r>
        <w:rPr>
          <w:rFonts w:ascii="仿宋_GB2312" w:hAnsi="仿宋_GB2312" w:eastAsia="仿宋_GB2312"/>
          <w:b w:val="0"/>
          <w:sz w:val="32"/>
        </w:rPr>
        <w:t>占本年支出合计的96.64%。</w:t>
      </w:r>
      <w:r>
        <w:rPr>
          <w:rFonts w:ascii="仿宋_GB2312" w:hAnsi="仿宋_GB2312" w:eastAsia="仿宋_GB2312"/>
          <w:b/>
          <w:sz w:val="32"/>
        </w:rPr>
        <w:t>与上年相比，</w:t>
      </w:r>
      <w:r>
        <w:rPr>
          <w:rFonts w:ascii="仿宋_GB2312" w:hAnsi="仿宋_GB2312" w:eastAsia="仿宋_GB2312"/>
          <w:b w:val="0"/>
          <w:sz w:val="32"/>
        </w:rPr>
        <w:t>增加4.80万元，增长12.99%，主要原因是：本年在职人员增加，在职人员工资调增、社保、公积金基数调增，人员经费增加。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年初预算数40.11万元，决算数41.75万元，预决算差异率4.09%，主要原因是：年中追加人员工资、社保、公积金基数调增部分资金，导致预决算存在差异。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1.一般公共服务支出(类)32.38万元,占77.56%。</w:t>
      </w:r>
    </w:p>
    <w:p>
      <w:pPr>
        <w:spacing w:line="580" w:lineRule="exact"/>
        <w:ind w:firstLine="640"/>
        <w:jc w:val="both"/>
      </w:pPr>
      <w:r>
        <w:rPr>
          <w:rFonts w:ascii="仿宋_GB2312" w:hAnsi="仿宋_GB2312" w:eastAsia="仿宋_GB2312"/>
          <w:b w:val="0"/>
          <w:sz w:val="32"/>
        </w:rPr>
        <w:t>2.社会保障和就业支出(类)3.97万元,占9.51%。</w:t>
      </w:r>
    </w:p>
    <w:p>
      <w:pPr>
        <w:spacing w:line="580" w:lineRule="exact"/>
        <w:ind w:firstLine="640"/>
        <w:jc w:val="both"/>
      </w:pPr>
      <w:r>
        <w:rPr>
          <w:rFonts w:ascii="仿宋_GB2312" w:hAnsi="仿宋_GB2312" w:eastAsia="仿宋_GB2312"/>
          <w:b w:val="0"/>
          <w:sz w:val="32"/>
        </w:rPr>
        <w:t>3.卫生健康支出(类)2.18万元,占5.22%。</w:t>
      </w:r>
    </w:p>
    <w:p>
      <w:pPr>
        <w:spacing w:line="580" w:lineRule="exact"/>
        <w:ind w:firstLine="640"/>
        <w:jc w:val="both"/>
      </w:pPr>
      <w:r>
        <w:rPr>
          <w:rFonts w:ascii="仿宋_GB2312" w:hAnsi="仿宋_GB2312" w:eastAsia="仿宋_GB2312"/>
          <w:b w:val="0"/>
          <w:sz w:val="32"/>
        </w:rPr>
        <w:t>4.住房保障支出(类)3.23万元,占7.74%。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1.一般公共服务支出(类)民主党派及工商联事务(款)行政运行(项):支出决算数为32.38万元，比上年决算增加3.48万元，增长12.04%,主要原因是：本年新增在职人员，人员经费增加，导致经费较上年有所增加。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3.97万元，比上年决算增加0.53万元，增长15.41%,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3.卫生健康支出(类)行政事业单位医疗(款)行政单位医疗(项):支出决算数为1.69万元，比上年决算增加0.23万元，增长15.75%,主要原因是：本年在职人员增加，行政单位医疗支出增加。</w:t>
      </w:r>
    </w:p>
    <w:p>
      <w:pPr>
        <w:spacing w:line="580" w:lineRule="exact"/>
        <w:ind w:firstLine="640"/>
        <w:jc w:val="both"/>
      </w:pPr>
      <w:r>
        <w:rPr>
          <w:rFonts w:ascii="仿宋_GB2312" w:hAnsi="仿宋_GB2312" w:eastAsia="仿宋_GB2312"/>
          <w:b w:val="0"/>
          <w:sz w:val="32"/>
        </w:rPr>
        <w:t>4.卫生健康支出(类)行政事业单位医疗(款)公务员医疗补助(项):支出决算数为0.50万元，比上年决算增加0.07万元，增长16.28%,主要原因是：本年在职人员增加，公务员医疗补助较上年增加。</w:t>
      </w:r>
    </w:p>
    <w:p>
      <w:pPr>
        <w:spacing w:line="580" w:lineRule="exact"/>
        <w:ind w:firstLine="640"/>
        <w:jc w:val="both"/>
      </w:pPr>
      <w:r>
        <w:rPr>
          <w:rFonts w:ascii="仿宋_GB2312" w:hAnsi="仿宋_GB2312" w:eastAsia="仿宋_GB2312"/>
          <w:b w:val="0"/>
          <w:sz w:val="32"/>
        </w:rPr>
        <w:t>5.住房保障支出(类)住房改革支出(款)住房公积金(项):支出决算数为3.23万元，比上年决算增加0.51万元，增长18.75%,主要原因是：本年在职人员增加，住房公积金支出较上年增加。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2024年度一般公共预算财政拨款基本支出41.75万元，其中：</w:t>
      </w:r>
      <w:r>
        <w:rPr>
          <w:rFonts w:ascii="仿宋_GB2312" w:hAnsi="仿宋_GB2312" w:eastAsia="仿宋_GB2312"/>
          <w:b/>
          <w:sz w:val="32"/>
        </w:rPr>
        <w:t>人员经费38.85万元，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公用经费2.91万元，</w:t>
      </w:r>
      <w:r>
        <w:rPr>
          <w:rFonts w:ascii="仿宋_GB2312" w:hAnsi="仿宋_GB2312" w:eastAsia="仿宋_GB2312"/>
          <w:b w:val="0"/>
          <w:sz w:val="32"/>
        </w:rPr>
        <w:t>包括：办公费、公务接待费、公务用车运行维护费。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2024年度财政拨款“三公”经费支出2.12万元，</w:t>
      </w:r>
      <w:r>
        <w:rPr>
          <w:rFonts w:ascii="仿宋_GB2312" w:hAnsi="仿宋_GB2312" w:eastAsia="仿宋_GB2312"/>
          <w:b w:val="0"/>
          <w:sz w:val="32"/>
        </w:rPr>
        <w:t>比上年增加1.34万元，增长171.79%，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2.10万元，占99.06%，比上年增加1.34万元，增长176.32%，主要原因是：本年因业务需求，用车次数增加，燃油费增加，导致公务用车运行维护费较上年增加。公务接待费支出0.02万元，占0.94%，比上年增加0.00万元，增长0.00%，主要原因是：本单位公务接待费与上年一致无变化。</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燃油费、车辆维修费和车辆保险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公务接待费0.02万元，开支内容包括因地区工商联来我县调研，接待上级领导检查产生的就餐费。单位全年安排的国内公务接待2批次，5人次。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2.12万元，决算数2.12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0.02万元，决算数0.02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工商业联合会（行政单位和参照公务员法管理事业单位）机关运行经费支出2.91万元，比上年增加2.13万元，增长273.08%，主要原因是：本年在职人员增加，办公费用增加。本年因业务需求，用车次数增加，燃油费增加，导致公务用车运行维护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2024年度政府采购支出总额0.54万元，其中：政府采购货物支出0.00万元、政府采购工程支出0.00万元、政府采购服务支出0.54万元。</w:t>
      </w:r>
    </w:p>
    <w:p>
      <w:pPr>
        <w:spacing w:line="580" w:lineRule="exact"/>
        <w:ind w:firstLine="640"/>
        <w:jc w:val="both"/>
      </w:pPr>
      <w:r>
        <w:rPr>
          <w:rFonts w:ascii="仿宋_GB2312" w:hAnsi="仿宋_GB2312" w:eastAsia="仿宋_GB2312"/>
          <w:b w:val="0"/>
          <w:sz w:val="32"/>
        </w:rPr>
        <w:t>授予中小企业合同金额0.54万元，占政府采购支出总额的100.00%，其中：授予小微企业合同金额0.54万元，占政府采购支出总额的100.00%。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10.71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根据预算绩效管理要求，本单位2024年度预算绩效管理形成整体支出绩效自评表1个，全年预算总额43.21万元，实际执行总额43.21万元；预算绩效评价项目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个，全年预算数1.45万元，全年执行数1.45万元。预算绩效管理取得的成效：本单位项目绩效自评表</w:t>
      </w:r>
      <w:r>
        <w:rPr>
          <w:rFonts w:hint="eastAsia" w:ascii="仿宋_GB2312" w:hAnsi="仿宋_GB2312" w:eastAsia="仿宋_GB2312"/>
          <w:b w:val="0"/>
          <w:sz w:val="32"/>
          <w:lang w:val="en-US" w:eastAsia="zh-CN"/>
        </w:rPr>
        <w:t>不予公开</w:t>
      </w:r>
      <w:r>
        <w:rPr>
          <w:rFonts w:ascii="仿宋_GB2312" w:hAnsi="仿宋_GB2312" w:eastAsia="仿宋_GB2312"/>
          <w:b w:val="0"/>
          <w:sz w:val="32"/>
        </w:rPr>
        <w:t>。发现的问题及原因：本单位项目绩效自评表</w:t>
      </w:r>
      <w:r>
        <w:rPr>
          <w:rFonts w:hint="eastAsia" w:ascii="仿宋_GB2312" w:hAnsi="仿宋_GB2312" w:eastAsia="仿宋_GB2312"/>
          <w:b w:val="0"/>
          <w:sz w:val="32"/>
          <w:lang w:val="en-US" w:eastAsia="zh-CN"/>
        </w:rPr>
        <w:t>不予公开</w:t>
      </w:r>
      <w:r>
        <w:rPr>
          <w:rFonts w:ascii="仿宋_GB2312" w:hAnsi="仿宋_GB2312" w:eastAsia="仿宋_GB2312"/>
          <w:b w:val="0"/>
          <w:sz w:val="32"/>
        </w:rPr>
        <w:t>。下一步改进措施：本单位项目绩效自评表</w:t>
      </w:r>
      <w:r>
        <w:rPr>
          <w:rFonts w:hint="eastAsia" w:ascii="仿宋_GB2312" w:hAnsi="仿宋_GB2312" w:eastAsia="仿宋_GB2312"/>
          <w:b w:val="0"/>
          <w:sz w:val="32"/>
          <w:lang w:val="en-US" w:eastAsia="zh-CN"/>
        </w:rPr>
        <w:t>不予公开</w:t>
      </w:r>
      <w:r>
        <w:rPr>
          <w:rFonts w:ascii="仿宋_GB2312" w:hAnsi="仿宋_GB2312" w:eastAsia="仿宋_GB2312"/>
          <w:b w:val="0"/>
          <w:sz w:val="32"/>
        </w:rPr>
        <w:t>。具体附整体支出绩效自评表。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伽师县工商业联合会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1、强引领、提信心、建队伍，努力打造一支听党话、跟党走的高素质民营经济人士队伍； 2、明措施、抓协调、破难题，在助力民营经济高质量发展中</w:t>
            </w:r>
            <w:r>
              <w:rPr>
                <w:rFonts w:hint="eastAsia" w:ascii="宋体" w:hAnsi="宋体"/>
                <w:sz w:val="16"/>
                <w:lang w:eastAsia="zh-CN"/>
              </w:rPr>
              <w:t>善作善成</w:t>
            </w:r>
            <w:r>
              <w:rPr>
                <w:rFonts w:ascii="宋体" w:hAnsi="宋体" w:eastAsia="宋体"/>
                <w:sz w:val="16"/>
              </w:rPr>
              <w:t>；3、找差距、补短板、深改革，切实加强工商联和商会自身建设。 4、做好工商界代表人士政治安排的推荐工作；5、统筹各类教育培训资源，积极开展民营经济代表人士教育培训，制定实施教育培训工作 规划和年度培训计划，举办工商联界人大代表、政协委员、执常委、民营经济高质量发展</w:t>
            </w:r>
            <w:r>
              <w:rPr>
                <w:rFonts w:hint="eastAsia" w:ascii="宋体" w:hAnsi="宋体"/>
                <w:sz w:val="16"/>
                <w:lang w:eastAsia="zh-CN"/>
              </w:rPr>
              <w:t>培训</w:t>
            </w:r>
            <w:r>
              <w:rPr>
                <w:rFonts w:ascii="宋体" w:hAnsi="宋体" w:eastAsia="宋体"/>
                <w:sz w:val="16"/>
              </w:rPr>
              <w:t>等专题培训班。2024年计划完成：对不低于50人的工商联界代表人士进行培训；至少召开一次“万企兴万村”现场推进会；发布民营经济发展报告4次；召开民营企业警示教育会议不低于2次；县域民营企业会员信息更新次数不低于12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2024年组织</w:t>
            </w:r>
            <w:bookmarkStart w:id="0" w:name="_GoBack"/>
            <w:bookmarkEnd w:id="0"/>
            <w:r>
              <w:rPr>
                <w:rFonts w:ascii="宋体" w:hAnsi="宋体" w:eastAsia="宋体"/>
                <w:sz w:val="16"/>
              </w:rPr>
              <w:t>经济人士1人前往乌鲁木齐培训、25人赴地区培训、30余人参加了县直相关单位组织的培训，累计培训工商联界代表人士56人次；在地区工商联的指导下，在县委、县人民政府的大力支持下，在各乡镇和县直相关单位的全力配合下，2024年伽师县召开“万企兴万村”现场推进会1次。2024年组织民营企业代表人士召开警示教育大会2次。2024年，根据地区工商联工作安排，每月动态更新1次县域民营企业会员信息，全年累计更新12次，新增会员企业12家。2024年，根据地区工商联工作安排，每季度上报1次县域民营经济发展报告，全年累计上报民营经济发展报告4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工商联界代表人士培训人数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伽师县工商联2024年工作思路和重点任务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召开“万企兴万村”现场推进会次数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伽师县工商联2024年工作思路和重点任务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发布民营经济发展报告次数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伽师县工商联2024年工作思路和重点任务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召开民营企业警示教育会议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伽师县工商联2024年工作思路和重点任务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县域民营企业会员信息更新次数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伽师县工商联2024年工作思路和重点任务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本年本单位SM项目1个，全年预算数1.45万元，全年执行数1.45万元。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CB1CEE"/>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6B60F0"/>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0A234D"/>
    <w:rsid w:val="5FA17648"/>
    <w:rsid w:val="5FD320BD"/>
    <w:rsid w:val="60DE4D57"/>
    <w:rsid w:val="613409CB"/>
    <w:rsid w:val="61A46A97"/>
    <w:rsid w:val="62DD7D21"/>
    <w:rsid w:val="646063A0"/>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3931</Words>
  <Characters>4484</Characters>
  <Lines>0</Lines>
  <Paragraphs>0</Paragraphs>
  <TotalTime>6</TotalTime>
  <ScaleCrop>false</ScaleCrop>
  <LinksUpToDate>false</LinksUpToDate>
  <CharactersWithSpaces>4492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2025-10-20T10:07:25Z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