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伽师县市场监督管理局2024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负责市场综合监督管理和知识产权管理。贯彻执行国家、自治区、地区市场监督和知识产权管理有关法律、法规、规章和政策，组织实施质量强县战略、食品安全战略、标准化战略和知识产权战略。拟订并组织实施有关规划，规范和维护市场秩序，营造诚实守信、公平竞争的市场环境。</w:t>
      </w:r>
    </w:p>
    <w:p>
      <w:pPr>
        <w:spacing w:line="580" w:lineRule="exact"/>
        <w:ind w:firstLine="640"/>
        <w:jc w:val="both"/>
      </w:pPr>
      <w:r>
        <w:rPr>
          <w:rFonts w:ascii="仿宋_GB2312" w:hAnsi="仿宋_GB2312" w:eastAsia="仿宋_GB2312"/>
          <w:sz w:val="32"/>
        </w:rPr>
        <w:t>（2）负责市场主体统一登记注册。指导各类企业、农牧民专业合作社和从事经营活动的单位、个体工商户等市场主体的登记注册。建立市场主体信息公示和共享机制，依法公示和共享有关信息，加强信用监管，推动市场主体信用体系建设。</w:t>
      </w:r>
    </w:p>
    <w:p>
      <w:pPr>
        <w:spacing w:line="580" w:lineRule="exact"/>
        <w:ind w:firstLine="640"/>
        <w:jc w:val="both"/>
      </w:pPr>
      <w:r>
        <w:rPr>
          <w:rFonts w:ascii="仿宋_GB2312" w:hAnsi="仿宋_GB2312" w:eastAsia="仿宋_GB2312"/>
          <w:sz w:val="32"/>
        </w:rPr>
        <w:t>（3）负责组织和实施市场监管综合执法工作，规范市场监管行政执法行为。组织查处重大违法案件；规范市场监管和知识产权行政执法行为。</w:t>
      </w:r>
    </w:p>
    <w:p>
      <w:pPr>
        <w:spacing w:line="580" w:lineRule="exact"/>
        <w:ind w:firstLine="640"/>
        <w:jc w:val="both"/>
      </w:pPr>
      <w:r>
        <w:rPr>
          <w:rFonts w:ascii="仿宋_GB2312" w:hAnsi="仿宋_GB2312" w:eastAsia="仿宋_GB2312"/>
          <w:sz w:val="32"/>
        </w:rPr>
        <w:t>（4）负责反垄断统一执法。统筹推进竞争政策实施，指导实施公平竞争审查制度。依据授权负责垄断协议、滥用市场支配地位和滥用行政权力排除、限制竞争等反垄断执法工作。依法对经营者集中行为进行反垄断审查。指导企业在国外的反垄断应诉工作。</w:t>
      </w:r>
    </w:p>
    <w:p>
      <w:pPr>
        <w:spacing w:line="580" w:lineRule="exact"/>
        <w:ind w:firstLine="640"/>
        <w:jc w:val="both"/>
      </w:pPr>
      <w:r>
        <w:rPr>
          <w:rFonts w:ascii="仿宋_GB2312" w:hAnsi="仿宋_GB2312" w:eastAsia="仿宋_GB2312"/>
          <w:sz w:val="32"/>
        </w:rPr>
        <w:t>（5）负责监督管理市场秩序。依法监督管理市场交易、网络商品交易及有关服务的行为。组织指导查处价格收费违法违规、不正当竞争、违法直销、传销、侵犯商标专利知识产权和制售假冒伪劣商品行为。依法组织实施合同、拍卖行为的监督管理，管理动产抵押物登记。指导广告业发展，监督管理广告活动。指导查处无照生产经营和相关无证生产经营行为。负责组织、指导和监督管理行政审批中介服务机构。指导伽师县消费者协会开展消费维权工作。</w:t>
      </w:r>
    </w:p>
    <w:p>
      <w:pPr>
        <w:spacing w:line="580" w:lineRule="exact"/>
        <w:ind w:firstLine="640"/>
        <w:jc w:val="both"/>
      </w:pPr>
      <w:r>
        <w:rPr>
          <w:rFonts w:ascii="仿宋_GB2312" w:hAnsi="仿宋_GB2312" w:eastAsia="仿宋_GB2312"/>
          <w:sz w:val="32"/>
        </w:rPr>
        <w:t>（6）负责宏观质量管理。拟订并实施质量发展的制度措施。统筹质量基础设施建设与应用，会同有关部门组织实施重大工程设备质量监理制度，组织重大质量事故调查，组织实施缺陷产品召回制度，监督管理产品防伪工作。</w:t>
      </w:r>
    </w:p>
    <w:p>
      <w:pPr>
        <w:spacing w:line="580" w:lineRule="exact"/>
        <w:ind w:firstLine="640"/>
        <w:jc w:val="both"/>
      </w:pPr>
      <w:r>
        <w:rPr>
          <w:rFonts w:ascii="仿宋_GB2312" w:hAnsi="仿宋_GB2312" w:eastAsia="仿宋_GB2312"/>
          <w:sz w:val="32"/>
        </w:rPr>
        <w:t>（7）负责产品质量安全监督管理。管理产品质量监督抽查、风险监控工作。组织实施质量分级制度、质量安全追溯制度。组织工业产品生产许可证后续管理工作。负责纤维质量监督工作。</w:t>
      </w:r>
    </w:p>
    <w:p>
      <w:pPr>
        <w:spacing w:line="580" w:lineRule="exact"/>
        <w:ind w:firstLine="640"/>
        <w:jc w:val="both"/>
      </w:pPr>
      <w:r>
        <w:rPr>
          <w:rFonts w:ascii="仿宋_GB2312" w:hAnsi="仿宋_GB2312" w:eastAsia="仿宋_GB2312"/>
          <w:sz w:val="32"/>
        </w:rPr>
        <w:t>（8）负责特种设备安全监督管理。综合管理特种设备安全监察、监督工作，监督检查高耗能特种设备节能标准和锅炉环境保护标准的执行情况。</w:t>
      </w:r>
    </w:p>
    <w:p>
      <w:pPr>
        <w:spacing w:line="580" w:lineRule="exact"/>
        <w:ind w:firstLine="640"/>
        <w:jc w:val="both"/>
      </w:pPr>
      <w:r>
        <w:rPr>
          <w:rFonts w:ascii="仿宋_GB2312" w:hAnsi="仿宋_GB2312" w:eastAsia="仿宋_GB2312"/>
          <w:sz w:val="32"/>
        </w:rPr>
        <w:t>（9）负责食品安全监督管理综合协调。负责推进食品安全重大政策措施的实施。负责食品安全应急体系建设，组织指导重大食品安全事件应急处置和调查处理工作。建立健全食品安全重要信息直报制度。</w:t>
      </w:r>
    </w:p>
    <w:p>
      <w:pPr>
        <w:spacing w:line="580" w:lineRule="exact"/>
        <w:ind w:firstLine="640"/>
        <w:jc w:val="both"/>
      </w:pPr>
      <w:r>
        <w:rPr>
          <w:rFonts w:ascii="仿宋_GB2312" w:hAnsi="仿宋_GB2312" w:eastAsia="仿宋_GB2312"/>
          <w:sz w:val="32"/>
        </w:rPr>
        <w:t>（10）负责食品安全监督管理。建立覆盖食品生产、流通、消费全过程的监督检查制度和隐患排查治理机制并组织实施，防范区域性、系统性食品安全风险。推动建立食品生产经营者落实主体责任的机制，健全食品安全追溯体系。组织开展食品安全监督抽检、风险监测、核查处置和风险预警、风险交流工作。组织实施特殊食品监督管理。</w:t>
      </w:r>
    </w:p>
    <w:p>
      <w:pPr>
        <w:spacing w:line="580" w:lineRule="exact"/>
        <w:ind w:firstLine="640"/>
        <w:jc w:val="both"/>
      </w:pPr>
      <w:r>
        <w:rPr>
          <w:rFonts w:ascii="仿宋_GB2312" w:hAnsi="仿宋_GB2312" w:eastAsia="仿宋_GB2312"/>
          <w:sz w:val="32"/>
        </w:rPr>
        <w:t>（11）负责统一管理计量工作。执行国家计量制度，推行国家法定计量单位，依法管理计量器具及量值传递、强制检定和比对工作。指导建立健全计量检定体系和节能减排等能源计量工作；监督管理计量检定机构、计量校准机构、社会</w:t>
      </w:r>
      <w:r>
        <w:rPr>
          <w:rFonts w:hint="eastAsia" w:ascii="仿宋_GB2312" w:hAnsi="仿宋_GB2312" w:eastAsia="仿宋_GB2312"/>
          <w:sz w:val="32"/>
          <w:lang w:eastAsia="zh-CN"/>
        </w:rPr>
        <w:t>公证</w:t>
      </w:r>
      <w:r>
        <w:rPr>
          <w:rFonts w:ascii="仿宋_GB2312" w:hAnsi="仿宋_GB2312" w:eastAsia="仿宋_GB2312"/>
          <w:sz w:val="32"/>
        </w:rPr>
        <w:t>计量机构及计量检定人员的资质资格；规范、</w:t>
      </w:r>
      <w:r>
        <w:rPr>
          <w:rFonts w:hint="eastAsia" w:ascii="仿宋_GB2312" w:hAnsi="仿宋_GB2312" w:eastAsia="仿宋_GB2312"/>
          <w:sz w:val="32"/>
          <w:lang w:eastAsia="zh-CN"/>
        </w:rPr>
        <w:t>监督商品计量和</w:t>
      </w:r>
      <w:r>
        <w:rPr>
          <w:rFonts w:ascii="仿宋_GB2312" w:hAnsi="仿宋_GB2312" w:eastAsia="仿宋_GB2312"/>
          <w:sz w:val="32"/>
        </w:rPr>
        <w:t>市场计量行为。</w:t>
      </w:r>
    </w:p>
    <w:p>
      <w:pPr>
        <w:spacing w:line="580" w:lineRule="exact"/>
        <w:ind w:firstLine="640"/>
        <w:jc w:val="both"/>
      </w:pPr>
      <w:r>
        <w:rPr>
          <w:rFonts w:ascii="仿宋_GB2312" w:hAnsi="仿宋_GB2312" w:eastAsia="仿宋_GB2312"/>
          <w:sz w:val="32"/>
        </w:rPr>
        <w:t>（12）负责统一管理标准化工作。依法承担地方标准的立项、编号、制定和发布等工作。依法协调指导和监督团体标准、企业标准制定工作，管理商品条码工作。</w:t>
      </w:r>
    </w:p>
    <w:p>
      <w:pPr>
        <w:spacing w:line="580" w:lineRule="exact"/>
        <w:ind w:firstLine="640"/>
        <w:jc w:val="both"/>
      </w:pPr>
      <w:r>
        <w:rPr>
          <w:rFonts w:ascii="仿宋_GB2312" w:hAnsi="仿宋_GB2312" w:eastAsia="仿宋_GB2312"/>
          <w:sz w:val="32"/>
        </w:rPr>
        <w:t>（13）负责统一管理检验检测工作。推进检验检测机构改革，规范检验检测市场，完善检验检测体系，指导协调检验检测行业发展。</w:t>
      </w:r>
    </w:p>
    <w:p>
      <w:pPr>
        <w:spacing w:line="580" w:lineRule="exact"/>
        <w:ind w:firstLine="640"/>
        <w:jc w:val="both"/>
      </w:pPr>
      <w:r>
        <w:rPr>
          <w:rFonts w:ascii="仿宋_GB2312" w:hAnsi="仿宋_GB2312" w:eastAsia="仿宋_GB2312"/>
          <w:sz w:val="32"/>
        </w:rPr>
        <w:t>（14）负责统一管理、监督和综合协调认证认可工作。建立并组织实施统一的认证认可和合格评定监督管理制度。</w:t>
      </w:r>
    </w:p>
    <w:p>
      <w:pPr>
        <w:spacing w:line="580" w:lineRule="exact"/>
        <w:ind w:firstLine="640"/>
        <w:jc w:val="both"/>
      </w:pPr>
      <w:r>
        <w:rPr>
          <w:rFonts w:ascii="仿宋_GB2312" w:hAnsi="仿宋_GB2312" w:eastAsia="仿宋_GB2312"/>
          <w:sz w:val="32"/>
        </w:rPr>
        <w:t>（15）负责市场监督管理和知识产权科技与信息化建设、新闻宣传以及对外交流合作。按规定承担技术性贸易措施有关工作。</w:t>
      </w:r>
    </w:p>
    <w:p>
      <w:pPr>
        <w:spacing w:line="580" w:lineRule="exact"/>
        <w:ind w:firstLine="640"/>
        <w:jc w:val="both"/>
      </w:pPr>
      <w:r>
        <w:rPr>
          <w:rFonts w:ascii="仿宋_GB2312" w:hAnsi="仿宋_GB2312" w:eastAsia="仿宋_GB2312"/>
          <w:sz w:val="32"/>
        </w:rPr>
        <w:t>（16）负责药品（含中药、民族药，下同）、医疗器械和化妆品安全监督管理。贯彻落实国家关于药品、医疗器械和化妆品监督管理的法律、法规、规章和政策。</w:t>
      </w:r>
    </w:p>
    <w:p>
      <w:pPr>
        <w:spacing w:line="580" w:lineRule="exact"/>
        <w:ind w:firstLine="640"/>
        <w:jc w:val="both"/>
      </w:pPr>
      <w:r>
        <w:rPr>
          <w:rFonts w:ascii="仿宋_GB2312" w:hAnsi="仿宋_GB2312" w:eastAsia="仿宋_GB2312"/>
          <w:sz w:val="32"/>
        </w:rPr>
        <w:t>（17）监督实施药品、医疗器械、化妆品相关标准和分类管理制度。监督实施中药材地方标准和中药饮片炮制规范。参与实施国家基本药物制度。</w:t>
      </w:r>
    </w:p>
    <w:p>
      <w:pPr>
        <w:spacing w:line="580" w:lineRule="exact"/>
        <w:ind w:firstLine="640"/>
        <w:jc w:val="both"/>
      </w:pPr>
      <w:r>
        <w:rPr>
          <w:rFonts w:ascii="仿宋_GB2312" w:hAnsi="仿宋_GB2312" w:eastAsia="仿宋_GB2312"/>
          <w:sz w:val="32"/>
        </w:rPr>
        <w:t>（18）负责药品、医疗器械和化妆品质量管理。监督实施药品、医疗器械经营质量管理规范，监督实施化妆品经营、使用卫生标准和技术规范。</w:t>
      </w:r>
    </w:p>
    <w:p>
      <w:pPr>
        <w:spacing w:line="580" w:lineRule="exact"/>
        <w:ind w:firstLine="640"/>
        <w:jc w:val="both"/>
      </w:pPr>
      <w:r>
        <w:rPr>
          <w:rFonts w:ascii="仿宋_GB2312" w:hAnsi="仿宋_GB2312" w:eastAsia="仿宋_GB2312"/>
          <w:sz w:val="32"/>
        </w:rPr>
        <w:t>（19）负责药品、医疗器械和化妆品上市后风险管理。组织开展辖区药品、化妆品不良反应和医疗器械不良事件监测、评价和处置。组织开展药物滥用监测。依法承担药品、医疗器械和化妆品安全应急管理。</w:t>
      </w:r>
    </w:p>
    <w:p>
      <w:pPr>
        <w:spacing w:line="580" w:lineRule="exact"/>
        <w:ind w:firstLine="640"/>
        <w:jc w:val="both"/>
      </w:pPr>
      <w:r>
        <w:rPr>
          <w:rFonts w:ascii="仿宋_GB2312" w:hAnsi="仿宋_GB2312" w:eastAsia="仿宋_GB2312"/>
          <w:sz w:val="32"/>
        </w:rPr>
        <w:t>（20）负责组织实施药品、医疗器械和化妆品监督检查。依职责组织指导查处药品、医疗器械、化妆品生产、经营和使用环节的违法行为。</w:t>
      </w:r>
    </w:p>
    <w:p>
      <w:pPr>
        <w:spacing w:line="580" w:lineRule="exact"/>
        <w:ind w:firstLine="640"/>
        <w:jc w:val="both"/>
      </w:pPr>
      <w:r>
        <w:rPr>
          <w:rFonts w:ascii="仿宋_GB2312" w:hAnsi="仿宋_GB2312" w:eastAsia="仿宋_GB2312"/>
          <w:sz w:val="32"/>
        </w:rPr>
        <w:t>（21）负责促进知识产权运用。拟订实施知识产权激励奖励制度、知识产权转化运用和交易运营政策措施。指导落实商标、专利、原产地地理标志申请的审查、确权相关前置服务工作。指导知识产权无形资产评估、审查评议工作。指导和促进知识产权服务业发展、统筹指导知识产权公共服务体系建设，推动知识产权信息传播利用。</w:t>
      </w:r>
    </w:p>
    <w:p>
      <w:pPr>
        <w:spacing w:line="580" w:lineRule="exact"/>
        <w:ind w:firstLine="640"/>
        <w:jc w:val="both"/>
      </w:pPr>
      <w:r>
        <w:rPr>
          <w:rFonts w:ascii="仿宋_GB2312" w:hAnsi="仿宋_GB2312" w:eastAsia="仿宋_GB2312"/>
          <w:sz w:val="32"/>
        </w:rPr>
        <w:t>（22）负责保护知识产权。拟订实施严格保护商标、专利、原产地地理标志等知识产权制度措施。研究提出知识产权保护体系建设方案并组织实施，推动建设知识产权保护体系。负责组织指导商标、专利执法工作，指导知识产权争议处理、维权援助和纠纷调处。组织指导知识产权预警和涉外保护工作。拟订实施鼓励新领域、新业态、新模式创新的知识产权保护、管理和服务政策。</w:t>
      </w:r>
    </w:p>
    <w:p>
      <w:pPr>
        <w:spacing w:line="580" w:lineRule="exact"/>
        <w:ind w:firstLine="640"/>
        <w:jc w:val="both"/>
      </w:pPr>
      <w:r>
        <w:rPr>
          <w:rFonts w:ascii="仿宋_GB2312" w:hAnsi="仿宋_GB2312" w:eastAsia="仿宋_GB2312"/>
          <w:sz w:val="32"/>
        </w:rPr>
        <w:t>（23）承担伽师县食品安全委员会的具体工作。</w:t>
      </w:r>
    </w:p>
    <w:p>
      <w:pPr>
        <w:spacing w:line="580" w:lineRule="exact"/>
        <w:ind w:firstLine="640"/>
        <w:jc w:val="both"/>
      </w:pPr>
      <w:r>
        <w:rPr>
          <w:rFonts w:ascii="仿宋_GB2312" w:hAnsi="仿宋_GB2312" w:eastAsia="仿宋_GB2312"/>
          <w:sz w:val="32"/>
        </w:rPr>
        <w:t>（24）完成伽师县委、县政府交办的其他任务。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伽师县市场监督管理局2024年度，实有人数77人，其中：在职人员41人，减少1人；离休人员0人，增加0人；退休人员36人,增加2人。</w:t>
      </w:r>
    </w:p>
    <w:p>
      <w:pPr>
        <w:spacing w:line="580" w:lineRule="exact"/>
        <w:ind w:firstLine="640"/>
        <w:jc w:val="both"/>
      </w:pPr>
      <w:r>
        <w:rPr>
          <w:rFonts w:ascii="仿宋_GB2312" w:hAnsi="仿宋_GB2312" w:eastAsia="仿宋_GB2312"/>
          <w:sz w:val="32"/>
        </w:rPr>
        <w:t>伽师县市场监督管理局无下属预算单位，下设13个科室，分别是：办公室、政策法规室、注册登记管理股、信用监督管理股、反垄断和反不正当竞争股、价格监督管理股、网络交易监督管理股、产品质量监督管理股、食品生产经营监督管理股、药品医疗器械监督管理股、特种设备监察股、计量标准化监督管理股、知识产权监督管理股。</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2024年度收入总计961.45万元，</w:t>
      </w:r>
      <w:r>
        <w:rPr>
          <w:rFonts w:ascii="仿宋_GB2312" w:hAnsi="仿宋_GB2312" w:eastAsia="仿宋_GB2312"/>
          <w:b w:val="0"/>
          <w:sz w:val="32"/>
        </w:rPr>
        <w:t>其中：本年收入合计961.45万元，使用非财政拨款结余（含专用结余）0.00万元，年初结转和结余0.00万元。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2024年度支出总计961.45万元，</w:t>
      </w:r>
      <w:r>
        <w:rPr>
          <w:rFonts w:ascii="仿宋_GB2312" w:hAnsi="仿宋_GB2312" w:eastAsia="仿宋_GB2312"/>
          <w:b w:val="0"/>
          <w:sz w:val="32"/>
        </w:rPr>
        <w:t>其中：本年支出合计961.45万元，结余分配0.00万元，年末结转和结余0.00万元。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收入支出总体与上年相比，增加121.19万元，增长14.42%，主要原因是：本年增加伽师县市监局食品安全监督抽检经费项目、伽师县市监局2024年度食品药品监管补助经费项目等项目，导致经费较上年增加。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本年收入961.45万元，</w:t>
      </w:r>
      <w:r>
        <w:rPr>
          <w:rFonts w:ascii="仿宋_GB2312" w:hAnsi="仿宋_GB2312" w:eastAsia="仿宋_GB2312"/>
          <w:b w:val="0"/>
          <w:sz w:val="32"/>
        </w:rPr>
        <w:t>其中：财政拨款收入939.40万元，占97.71%；上级补助收入0.00万元，占0.00%；事业收入0.00万元，占0.00%；经营收入0.00万元，占0.00%；附属单位上缴收入0.00万元，占0.00%；其他收入22.06万元，占2.29%。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本年支出961.45万元，</w:t>
      </w:r>
      <w:r>
        <w:rPr>
          <w:rFonts w:ascii="仿宋_GB2312" w:hAnsi="仿宋_GB2312" w:eastAsia="仿宋_GB2312"/>
          <w:b w:val="0"/>
          <w:sz w:val="32"/>
        </w:rPr>
        <w:t>其中：基本支出810.43万元，占84.29%；项目支出151.03万元，占15.71%；上缴上级支出0.00万元，占0.00%；经营支出0.00万元，占0.00%；对附属单位补助支出0.00万元，占0.00%。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2024年度财政拨款收入总计939.40万元，</w:t>
      </w:r>
      <w:r>
        <w:rPr>
          <w:rFonts w:ascii="仿宋_GB2312" w:hAnsi="仿宋_GB2312" w:eastAsia="仿宋_GB2312"/>
          <w:b w:val="0"/>
          <w:sz w:val="32"/>
        </w:rPr>
        <w:t>其中：年初财政拨款结转和结余0.00万元，本年财政拨款收入939.40万元。</w:t>
      </w:r>
      <w:r>
        <w:rPr>
          <w:rFonts w:ascii="仿宋_GB2312" w:hAnsi="仿宋_GB2312" w:eastAsia="仿宋_GB2312"/>
          <w:b/>
          <w:sz w:val="32"/>
        </w:rPr>
        <w:t>财政拨款支出总计939.40万元，</w:t>
      </w:r>
      <w:r>
        <w:rPr>
          <w:rFonts w:ascii="仿宋_GB2312" w:hAnsi="仿宋_GB2312" w:eastAsia="仿宋_GB2312"/>
          <w:b w:val="0"/>
          <w:sz w:val="32"/>
        </w:rPr>
        <w:t>其中：年末财政拨款结转和结余0.00万元，本年财政拨款支出939.40万元。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增加116.24万元，增长14.12%，主要原因是：本年增加伽师县市监局食品安全监督抽检经费项目、伽师县市监局2024年度食品药品监管补助经费项目等项目，导致经费较上年增加。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年初预算数798.31万元，决算数939.40万元，预决算差异率17.67%，主要原因是：年中追加伽师县市监局食品安全监督抽检经费项目、伽师县市监局2024年度食品药品监管补助经费项目，导致预决算存在差异。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2024年度一般公共预算财政拨款支出939.40万元，</w:t>
      </w:r>
      <w:r>
        <w:rPr>
          <w:rFonts w:ascii="仿宋_GB2312" w:hAnsi="仿宋_GB2312" w:eastAsia="仿宋_GB2312"/>
          <w:b w:val="0"/>
          <w:sz w:val="32"/>
        </w:rPr>
        <w:t>占本年支出合计的97.71%。</w:t>
      </w:r>
      <w:r>
        <w:rPr>
          <w:rFonts w:ascii="仿宋_GB2312" w:hAnsi="仿宋_GB2312" w:eastAsia="仿宋_GB2312"/>
          <w:b/>
          <w:sz w:val="32"/>
        </w:rPr>
        <w:t>与上年相比，</w:t>
      </w:r>
      <w:r>
        <w:rPr>
          <w:rFonts w:ascii="仿宋_GB2312" w:hAnsi="仿宋_GB2312" w:eastAsia="仿宋_GB2312"/>
          <w:b w:val="0"/>
          <w:sz w:val="32"/>
        </w:rPr>
        <w:t>增加116.24万元，增长14.12%，主要原因是：本年增加伽师县市监局食品安全监督抽检经费项目、伽师县市监局2024年度食品药品监管补助经费项目等项目，导致经费较上年增加。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年初预算数798.31万元，决算数939.40万元，预决算差异率17.67%，主要原因是：年中追加伽师县市监局食品安全监督抽检经费项目、伽师县市监局2024年度食品药品监管补助经费项目，导致预决算存在差异。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1.一般公共服务支出(类)699.56万元,占74.47%。</w:t>
      </w:r>
    </w:p>
    <w:p>
      <w:pPr>
        <w:spacing w:line="580" w:lineRule="exact"/>
        <w:ind w:firstLine="640"/>
        <w:jc w:val="both"/>
      </w:pPr>
      <w:r>
        <w:rPr>
          <w:rFonts w:ascii="仿宋_GB2312" w:hAnsi="仿宋_GB2312" w:eastAsia="仿宋_GB2312"/>
          <w:b w:val="0"/>
          <w:sz w:val="32"/>
        </w:rPr>
        <w:t>2.社会保障和就业支出(类)150.39万元,占16.01%。</w:t>
      </w:r>
    </w:p>
    <w:p>
      <w:pPr>
        <w:spacing w:line="580" w:lineRule="exact"/>
        <w:ind w:firstLine="640"/>
        <w:jc w:val="both"/>
      </w:pPr>
      <w:r>
        <w:rPr>
          <w:rFonts w:ascii="仿宋_GB2312" w:hAnsi="仿宋_GB2312" w:eastAsia="仿宋_GB2312"/>
          <w:b w:val="0"/>
          <w:sz w:val="32"/>
        </w:rPr>
        <w:t>3.卫生健康支出(类)34.34万元,占3.66%。</w:t>
      </w:r>
    </w:p>
    <w:p>
      <w:pPr>
        <w:spacing w:line="580" w:lineRule="exact"/>
        <w:ind w:firstLine="640"/>
        <w:jc w:val="both"/>
      </w:pPr>
      <w:r>
        <w:rPr>
          <w:rFonts w:ascii="仿宋_GB2312" w:hAnsi="仿宋_GB2312" w:eastAsia="仿宋_GB2312"/>
          <w:b w:val="0"/>
          <w:sz w:val="32"/>
        </w:rPr>
        <w:t>4.住房保障支出(类)55.11万元,占5.87%。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1.一般公共服务支出(类)市场监督管理事务(款)行政运行(项):支出决算数为570.59万元，比上年决算减少37.64万元，下降6.19%,主要原因是：本年在职人员减少，相应人员经费较上年减少。</w:t>
      </w:r>
    </w:p>
    <w:p>
      <w:pPr>
        <w:spacing w:line="580" w:lineRule="exact"/>
        <w:ind w:firstLine="640"/>
        <w:jc w:val="both"/>
      </w:pPr>
      <w:r>
        <w:rPr>
          <w:rFonts w:ascii="仿宋_GB2312" w:hAnsi="仿宋_GB2312" w:eastAsia="仿宋_GB2312"/>
          <w:b w:val="0"/>
          <w:sz w:val="32"/>
        </w:rPr>
        <w:t>2.一般公共服务支出(类)市场监督管理事务(款)药品事务(项):支出决算数为1.84万元，比上年决算增加0.40万元，增长27.78%,主要原因是：伽师县市监局2023年度药品监管抽检项目资金较上年增加。</w:t>
      </w:r>
    </w:p>
    <w:p>
      <w:pPr>
        <w:spacing w:line="580" w:lineRule="exact"/>
        <w:ind w:firstLine="640"/>
        <w:jc w:val="both"/>
      </w:pPr>
      <w:r>
        <w:rPr>
          <w:rFonts w:ascii="仿宋_GB2312" w:hAnsi="仿宋_GB2312" w:eastAsia="仿宋_GB2312"/>
          <w:b w:val="0"/>
          <w:sz w:val="32"/>
        </w:rPr>
        <w:t>3.一般公共服务支出(类)市场监督管理事务(款)食品安全监管(项):支出决算数为127.13万元，比上年决算增加127.13万元，增长100.00%,主要原因是：本年增加伽师县市监局食品安全抽检监测经费项目。</w:t>
      </w:r>
    </w:p>
    <w:p>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4.社会保障和就业支出(类)行政事业单位养老支出(款)行政单位离退休(项):支出决算数为47.73万元，比上年决算增加10.16万元，增长27.04%,主要原因是：本年退休人员增加，退休费支出增加。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65.95万元，比上年决算增加0.42万元，增长0.64%,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36.70万元，比上年决算增加13.90万元，增长60.96%,主要原因是：本年新增退休人员、调出人员，职业年金缴费支出增加。</w:t>
      </w:r>
    </w:p>
    <w:p>
      <w:pPr>
        <w:spacing w:line="580" w:lineRule="exact"/>
        <w:ind w:firstLine="640"/>
        <w:jc w:val="both"/>
      </w:pPr>
      <w:r>
        <w:rPr>
          <w:rFonts w:ascii="仿宋_GB2312" w:hAnsi="仿宋_GB2312" w:eastAsia="仿宋_GB2312"/>
          <w:b w:val="0"/>
          <w:sz w:val="32"/>
        </w:rPr>
        <w:t>7.卫生健康支出(类)行政事业单位医疗(款)行政单位医疗(项):支出决算数为28.03万元，比上年决算增加0.04万元，增长0.14%,主要原因是：本年在职人员工资基数调增，医疗缴费基数上涨，相应支出增加。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8.卫生健康支出(类)行政事业单位医疗(款)公务员医疗补助(项):支出决算数为6.31万元，比上年决算减少0.20万元，下降3.07%,主要原因是：本年在职人员减少，公务员医疗补助较上年减少。</w:t>
      </w:r>
    </w:p>
    <w:p>
      <w:pPr>
        <w:spacing w:line="580" w:lineRule="exact"/>
        <w:ind w:firstLine="640"/>
        <w:jc w:val="both"/>
      </w:pPr>
      <w:r>
        <w:rPr>
          <w:rFonts w:ascii="仿宋_GB2312" w:hAnsi="仿宋_GB2312" w:eastAsia="仿宋_GB2312"/>
          <w:b w:val="0"/>
          <w:sz w:val="32"/>
        </w:rPr>
        <w:t>9.住房保障支出(类)住房改革支出(款)住房公积金(项):支出决算数为55.11万元，比上年决算增加2.03万元，增长3.82%,主要原因是：本年在职人员工资基数调增，公积金缴费基数上涨，相应支出增加。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2024年度一般公共预算财政拨款基本支出810.43万元，其中：</w:t>
      </w:r>
      <w:r>
        <w:rPr>
          <w:rFonts w:ascii="仿宋_GB2312" w:hAnsi="仿宋_GB2312" w:eastAsia="仿宋_GB2312"/>
          <w:b/>
          <w:sz w:val="32"/>
        </w:rPr>
        <w:t>人员经费776.73万元，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包括：基本工资、津贴补贴、奖金、机关事业单位基本养老保险缴费、职业年金缴费、职工基本医疗保险缴费、公务员医疗补助缴费、其他社会保障缴费、住房公积金、退休费、抚恤金、生活补助。</w:t>
      </w:r>
    </w:p>
    <w:p>
      <w:pPr>
        <w:spacing w:line="580" w:lineRule="exact"/>
        <w:ind w:firstLine="640"/>
        <w:jc w:val="both"/>
      </w:pPr>
      <w:r>
        <w:rPr>
          <w:rFonts w:ascii="仿宋_GB2312" w:hAnsi="仿宋_GB2312" w:eastAsia="仿宋_GB2312"/>
          <w:b/>
          <w:sz w:val="32"/>
        </w:rPr>
        <w:t>公用经费33.70万元，</w:t>
      </w:r>
      <w:r>
        <w:rPr>
          <w:rFonts w:ascii="仿宋_GB2312" w:hAnsi="仿宋_GB2312" w:eastAsia="仿宋_GB2312"/>
          <w:b w:val="0"/>
          <w:sz w:val="32"/>
        </w:rPr>
        <w:t>包括：办公费、水费、电费、邮电费、取暖费、差旅费、公务接待费、公务用车运行维护费。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2024年度财政拨款“三公”经费支出8.79万元，</w:t>
      </w:r>
      <w:r>
        <w:rPr>
          <w:rFonts w:ascii="仿宋_GB2312" w:hAnsi="仿宋_GB2312" w:eastAsia="仿宋_GB2312"/>
          <w:b w:val="0"/>
          <w:sz w:val="32"/>
        </w:rPr>
        <w:t>比上年减少0.09万元，下降1.01%，主要原因是：采取有效措施加强公务接待管理，严格控制公务接待活动，认真执行经费开支标准，减少公务接待运行成本费用。其中：因公出国（境）费支出0.00万元，占0.00%，比上年增加0.00万元，增长0.00%，主要原因是：2023年与2024年均未安排因公出国（境）费支出。公务用车购置及运行维护费支出8.40万元，占95.56%，比上年增加0.00万元，增长0.00%，主要原因是：本单位公务用车运行维护费与上年一致无变化。公务接待费支出0.39万元，占4.44%，比上年减少0.09万元，下降18.75%，主要原因是：采取有效措施加强公务接待管理，严格控制公务接待活动，认真执行经费开支标准，减少公务接待运行成本费用。</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8.40万元，其中：公务用车购置费0.00万元，公务用车运行维护费8.40万元。公务用车运行维护费开支内容包括车辆加油费、维修费、保险费、审车费、过路费等。公务用车购置数0辆，公务用车保有量9辆。国有资产占用情况中固定资产车辆9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公务接待费0.39万元，开支内容包括接待上级领导检查、督导产生的就餐费。单位全年安排的国内公务接待4批次，86人次。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8.79万元，决算数8.79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8.40万元，决算数8.40万元，预决算差异率0.00%，主要原因是：严格按照预算执行，预决算无差异。公务接待费全年预算数0.39万元，决算数0.39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市场监督管理局（行政单位和参照公务员法管理事业单位）机关运行经费支出33.70万元，比上年增加4.11万元，增长13.89%，主要原因是：本年更新、维护补充办公用品，导致机关运行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2024年度政府采购支出总额7.14万元，其中：政府采购货物支出0.59万元、政府采购工程支出0.00万元、政府采购服务支出6.54万元。</w:t>
      </w:r>
    </w:p>
    <w:p>
      <w:pPr>
        <w:spacing w:line="580" w:lineRule="exact"/>
        <w:ind w:firstLine="640"/>
        <w:jc w:val="both"/>
      </w:pPr>
      <w:r>
        <w:rPr>
          <w:rFonts w:ascii="仿宋_GB2312" w:hAnsi="仿宋_GB2312" w:eastAsia="仿宋_GB2312"/>
          <w:b w:val="0"/>
          <w:sz w:val="32"/>
        </w:rPr>
        <w:t>授予中小企业合同金额5.98万元，占政府采购支出总额的83.75%，其中：授予小微企业合同金额5.39万元，占政府采购支出总额的75.49%。</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8,702.12平方米，价值681.79万元。车辆9辆，价值201.17万元，其中：副部（省）级及以上领导用车0辆、主要负责人用车0辆、机要通信用车0辆、应急保障用车0辆、执法执勤用车0辆、特种专业技术用车0辆、离退休干部服务用车0辆、其他用车9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961.46万元，实际执行总额961.46万元；预算绩效评价项目3个，全年预算数131.51万元，全年执行数128.97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作用。二是严格按照工作职责和相关文件依据，确保专款专用。三是严格控制资金的流出方向，确保资金的合规性。发现的问题及原因：一是绩效标准不明，考评项目和考评因素的选择不恰当；二是绩效核心内容体系不完善，指标设计的质量和层次有待提高；三是预算绩效管理相关工作制度不健全。下一步改进措施：一是绩效标准描述要准确、明白，尽量使用量化的客观标准；二是明确责任主体。预算单位应明确相关职责，按照谁支出、谁负责，谁审批、谁负责的原则，明确绩效管理的第一责任人，切实做到“花钱必问效，无效必问责”；三是继续完善预算绩效管理相关工作制度，建立全过程预算绩效管理链条，有效贯彻落实全面实施绩效管理的精神。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66"/>
        <w:gridCol w:w="1307"/>
        <w:gridCol w:w="676"/>
        <w:gridCol w:w="983"/>
        <w:gridCol w:w="983"/>
        <w:gridCol w:w="983"/>
      </w:tblGrid>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伽师县市场监督管理局</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3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798.31</w:t>
            </w:r>
          </w:p>
        </w:tc>
        <w:tc>
          <w:tcPr>
            <w:tcW w:w="9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961.46</w:t>
            </w:r>
          </w:p>
        </w:tc>
        <w:tc>
          <w:tcPr>
            <w:tcW w:w="13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961.46</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1.84</w:t>
            </w:r>
          </w:p>
        </w:tc>
        <w:tc>
          <w:tcPr>
            <w:tcW w:w="9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11.84</w:t>
            </w:r>
          </w:p>
        </w:tc>
        <w:tc>
          <w:tcPr>
            <w:tcW w:w="13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11.84</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796.47</w:t>
            </w:r>
          </w:p>
        </w:tc>
        <w:tc>
          <w:tcPr>
            <w:tcW w:w="9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927.56</w:t>
            </w:r>
          </w:p>
        </w:tc>
        <w:tc>
          <w:tcPr>
            <w:tcW w:w="13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927.56</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22.06</w:t>
            </w:r>
          </w:p>
        </w:tc>
        <w:tc>
          <w:tcPr>
            <w:tcW w:w="13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22.06</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3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3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3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完整、准确、全面贯彻新发展理念，加快构建新发展格局，全面推进市场监管所规范化建设，着力推动高质量发展，更大力度支持市场主体发展，充分激发各类市场主体活力，强化公平竞争政策的基础地位，全面加强质量管理，全面强化知识产权保护，严格落实“四个最严”要求，坚决守住食品、重点工业产品、特种设备安全底线，提振市场信心，稳定市场预期，努力提高市场监管现代化水平，服务经济实现质的有效提升和量的合理增长。均衡推进食品抽检监测，针对重点高风险品种，开展专项抽检监测。依法依规开展不合格（问题）食品核查处置，及时稳妥公布食品抽检结果信息。严格产品质量专项整治，加强危险化学品及其包装物、农业生产资料等产品质量安全监管，防范化解重大安全风险隐患。加强“两品一械”日常监督检查，开展药品安全宣传活动，开展药品从业人员培训工作，完成药品、医疗器械、化妆品抽样检验工作。2024年计划完成：食品安全监督抽检数量不低于672批次；完成药品抽样13批次；产品质量监督检查数量不低于60家次；办理发放证照不低于8000套；广告监测数量不低于210条。</w:t>
            </w:r>
          </w:p>
        </w:tc>
        <w:tc>
          <w:tcPr>
            <w:tcW w:w="493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截至12月31日完成了对我县及各乡镇生产销售的畜禽肉及副产品、蔬菜、水产品、水果类、鲜蛋、粮食加工品等食用农产品672批次抽样检验，有效</w:t>
            </w:r>
            <w:r>
              <w:rPr>
                <w:rFonts w:hint="eastAsia" w:ascii="宋体" w:hAnsi="宋体"/>
                <w:sz w:val="16"/>
                <w:lang w:eastAsia="zh-CN"/>
              </w:rPr>
              <w:t>地</w:t>
            </w:r>
            <w:r>
              <w:rPr>
                <w:rFonts w:ascii="宋体" w:hAnsi="宋体" w:eastAsia="宋体"/>
                <w:sz w:val="16"/>
              </w:rPr>
              <w:t>降低食品安全风险，保障我县广大人民群众“舌尖上”的安全，促进食品产业有序健康发展，进一步推动我县构建食用农产品质量安全监管长效机制。完成了13个批次的药品抽检，通过本项目的实施，有效地保障了药品、化妆品及医疗器械安全，避免发生重大“两品一械”安全事故；提高了全县药品、医疗器械和化妆品经营企业法律法规意识；加强了“两品一械”企业监管力度，降低假冒伪劣产品制售行为。通过加快构建新发展格局，着力推动高质量发展，更大力度支持市场主体发展，充分激发各类市场主体活力，强化公平竞争政策的基础地位，全面加强质量管理，全面强化知识产权保护，严格落实“四个最严”要求，坚决守住食品、重点工业产品、特种设备安全底线，提振市场信心，稳定市场预期，努力提高市场监管现代化水平，服务经济实现质的有效提升和量的合理增长。</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3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bookmarkStart w:id="0" w:name="_GoBack"/>
            <w:bookmarkEnd w:id="0"/>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食品安全监督抽检数量</w:t>
            </w:r>
          </w:p>
        </w:tc>
        <w:tc>
          <w:tcPr>
            <w:tcW w:w="9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&gt;=672批次</w:t>
            </w:r>
          </w:p>
        </w:tc>
        <w:tc>
          <w:tcPr>
            <w:tcW w:w="13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伽师县市场监督管理局政府工作报告；关于印发《伽师县食品药品安全“十四五”规划》的通知；2024年地县</w:t>
            </w:r>
            <w:r>
              <w:rPr>
                <w:rFonts w:hint="eastAsia" w:ascii="宋体" w:hAnsi="宋体"/>
                <w:sz w:val="16"/>
                <w:lang w:eastAsia="zh-CN"/>
              </w:rPr>
              <w:t>两级</w:t>
            </w:r>
            <w:r>
              <w:rPr>
                <w:rFonts w:ascii="宋体" w:hAnsi="宋体" w:eastAsia="宋体"/>
                <w:sz w:val="16"/>
              </w:rPr>
              <w:t>食品安全抽检任务分配表</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672批次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药品抽样次数</w:t>
            </w:r>
          </w:p>
        </w:tc>
        <w:tc>
          <w:tcPr>
            <w:tcW w:w="9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=13批次</w:t>
            </w:r>
          </w:p>
        </w:tc>
        <w:tc>
          <w:tcPr>
            <w:tcW w:w="13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关于印发《伽师县食品药品安全“十四五”规划》的通知；伽师县市场监督管理局2024年工作计划</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产品质量监督检查数量</w:t>
            </w:r>
          </w:p>
        </w:tc>
        <w:tc>
          <w:tcPr>
            <w:tcW w:w="9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&gt;=60家次</w:t>
            </w:r>
          </w:p>
        </w:tc>
        <w:tc>
          <w:tcPr>
            <w:tcW w:w="13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伽师县市场监督管理局2024年工作计划</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61家次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办理发放证照</w:t>
            </w:r>
          </w:p>
        </w:tc>
        <w:tc>
          <w:tcPr>
            <w:tcW w:w="9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&gt;=0.80万套</w:t>
            </w:r>
          </w:p>
        </w:tc>
        <w:tc>
          <w:tcPr>
            <w:tcW w:w="13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伽师县市场监督管理局政府工作报告；伽师县市场监督管理局2024年工作计划</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0.80万套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广告监测数量</w:t>
            </w:r>
          </w:p>
        </w:tc>
        <w:tc>
          <w:tcPr>
            <w:tcW w:w="9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&gt;=210条</w:t>
            </w:r>
          </w:p>
        </w:tc>
        <w:tc>
          <w:tcPr>
            <w:tcW w:w="13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伽师县市场监督管理局2024年工作计划</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210条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tbl>
      <w:tblPr>
        <w:tblStyle w:val="9"/>
        <w:tblW w:w="0" w:type="auto"/>
        <w:tblInd w:w="0" w:type="dxa"/>
        <w:tblLayout w:type="fixed"/>
        <w:tblCellMar>
          <w:top w:w="0" w:type="dxa"/>
          <w:left w:w="108" w:type="dxa"/>
          <w:bottom w:w="0" w:type="dxa"/>
          <w:right w:w="108" w:type="dxa"/>
        </w:tblCellMar>
      </w:tblPr>
      <w:tblGrid>
        <w:gridCol w:w="606"/>
        <w:gridCol w:w="565"/>
        <w:gridCol w:w="566"/>
        <w:gridCol w:w="712"/>
        <w:gridCol w:w="870"/>
        <w:gridCol w:w="566"/>
        <w:gridCol w:w="776"/>
        <w:gridCol w:w="586"/>
        <w:gridCol w:w="566"/>
        <w:gridCol w:w="566"/>
        <w:gridCol w:w="936"/>
        <w:gridCol w:w="632"/>
        <w:gridCol w:w="485"/>
        <w:gridCol w:w="628"/>
      </w:tblGrid>
      <w:tr>
        <w:tblPrEx>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5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伽师县市监局2023年度药品监管抽检项目</w:t>
            </w:r>
          </w:p>
        </w:tc>
      </w:tr>
      <w:tr>
        <w:tblPrEx>
          <w:tblCellMar>
            <w:top w:w="0" w:type="dxa"/>
            <w:left w:w="108" w:type="dxa"/>
            <w:bottom w:w="0" w:type="dxa"/>
            <w:right w:w="108" w:type="dxa"/>
          </w:tblCellMar>
        </w:tblPrEx>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64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伽师县市场监督管理局</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4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伽师县市场监督管理局</w:t>
            </w:r>
          </w:p>
        </w:tc>
      </w:tr>
      <w:tr>
        <w:tblPrEx>
          <w:tblCellMar>
            <w:top w:w="0" w:type="dxa"/>
            <w:left w:w="108" w:type="dxa"/>
            <w:bottom w:w="0" w:type="dxa"/>
            <w:right w:w="108" w:type="dxa"/>
          </w:tblCellMar>
        </w:tblPrEx>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1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5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3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5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1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5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1.84</w:t>
            </w:r>
          </w:p>
        </w:tc>
        <w:tc>
          <w:tcPr>
            <w:tcW w:w="13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1.84</w:t>
            </w:r>
          </w:p>
        </w:tc>
        <w:tc>
          <w:tcPr>
            <w:tcW w:w="11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1.84</w:t>
            </w:r>
          </w:p>
        </w:tc>
        <w:tc>
          <w:tcPr>
            <w:tcW w:w="15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5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1.84</w:t>
            </w:r>
          </w:p>
        </w:tc>
        <w:tc>
          <w:tcPr>
            <w:tcW w:w="13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1.84</w:t>
            </w:r>
          </w:p>
        </w:tc>
        <w:tc>
          <w:tcPr>
            <w:tcW w:w="11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1.84</w:t>
            </w:r>
          </w:p>
        </w:tc>
        <w:tc>
          <w:tcPr>
            <w:tcW w:w="15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5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5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64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1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64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资金总额1.84万元，主要用于支付药品抽检及“两品一械”日常监管、药品抽样13批次、780人次药品及化妆品商家培训经费、24场次宣传经费。通过本项目的实施，保障药品、化妆品及医疗器械安全，加强“两品一械”企业监管力度，打击假冒伪劣产品制售行为。</w:t>
            </w:r>
          </w:p>
        </w:tc>
        <w:tc>
          <w:tcPr>
            <w:tcW w:w="381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该项目预算资金1.84万元，</w:t>
            </w:r>
            <w:r>
              <w:rPr>
                <w:rFonts w:hint="eastAsia" w:ascii="宋体" w:hAnsi="宋体"/>
                <w:sz w:val="16"/>
                <w:lang w:eastAsia="zh-CN"/>
              </w:rPr>
              <w:t>截至2024</w:t>
            </w:r>
            <w:r>
              <w:rPr>
                <w:rFonts w:ascii="宋体" w:hAnsi="宋体" w:eastAsia="宋体"/>
                <w:sz w:val="16"/>
              </w:rPr>
              <w:t>年11月28日，该项目实际支出1.84万元，资金用于药品抽样及安全培训宣传工作，本项目现已完成了13批次的药品抽样、药品安全培训和宣传工作达到了24次，并获得了检测报告，培训已形成工作总结。通过本项目的实施后，有效降低假冒伪劣产品制售行为，有效地保障了药品，提升药品监管水平。</w:t>
            </w:r>
          </w:p>
        </w:tc>
      </w:tr>
      <w:tr>
        <w:tblPrEx>
          <w:tblCellMar>
            <w:top w:w="0" w:type="dxa"/>
            <w:left w:w="108" w:type="dxa"/>
            <w:bottom w:w="0" w:type="dxa"/>
            <w:right w:w="108" w:type="dxa"/>
          </w:tblCellMar>
        </w:tblPrEx>
        <w:tc>
          <w:tcPr>
            <w:tcW w:w="606" w:type="dxa"/>
            <w:tcBorders>
              <w:top w:val="single" w:color="auto" w:sz="10" w:space="0"/>
              <w:left w:val="single" w:color="auto" w:sz="10" w:space="0"/>
              <w:bottom w:val="single" w:color="auto" w:sz="10" w:space="0"/>
              <w:right w:val="single" w:color="auto" w:sz="10" w:space="0"/>
              <w:insideV w:val="single" w:sz="10" w:space="0"/>
            </w:tcBorders>
          </w:tcP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7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1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56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56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7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药品抽样</w:t>
            </w:r>
          </w:p>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=13批次</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9批次</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药品安全培训和宣传</w:t>
            </w:r>
          </w:p>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&gt;=24场次</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20场次</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7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药品抽检合格率</w:t>
            </w:r>
          </w:p>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药品安全培训和宣传达标率</w:t>
            </w:r>
          </w:p>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7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药品抽样及时率</w:t>
            </w:r>
          </w:p>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药品安全培训和宣传及时率</w:t>
            </w:r>
          </w:p>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1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项目按计划完成率</w:t>
            </w:r>
          </w:p>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1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56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7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药品抽样成本</w:t>
            </w:r>
          </w:p>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&lt;=1233.29元</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2019.4元</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=1233.29元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药品安全培训和宣传费</w:t>
            </w:r>
          </w:p>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&lt;=17166.71元</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12380.6元</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=17166.71元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56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7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降低假冒伪劣产品制售行为</w:t>
            </w:r>
          </w:p>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不断降低</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不断降低</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提升药品监管水平</w:t>
            </w:r>
          </w:p>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7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66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68"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113"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7"/>
        <w:gridCol w:w="617"/>
        <w:gridCol w:w="617"/>
        <w:gridCol w:w="617"/>
        <w:gridCol w:w="776"/>
        <w:gridCol w:w="617"/>
        <w:gridCol w:w="856"/>
        <w:gridCol w:w="622"/>
        <w:gridCol w:w="617"/>
        <w:gridCol w:w="622"/>
        <w:gridCol w:w="622"/>
        <w:gridCol w:w="624"/>
        <w:gridCol w:w="598"/>
        <w:gridCol w:w="628"/>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伽师县市监局2024年度药品监管抽检项目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伽师县市场监督管理局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资金总额2.54万元，主要用于支付药品抽检及“两品一械”日常监管、药品及医疗器械抽样14批次、790人次药品及化妆品商家培训经费、24场次宣传经费。通过本项目的实施，保障药品、化妆品及医疗器械安全，加强“两品一械”企业监管力度，打击假冒伪劣产品制售行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该项目预算资金2.54万元，</w:t>
            </w:r>
            <w:r>
              <w:rPr>
                <w:rFonts w:hint="eastAsia" w:ascii="宋体" w:hAnsi="宋体"/>
                <w:sz w:val="16"/>
                <w:lang w:eastAsia="zh-CN"/>
              </w:rPr>
              <w:t>截至2024</w:t>
            </w:r>
            <w:r>
              <w:rPr>
                <w:rFonts w:ascii="宋体" w:hAnsi="宋体" w:eastAsia="宋体"/>
                <w:sz w:val="16"/>
              </w:rPr>
              <w:t>年12月31日，本项目为零支出项目，未执行的原因：根据地区局的要求伽师县市监局2024年度药品监管抽检项目的执行时间是2025年1月至2025年12月，故截至目前我局未使用该笔项目资金。下一步计划：2025年按计划实施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药品抽样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因2024年我局已完成13批次的药品抽检及24场次的“两品一械”安全培训和宣传，支付上级结转资金1.84万元。根据地区局的要求伽师县市监局2024年度药品监管抽检项目的执行时间是2025年1月至2025年12月，故截至目前我局未使用该笔项目资金。</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药品安全培训和宣传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&gt;=24场次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因2024年我局已完成13批次的药品抽检及24场次的“两品一械”安全培训和宣传，支付上级结转资金1.84万元。根据地区局的要求伽师县市监局2024年度药品监管抽检项目的执行时间是2025年1月至2025年12月，故截至目前我局未使用该笔项目资金。</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药品抽检合格率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因2024年我局已完成13批次的药品抽检及24场次的“两品一械”安全培训和宣传，支付上级结转资金1.84万元。根据地区局的要求伽师县市监局2024年度药品监管抽检项目的执行时间是2025年1月至2025年12月，故截至目前我局未使用该笔项目资金。</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药品安全培训和宣传达标率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因2024年我局已完成13批次的药品抽检及24场次的“两品一械”安全培训和宣传，支付上级结转资金1.84万元。根据地区局的要求伽师县市监局2024年度药品监管抽检项目的执行时间是2025年1月至2025年12月，故截至目前我局未使用该笔项目资金。</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药品抽样及时率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因2024年我局已完成13批次的药品抽检及24场次的“两品一械”安全培训和宣传，支付上级结转资金1.84万元。根据地区局的要求伽师县市监局2024年度药品监管抽检项目的执行时间是2025年1月至2025年12月，故截至目前我局未使用该笔项目资金。</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药品安全培训和宣传及时率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因2024年我局已完成13批次的药品抽检及24场次的“两品一械”安全培训和宣传，支付上级结转资金1.84万元。根据地区局的要求伽师县市监局2024年度药品监管抽检项目的执行时间是2025年1月至2025年12月，故截至目前我局未使用该笔项目资金。</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因2024年我局已完成13批次的药品抽检及24场次的“两品一械”安全培训和宣传，支付上级结转资金1.84万元。根据地区局的要求伽师县市监局2024年度药品监管抽检项目的执行时间是2025年1月至2025年12月，故截至目前我局未使用该笔项目资金。</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因2024年我局已完成13批次的药品抽检及24场次的“两品一械”安全培训和宣传，支付上级结转资金1.84万元。根据地区局的要求伽师县市监局2024年度药品监管抽检项目的执行时间是2025年1月至2025年12月，故截至目前我局未使用该笔项目资金。</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药品抽样成本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1233.29元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因2024年我局已完成13批次的药品抽检及24场次的“两品一械”安全培训和宣传，支付上级结转资金1.84万元。根据地区局的要求伽师县市监局2024年度药品监管抽检项目的执行时间是2025年1月至2025年12月，故截至目前我局未使用该笔项目资金。</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药品安全培训和宣传费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&lt;=18400元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17166.71元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因2024年我局已完成13批次的药品抽检及24场次的“两品一械”安全培训和宣传，支付上级结转资金1.84万元。根据地区局的要求伽师县市监局2024年度药品监管抽检项目的执行时间是2025年1月至2025年12月，故截至目前我局未使用该笔项目资金。</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降低假冒伪劣产品制售行为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因2024年我局已完成13批次的药品抽检及24场次的“两品一械”安全培训和宣传，支付上级结转资金1.84万元。根据地区局的要求伽师县市监局2024年度药品监管抽检项目的执行时间是2025年1月至2025年12月，故截至目前我局未使用该笔项目资金。</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提升药品监管水平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因2024年我局已完成13批次的药品抽检及24场次的“两品一械”安全培训和宣传，支付上级结转资金1.84万元。根据地区局的要求伽师县市监局2024年度药品监管抽检项目的执行时间是2025年1月至2025年12月，故截至目前我局未使用该笔项目资金。</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因2024年我局已完成13批次的药品抽检及24场次的“两品一械”安全培训和宣传，支付上级结转资金1.84万元。根据地区局的要求伽师县市监局2024年度药品监管抽检项目的执行时间是2025年1月至2025年12月，故截至目前我局未使用该笔项目资金。</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5"/>
        <w:gridCol w:w="617"/>
        <w:gridCol w:w="617"/>
        <w:gridCol w:w="617"/>
        <w:gridCol w:w="856"/>
        <w:gridCol w:w="617"/>
        <w:gridCol w:w="617"/>
        <w:gridCol w:w="622"/>
        <w:gridCol w:w="617"/>
        <w:gridCol w:w="617"/>
        <w:gridCol w:w="776"/>
        <w:gridCol w:w="632"/>
        <w:gridCol w:w="599"/>
        <w:gridCol w:w="631"/>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伽师县市监局食品安全监督抽检经费项目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伽师县市场监督管理局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127.13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127.13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127.13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127.13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127.13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127.13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总资金127.129万元，为了防范伽师县的各种食品风险，收集、分析、研判各种食品存在的风险。对本县食用农产品进行安全抽查（共计1403批次），同时对不合格的样品问题原因进行分析，降低食品安全风险，保障我县食品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该项目预算资金127.13万元，</w:t>
            </w:r>
            <w:r>
              <w:rPr>
                <w:rFonts w:hint="eastAsia" w:ascii="宋体" w:hAnsi="宋体"/>
                <w:sz w:val="16"/>
                <w:lang w:eastAsia="zh-CN"/>
              </w:rPr>
              <w:t>截至2024</w:t>
            </w:r>
            <w:r>
              <w:rPr>
                <w:rFonts w:ascii="宋体" w:hAnsi="宋体" w:eastAsia="宋体"/>
                <w:sz w:val="16"/>
              </w:rPr>
              <w:t>年12月30日，该项目实际支出127.129万元，资金用于食品抽检及安全培训宣传等工作，本项目现已完成了食品抽检共计1403批次、食品安全培训和宣传工作，抽检结果全部通过互联网向社会公示，抽检公示率100%。通过本项目的实施后，有力地保障了本县群众的饮食安全，维护了食品市场的稳定有序发展，提升食品安全监管水平。</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22年食品安全监督抽检任务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23年食品安全监督抽检任务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=673批次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=673批次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24年食品安全监督抽检任务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抽检不合格食品核查处置率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食品抽检在本地区覆盖率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监督抽检信息公示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抽检任务完成及时率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22年食品安全监督抽检成本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&lt;=599240元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=599240元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23年食品安全监督抽检成本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&lt;=572050元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=572050元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24年食品安全监督抽检成本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促进食品企业健康有序发展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保障全县食用农产品安全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辖区内公众食品安全科普知识素养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假冒伪劣产品制售行为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2B1350"/>
    <w:rsid w:val="2A444FB1"/>
    <w:rsid w:val="2A6064E2"/>
    <w:rsid w:val="2C1965E9"/>
    <w:rsid w:val="2D1136DF"/>
    <w:rsid w:val="2DAE0E44"/>
    <w:rsid w:val="2FD27414"/>
    <w:rsid w:val="313F1D52"/>
    <w:rsid w:val="318029AB"/>
    <w:rsid w:val="31C63837"/>
    <w:rsid w:val="326F0A17"/>
    <w:rsid w:val="3277581B"/>
    <w:rsid w:val="34680AD6"/>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1550174"/>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8132</Words>
  <Characters>8977</Characters>
  <Lines>0</Lines>
  <Paragraphs>0</Paragraphs>
  <TotalTime>29</TotalTime>
  <ScaleCrop>false</ScaleCrop>
  <LinksUpToDate>false</LinksUpToDate>
  <CharactersWithSpaces>8985</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2025-10-21T04:17:14Z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