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负责全县应急管理工作,指导各乡镇、各部门、各企业应对安全生产类、自然灾害类等突发事件和综合防灾减灾救灾工作。负责安全生产综合监督管理和工矿商贸行业安全生产监督管理工作。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组织编制应急体系建设、安全生产和综合防灾减灾规划，组织制定应急管理、安全生产类规范性文件并监督实施。</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安全生产类、自然灾害类应急预案体系建设,建立完善事故灾难和自然灾害分级应对制度,组织编制本县总体应急预案和安全生产类、自然灾害类专项预案,综合协调应急预案衔接工作,组织开展预案演练,推动应急避难设施建设。</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牵头建立县域统一的应急管理信息系统，负责编制和落实信息传输渠道的规划和布局,建立监测预警和灾情报告制度,健全自然灾害信息资源获取和共享机制,依法统一发布灾情。</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组织指导协调安全生产类、自然灾害类等突发事件应急救援,承担全县应对较大灾害指挥部工作，综合研判突发事件发展态势并提出应对建议，协助县委、县政府指定的负责同志组织重大灾害应急处置工作。</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统一协调指挥各类应急专业队伍,建立应急协调联动机制,推进指挥平台对接,衔接救援力量参与应急救援工作。</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统筹应急救援力量建设,负责组织消防、森林火灾扑救、抗洪抢险、地震和地质灾害救援、生产安全事故救援等专业应急救援力量建设,管理指挥全县综合性应急救援队伍，指导各乡镇及社会应急救援力量建设。</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负责消防管理工作,指导县域消防监督、火灾预防、火灾扑救等工作。</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指导协调森林和草原火灾、水旱灾害、地震和地质灾害等防治工作,负责自然灾害综合监测预警工作,指导开展自然灾害综合风险评估工作。</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组织协调本县灾害救助工作,组织指导灾情核查、损失评估、救灾捐赠工作,管理、分配自治区、地区、县救灾款物并监督使用。</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依法行使安全生产综合监督管理职权,指导协调、监督检查各乡镇人民政府和县直有关部门安全生产工作,组织开展安全生产巡查、考核工作；履行伽师县安全生产委员会办公室职责。</w:t>
      </w:r>
    </w:p>
    <w:p>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按照分级、属地原则,依法监督检查工矿商贸生产经营单位贯彻执行安全生产法律法规及其安全生产条件和有关设备(特种设备除外)、材料、劳动防护用品的安全生产管理工作</w:t>
      </w:r>
      <w:r>
        <w:rPr>
          <w:rFonts w:hint="eastAsia" w:ascii="仿宋_GB2312" w:hAnsi="仿宋_GB2312" w:eastAsia="仿宋_GB2312"/>
          <w:sz w:val="32"/>
          <w:lang w:eastAsia="zh-CN"/>
        </w:rPr>
        <w:t>情况。</w:t>
      </w:r>
      <w:r>
        <w:rPr>
          <w:rFonts w:ascii="仿宋_GB2312" w:hAnsi="仿宋_GB2312" w:eastAsia="仿宋_GB2312"/>
          <w:sz w:val="32"/>
        </w:rPr>
        <w:t>负责监督管理工矿商贸行业安全生产工作。依法组织并指导监督实施安全生产准入制度。负责危险化学品安全监督管理综合工作和烟花爆竹经营单位安全监督管理工作。</w:t>
      </w:r>
    </w:p>
    <w:p>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依法组织指导生产安全事故调查处理,监督事故查处和责任追究落实情况。组织开展自然灾害类突发事件的调查评估工作。</w:t>
      </w:r>
    </w:p>
    <w:p>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制定应急物资储备和应急救援装备规划并组织实施,会同县发改委等部门建立健全应急物资信息平台和调拨制度,在救灾时统一调度。</w:t>
      </w:r>
    </w:p>
    <w:p>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负责应急管理、安全生产宣传教育和培训工作，组织指导全县应急管理、安全生产的科学技术研究、推广应用和信息化建设工作。开展应急管理方面的对外合作与交流。</w:t>
      </w:r>
    </w:p>
    <w:p>
      <w:pPr>
        <w:spacing w:line="580" w:lineRule="exact"/>
        <w:ind w:firstLine="640"/>
        <w:jc w:val="both"/>
      </w:pPr>
      <w:r>
        <w:rPr>
          <w:rFonts w:hint="eastAsia" w:ascii="仿宋_GB2312" w:hAnsi="仿宋_GB2312" w:eastAsia="仿宋_GB2312"/>
          <w:sz w:val="32"/>
          <w:lang w:eastAsia="zh-CN"/>
        </w:rPr>
        <w:t>16.</w:t>
      </w:r>
      <w:r>
        <w:rPr>
          <w:rFonts w:ascii="仿宋_GB2312" w:hAnsi="仿宋_GB2312" w:eastAsia="仿宋_GB2312"/>
          <w:sz w:val="32"/>
        </w:rPr>
        <w:t>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伽师县应急管理局2024年度，实有人数29人，其中：在职人员25人，增加2人；离休人员0人，增加0人；退休人员4人,增加0人。</w:t>
      </w:r>
    </w:p>
    <w:p>
      <w:pPr>
        <w:spacing w:line="580" w:lineRule="exact"/>
        <w:ind w:firstLine="640"/>
        <w:jc w:val="both"/>
      </w:pPr>
      <w:r>
        <w:rPr>
          <w:rFonts w:ascii="仿宋_GB2312" w:hAnsi="仿宋_GB2312" w:eastAsia="仿宋_GB2312"/>
          <w:sz w:val="32"/>
        </w:rPr>
        <w:t>伽师县应急管理局无下属预算单位，下设8个科室，分别是：综合办公室、防灾减灾及应急管理股、宣传股及危险化学品监督管理股、应急管理与协调、安全生产监督管理、自然灾害防治、非矿山企业和危险化学品等安全生产许可</w:t>
      </w:r>
      <w:r>
        <w:rPr>
          <w:rFonts w:hint="eastAsia" w:ascii="仿宋_GB2312" w:hAnsi="仿宋_GB2312" w:eastAsia="仿宋_GB2312"/>
          <w:sz w:val="32"/>
          <w:lang w:eastAsia="zh-CN"/>
        </w:rPr>
        <w:t>证</w:t>
      </w:r>
      <w:r>
        <w:rPr>
          <w:rFonts w:ascii="仿宋_GB2312" w:hAnsi="仿宋_GB2312" w:eastAsia="仿宋_GB2312"/>
          <w:sz w:val="32"/>
        </w:rPr>
        <w:t>颁发及管理、宣传教育与培训。</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2024年度收入总计1,172.27万元，</w:t>
      </w:r>
      <w:r>
        <w:rPr>
          <w:rFonts w:ascii="仿宋_GB2312" w:hAnsi="仿宋_GB2312" w:eastAsia="仿宋_GB2312"/>
          <w:b w:val="0"/>
          <w:sz w:val="32"/>
        </w:rPr>
        <w:t>其中：本年收入合计1,172.27万元，使用非财政拨款结余（含专用结余）0.00万元，年初结转和结余0.00万元。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2024年度支出总计1,172.27万元，</w:t>
      </w:r>
      <w:r>
        <w:rPr>
          <w:rFonts w:ascii="仿宋_GB2312" w:hAnsi="仿宋_GB2312" w:eastAsia="仿宋_GB2312"/>
          <w:b w:val="0"/>
          <w:sz w:val="32"/>
        </w:rPr>
        <w:t>其中：本年支出合计1,172.27万元，结余分配0.00万元，年末结转和结余0.00万元。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收入支出总体与上年相比，增加117.77万元，增长11.17%，主要原因是：本年在职人员工资调增，社保、公积金基数调增；增加应急管理业务经费，导致经费较上年增加。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本年收入1,172.27万元，</w:t>
      </w:r>
      <w:r>
        <w:rPr>
          <w:rFonts w:ascii="仿宋_GB2312" w:hAnsi="仿宋_GB2312" w:eastAsia="仿宋_GB2312"/>
          <w:b w:val="0"/>
          <w:sz w:val="32"/>
        </w:rPr>
        <w:t>其中：财政拨款收入738.46万元，占62.99%；上级补助收入0.00万元，占0.00%；事业收入0.00万元，占0.00%；经营收入0.00万元，占0.00%；附属单位上缴收入0.00万元，占0.00%；其他收入433.81万元，占37.01%。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本年支出1,172.27万元，</w:t>
      </w:r>
      <w:r>
        <w:rPr>
          <w:rFonts w:ascii="仿宋_GB2312" w:hAnsi="仿宋_GB2312" w:eastAsia="仿宋_GB2312"/>
          <w:b w:val="0"/>
          <w:sz w:val="32"/>
        </w:rPr>
        <w:t>其中：基本支出416.46万元，占35.53%；项目支出755.81万元，占64.47%；上缴上级支出0.00万元，占0.00%；经营支出0.00万元，占0.00%；对附属单位补助支出0.00万元，占0.00%。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2024年度财政拨款收入总计738.46万元，</w:t>
      </w:r>
      <w:r>
        <w:rPr>
          <w:rFonts w:ascii="仿宋_GB2312" w:hAnsi="仿宋_GB2312" w:eastAsia="仿宋_GB2312"/>
          <w:b w:val="0"/>
          <w:sz w:val="32"/>
        </w:rPr>
        <w:t>其中：年初财政拨款结转和结余0.00万元，本年财政拨款收入738.46万元。</w:t>
      </w:r>
      <w:r>
        <w:rPr>
          <w:rFonts w:ascii="仿宋_GB2312" w:hAnsi="仿宋_GB2312" w:eastAsia="仿宋_GB2312"/>
          <w:b/>
          <w:sz w:val="32"/>
        </w:rPr>
        <w:t>财政拨款支出总计738.46万元，</w:t>
      </w:r>
      <w:r>
        <w:rPr>
          <w:rFonts w:ascii="仿宋_GB2312" w:hAnsi="仿宋_GB2312" w:eastAsia="仿宋_GB2312"/>
          <w:b w:val="0"/>
          <w:sz w:val="32"/>
        </w:rPr>
        <w:t>其中：年末财政拨款结转和结余0.00万元，本年财政拨款支出738.46万元。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增加164.80万元，增长28.73%，主要原因是：本年在职人员工资调增，社保、公积金基数调增；增加应急管理业务经费，导致经费较上年增加。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382.99万元，决算数738.46万元，预决算差异率92.81%，主要原因是：年中追加人员工资、社保、公积金基数调增部分资金及应急管理业务经费项目经费，伽师县应急管理局2023年国产计算机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2024年度一般公共预算财政拨款支出738.46万元，</w:t>
      </w:r>
      <w:r>
        <w:rPr>
          <w:rFonts w:ascii="仿宋_GB2312" w:hAnsi="仿宋_GB2312" w:eastAsia="仿宋_GB2312"/>
          <w:b w:val="0"/>
          <w:sz w:val="32"/>
        </w:rPr>
        <w:t>占本年支出合计的62.99%。</w:t>
      </w:r>
      <w:r>
        <w:rPr>
          <w:rFonts w:ascii="仿宋_GB2312" w:hAnsi="仿宋_GB2312" w:eastAsia="仿宋_GB2312"/>
          <w:b/>
          <w:sz w:val="32"/>
        </w:rPr>
        <w:t>与上年相比，</w:t>
      </w:r>
      <w:r>
        <w:rPr>
          <w:rFonts w:ascii="仿宋_GB2312" w:hAnsi="仿宋_GB2312" w:eastAsia="仿宋_GB2312"/>
          <w:b w:val="0"/>
          <w:sz w:val="32"/>
        </w:rPr>
        <w:t>增加164.80万元，增长28.73%，主要原因是：本年在职人员工资调增，社保、公积金基数调增；增加应急管理业务经费，导致经费较上年增加。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382.99万元，决算数738.46万元，预决算差异率92.81%，主要原因是：年中追加人员工资、社保、公积金基数调增部分资金及应急管理业务经费项目经费，伽师县应急管理局2023年国产计算机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1.社会保障和就业支出(类)44.72万元,占6.06%。</w:t>
      </w:r>
    </w:p>
    <w:p>
      <w:pPr>
        <w:spacing w:line="580" w:lineRule="exact"/>
        <w:ind w:firstLine="640"/>
        <w:jc w:val="both"/>
      </w:pPr>
      <w:r>
        <w:rPr>
          <w:rFonts w:ascii="仿宋_GB2312" w:hAnsi="仿宋_GB2312" w:eastAsia="仿宋_GB2312"/>
          <w:b w:val="0"/>
          <w:sz w:val="32"/>
        </w:rPr>
        <w:t>2.卫生健康支出(类)18.22万元,占2.47%。</w:t>
      </w:r>
    </w:p>
    <w:p>
      <w:pPr>
        <w:spacing w:line="580" w:lineRule="exact"/>
        <w:ind w:firstLine="640"/>
        <w:jc w:val="both"/>
      </w:pPr>
      <w:r>
        <w:rPr>
          <w:rFonts w:ascii="仿宋_GB2312" w:hAnsi="仿宋_GB2312" w:eastAsia="仿宋_GB2312"/>
          <w:b w:val="0"/>
          <w:sz w:val="32"/>
        </w:rPr>
        <w:t>3.住房保障支出(类)32.16万元,占4.36%。</w:t>
      </w:r>
    </w:p>
    <w:p>
      <w:pPr>
        <w:spacing w:line="580" w:lineRule="exact"/>
        <w:ind w:firstLine="640"/>
        <w:jc w:val="both"/>
      </w:pPr>
      <w:r>
        <w:rPr>
          <w:rFonts w:ascii="仿宋_GB2312" w:hAnsi="仿宋_GB2312" w:eastAsia="仿宋_GB2312"/>
          <w:b w:val="0"/>
          <w:sz w:val="32"/>
        </w:rPr>
        <w:t>4.灾害防治及应急管理支出(类)643.36万元,占87.12%。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5.67万元，比上年决算增加1.02万元，增长21.94%,主要原因是：上年度年中1人退休，发放半年退休费，本年全年发放，相应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39.05万元，比上年决算增加12.08万元，增长44.79%,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3.社会保障和就业支出(类)行政事业单位养老支出(款)机关事业单位职业年金缴费支出(项):支出决算数为0.00万元，比上年决算减少4.46万元，下降100.00%,主要原因是：本年无新增退休人员，职业年金缴费支出减少。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4.卫生健康支出(类)行政事业单位医疗(款)行政单位医疗(项):支出决算数为16.62万元，比上年决算增加5.19万元，增长45.41%,主要原因是：本年在职人员增加，行政单位医疗经费增加。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5.卫生健康支出(类)行政事业单位医疗(款)公务员医疗补助(项):支出决算数为1.60万元，比上年决算增加0.29万元，增长22.14%,主要原因是：本年在职人员增加，公务员医疗</w:t>
      </w:r>
      <w:r>
        <w:rPr>
          <w:rFonts w:hint="eastAsia" w:ascii="仿宋_GB2312" w:hAnsi="仿宋_GB2312" w:eastAsia="仿宋_GB2312"/>
          <w:b w:val="0"/>
          <w:sz w:val="32"/>
          <w:lang w:val="en-US" w:eastAsia="zh-CN"/>
        </w:rPr>
        <w:t>补助</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6.住房保障支出(类)住房改革支出(款)住房公积金(项):支出决算数为32.16万元，比上年决算增加10.22万元，增长46.58%,主要原因是：本年在职人员增加，住房公积金支出较上年增加。</w:t>
      </w:r>
    </w:p>
    <w:p>
      <w:pPr>
        <w:spacing w:line="580" w:lineRule="exact"/>
        <w:ind w:firstLine="640"/>
        <w:jc w:val="both"/>
      </w:pPr>
      <w:r>
        <w:rPr>
          <w:rFonts w:ascii="仿宋_GB2312" w:hAnsi="仿宋_GB2312" w:eastAsia="仿宋_GB2312"/>
          <w:b w:val="0"/>
          <w:sz w:val="32"/>
        </w:rPr>
        <w:t>7.灾害防治及应急管理支出(类)应急管理事务(款)行政运行(项):支出决算数为321.36万元，比上年决算增加68.47万元，增长27.08%,主要原因是：本年在职人员增加，人员工资基数调增，人员经费增加。</w:t>
      </w:r>
    </w:p>
    <w:p>
      <w:pPr>
        <w:spacing w:line="580" w:lineRule="exact"/>
        <w:ind w:firstLine="640"/>
        <w:jc w:val="both"/>
      </w:pPr>
      <w:r>
        <w:rPr>
          <w:rFonts w:ascii="仿宋_GB2312" w:hAnsi="仿宋_GB2312" w:eastAsia="仿宋_GB2312"/>
          <w:b w:val="0"/>
          <w:sz w:val="32"/>
        </w:rPr>
        <w:t>8.灾害防治及应急管理支出(类)应急管理事务(款)灾害风险防治(项):支出决算数为304.80万元，比上年决算增加304.80万元，增长100.00%,主要原因是：本年增加应急能力提升项目经费。</w:t>
      </w:r>
    </w:p>
    <w:p>
      <w:pPr>
        <w:spacing w:line="580" w:lineRule="exact"/>
        <w:ind w:firstLine="640"/>
        <w:jc w:val="both"/>
      </w:pPr>
      <w:r>
        <w:rPr>
          <w:rFonts w:ascii="仿宋_GB2312" w:hAnsi="仿宋_GB2312" w:eastAsia="仿宋_GB2312"/>
          <w:b w:val="0"/>
          <w:sz w:val="32"/>
        </w:rPr>
        <w:t>9.灾害防治及应急管理支出(类)应急管理事务(款)安全监管(项):支出决算数为10.00万元，比上年决算增加10.00万元，增长100.00%,主要原因是：本年增加自然灾害综合风险普查项目经费。</w:t>
      </w:r>
    </w:p>
    <w:p>
      <w:pPr>
        <w:spacing w:line="580" w:lineRule="exact"/>
        <w:ind w:firstLine="640"/>
        <w:jc w:val="both"/>
      </w:pPr>
      <w:r>
        <w:rPr>
          <w:rFonts w:ascii="仿宋_GB2312" w:hAnsi="仿宋_GB2312" w:eastAsia="仿宋_GB2312"/>
          <w:b w:val="0"/>
          <w:sz w:val="32"/>
        </w:rPr>
        <w:t>10.灾害防治及应急管理支出(类)应急管理事务(款)其他应急管理支出(项):支出决算数为0.00万元，比上年决算减少50.00万元，下降100.00%,主要原因是：本年减少自然灾害综合风险其他应急项目经费。</w:t>
      </w:r>
    </w:p>
    <w:p>
      <w:pPr>
        <w:spacing w:line="580" w:lineRule="exact"/>
        <w:ind w:firstLine="640"/>
        <w:jc w:val="both"/>
      </w:pPr>
      <w:r>
        <w:rPr>
          <w:rFonts w:ascii="仿宋_GB2312" w:hAnsi="仿宋_GB2312" w:eastAsia="仿宋_GB2312"/>
          <w:b w:val="0"/>
          <w:sz w:val="32"/>
        </w:rPr>
        <w:t>11.灾害防治及应急管理支出(类)地震事务(款)地震灾害预防(项):支出决算数为0.00万元，比上年决算减少200.00万元，下降100.00%,主要原因是：本年减少地震活动断层探测项目。</w:t>
      </w:r>
    </w:p>
    <w:p>
      <w:pPr>
        <w:spacing w:line="580" w:lineRule="exact"/>
        <w:ind w:firstLine="640"/>
        <w:jc w:val="both"/>
      </w:pPr>
      <w:r>
        <w:rPr>
          <w:rFonts w:ascii="仿宋_GB2312" w:hAnsi="仿宋_GB2312" w:eastAsia="仿宋_GB2312"/>
          <w:b w:val="0"/>
          <w:sz w:val="32"/>
        </w:rPr>
        <w:t>12.灾害防治及应急管理支出(类)自然灾害救灾及恢复重建支出(款)自然灾害救灾补助(项):支出决算数为7.20万元，比上年决算增加7.20万元，增长100.00%,主要原因是：本年增加2023</w:t>
      </w:r>
      <w:r>
        <w:rPr>
          <w:rFonts w:hint="eastAsia" w:ascii="仿宋_GB2312" w:hAnsi="仿宋_GB2312" w:eastAsia="仿宋_GB2312"/>
          <w:b w:val="0"/>
          <w:sz w:val="32"/>
          <w:lang w:eastAsia="zh-CN"/>
        </w:rPr>
        <w:t>—</w:t>
      </w:r>
      <w:r>
        <w:rPr>
          <w:rFonts w:ascii="仿宋_GB2312" w:hAnsi="仿宋_GB2312" w:eastAsia="仿宋_GB2312"/>
          <w:b w:val="0"/>
          <w:sz w:val="32"/>
        </w:rPr>
        <w:t>2024年冬春临时生活困难救助项目。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2024年度一般公共预算财政拨款基本支出416.46万元，其中：</w:t>
      </w:r>
      <w:r>
        <w:rPr>
          <w:rFonts w:ascii="仿宋_GB2312" w:hAnsi="仿宋_GB2312" w:eastAsia="仿宋_GB2312"/>
          <w:b/>
          <w:sz w:val="32"/>
        </w:rPr>
        <w:t>人员经费407.60万元，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公用经费8.86万元，</w:t>
      </w:r>
      <w:r>
        <w:rPr>
          <w:rFonts w:ascii="仿宋_GB2312" w:hAnsi="仿宋_GB2312" w:eastAsia="仿宋_GB2312"/>
          <w:b w:val="0"/>
          <w:sz w:val="32"/>
        </w:rPr>
        <w:t>包括：办公费、水费、邮电费、差旅费、公务接待费、公务用车运行维护费。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减少3.01万元，下降69.84%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1.10万元，占84.62%，比上年减少3.10万元，下降73.81%，主要原因是：严格落实中央八项规定精神，厉行节约，减少公务用车运行维护费。公务接待费支出0.20万元，占15.38%，比上年增加0.09万元，增长81.82%，主要原因是：本年度接待人次较上年增加，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1.10万元，其中：公务用车购置费0.00万元，公务用车运行维护费1.10万元。公务用车运行维护费开支内容包括车辆维修费、保险费、审车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公务接待费0.20万元，开支内容包括因安全生产教育活动，接待上级领导检查产生的就餐费。单位全年安排的国内公务接待5批次，30人次。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2.30万元，决算数1.30万元，预决算差异率-43.48%，主要原因是：严格落实中央八项规定精神，厉行节约，减少公务用车运行维护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1.10万元，预决算差异率-47.62%，主要原因是：严格落实中央八项规定精神，厉行节约，减少公务用车运行维护费。公务接待费全年预算数0.20万元，决算数0.20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2024年度伽师县应急管理局（行政单位和参照公务员法管理事业单位）机关运行经费支出8.86万元，比上年增加2.56万元，增长40.63%，主要原因是：本年在职人员增加，办公费用增加。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2024年度政府采购支出总额102.29万元，其中：政府采购货物支出100.79万元、政府采购工程支出0.00万元、政府采购服务支出1.50万元。</w:t>
      </w:r>
    </w:p>
    <w:p>
      <w:pPr>
        <w:spacing w:line="580" w:lineRule="exact"/>
        <w:ind w:firstLine="640"/>
        <w:jc w:val="both"/>
      </w:pPr>
      <w:r>
        <w:rPr>
          <w:rFonts w:ascii="仿宋_GB2312" w:hAnsi="仿宋_GB2312" w:eastAsia="仿宋_GB2312"/>
          <w:b w:val="0"/>
          <w:sz w:val="32"/>
        </w:rPr>
        <w:t>授予中小企业合同金额102.29万元，占政府采购支出总额的100.00%，其中：授予小微企业合同金额102.29万元，占政府采购支出总额的100.00%。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21.87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1,172.27万元，实际执行总额1,172.27万元；预算绩效评价项目4个，全年预算数525.20万元，全年执行数322.00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预算绩效管理有待提升，水平不够，目标约束力不够强，二是绩效理念树立尚不牢固，项目绩效目标确定后指标值的设置缺乏弹性，自评报告质量有待提高。下一步改进措施：一是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逐步完善项目制度管理建设，加强项目绩效管理理念，将绩效管理作为工具应用到项目的日常管理中，把这项长期的工作真正变成一种可持续的发展机制，不断完善制度、措施和程序，不断提高全过程服务水平。二是健全项目管理机制，规范单位工作流程在今后的工作中需要进一步加以改进和完善管理机制，加强宣传及培训，提高部门绩效自评质量。三是按照项目进度及时拨付资金，使资金使用效益最大化，减少浪费，节约成本。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在认真总结2023年度防灾减灾工作的基础上，进一步加强防灾减灾救灾知识宣传、做好应急准备工作、持续开展应急演练，重点抓好抗震救灾、森林防火、防汛抗旱等防灾减灾工作；继续做好冬春救助工作；加强救灾物资储备能力；开展防灾减灾知识宣传、推进综合减灾示范社区创建工作；加大自然灾害信息员、地震宏观观测员等培训力度，提升信息员素质，预防突发事件及事故迟报、误报、谎报、瞒报、漏报现象；进一步强化乡镇属地责任、各级相关人员和护林员巡查巡护责任，力争全面落实“包保”责任，牢固树立“人民至上、生命至上”理念，贯彻落实好党的二十大报告中提出的“坚持安全第一、预防为主，建立大安全大应急框架，完善公共安全体系”的要求，贯彻落实好县委、县人民政府关于安全生产、防灾减灾、应急管</w:t>
            </w:r>
            <w:r>
              <w:rPr>
                <w:rFonts w:hint="eastAsia" w:ascii="宋体" w:hAnsi="宋体"/>
                <w:sz w:val="16"/>
                <w:lang w:eastAsia="zh-CN"/>
              </w:rPr>
              <w:t>理等</w:t>
            </w:r>
            <w:r>
              <w:rPr>
                <w:rFonts w:ascii="宋体" w:hAnsi="宋体" w:eastAsia="宋体"/>
                <w:sz w:val="16"/>
              </w:rPr>
              <w:t>各项工作安排部署及</w:t>
            </w:r>
            <w:r>
              <w:rPr>
                <w:rFonts w:hint="eastAsia" w:ascii="宋体" w:hAnsi="宋体"/>
                <w:sz w:val="16"/>
                <w:lang w:eastAsia="zh-CN"/>
              </w:rPr>
              <w:t>其他</w:t>
            </w:r>
            <w:r>
              <w:rPr>
                <w:rFonts w:ascii="宋体" w:hAnsi="宋体" w:eastAsia="宋体"/>
                <w:sz w:val="16"/>
              </w:rPr>
              <w:t>任务，为伽师县经济高质量发展营造良好社会氛围。2024年计划完成：全年开展地震综合实战演练2次；对98家工贸企业开展安全生产执法检查；完成安全生产应急管理普法宣传6次；完成对矿山企业开展安全生产执法检查6次；全年开展防灾减灾分析研判会议4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在认真总结2023年度防灾减灾工作的基础上，进一步加强防灾减灾救灾知识宣传、做好应急准备工作、持续开展应急演练，重点抓好抗震救灾、森林防火、防汛抗旱等防灾减灾工作；继续做好冬春救助工作；加强救灾物资储备能力；开展防灾减灾知识宣传、推进综合减灾示范社区创建工作；加大自然灾害信息员、地震宏观观测员等培训力度，提升信息员素质，预防突发事件及事故迟报、误报、谎报、瞒报、漏报现象；进一步强化乡镇属地责任、各级相关人员和护林员巡查巡护责任，力争全面落实“包保”责任，牢固树立“人民至上、生命至上”理念，贯彻落实好党的二十大报告中提出的“坚持安全第一、预防为主，建立大安全大应急框架，完善公共安全体系”的要求，贯彻落实好县委、县人民政府关于安全生产、防灾减灾、应急管</w:t>
            </w:r>
            <w:r>
              <w:rPr>
                <w:rFonts w:hint="eastAsia" w:ascii="宋体" w:hAnsi="宋体"/>
                <w:sz w:val="16"/>
                <w:lang w:eastAsia="zh-CN"/>
              </w:rPr>
              <w:t>理等</w:t>
            </w:r>
            <w:r>
              <w:rPr>
                <w:rFonts w:ascii="宋体" w:hAnsi="宋体" w:eastAsia="宋体"/>
                <w:sz w:val="16"/>
              </w:rPr>
              <w:t>各项工作安排部署及</w:t>
            </w:r>
            <w:r>
              <w:rPr>
                <w:rFonts w:hint="eastAsia" w:ascii="宋体" w:hAnsi="宋体"/>
                <w:sz w:val="16"/>
                <w:lang w:eastAsia="zh-CN"/>
              </w:rPr>
              <w:t>其他</w:t>
            </w:r>
            <w:r>
              <w:rPr>
                <w:rFonts w:ascii="宋体" w:hAnsi="宋体" w:eastAsia="宋体"/>
                <w:sz w:val="16"/>
              </w:rPr>
              <w:t>任务，为伽师县经济高质量发展营造良好社会氛围。2024年全年</w:t>
            </w:r>
            <w:r>
              <w:rPr>
                <w:rFonts w:hint="eastAsia" w:ascii="宋体" w:hAnsi="宋体"/>
                <w:sz w:val="16"/>
                <w:lang w:eastAsia="zh-CN"/>
              </w:rPr>
              <w:t>共</w:t>
            </w:r>
            <w:r>
              <w:rPr>
                <w:rFonts w:ascii="宋体" w:hAnsi="宋体" w:eastAsia="宋体"/>
                <w:sz w:val="16"/>
              </w:rPr>
              <w:t>开展2次地震综合实战演练；对98家工贸企业开展安全生产执法检查；完成6次安全生产应急管理普法宣传；完成6次对矿山企业开展安全生产执法检查；全年开展4次防灾减灾分析研判会议。</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全年开展地震综合实战演练次数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2024年度国家安全工作计划县应急管理局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对工贸企业开展规范生产执法检查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2024年度国家安全工作计划县应急管理局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规范生产应急管理普法宣传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2024年度国家安全工作计划县应急管理局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对矿山企业开展规范生产执法检查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2024年度国家安全工作计划县应急管理局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全年开展防灾减灾分析研判会议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2024年度国家安全工作计划县应急管理局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856"/>
        <w:gridCol w:w="618"/>
        <w:gridCol w:w="618"/>
        <w:gridCol w:w="622"/>
        <w:gridCol w:w="618"/>
        <w:gridCol w:w="622"/>
        <w:gridCol w:w="696"/>
        <w:gridCol w:w="627"/>
        <w:gridCol w:w="600"/>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2024年安全生产预防和应急救援能力建设补助资金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主要用于尾矿库闭库工作（坝体修整工程18.20万立方米、防排洪系统工程4.30万立方米、库区整治及维护设施工程4.50万立方米），项目金额508万元；主要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该项目预算资金508万元，</w:t>
            </w:r>
            <w:r>
              <w:rPr>
                <w:rFonts w:hint="eastAsia" w:ascii="宋体" w:hAnsi="宋体"/>
                <w:sz w:val="16"/>
                <w:lang w:eastAsia="zh-CN"/>
              </w:rPr>
              <w:t>截至2024</w:t>
            </w:r>
            <w:r>
              <w:rPr>
                <w:rFonts w:ascii="宋体" w:hAnsi="宋体" w:eastAsia="宋体"/>
                <w:sz w:val="16"/>
              </w:rPr>
              <w:t>年12月31日，已支付304.8万元，资金主要用于尾矿库闭库工作，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坝体修整工程量（万/立方米）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&lt;=18.2万/立方米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=10.92万/立方米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防排洪系统工程量（万/立方米）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项目启动之日拨付资金（万元）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第一阶段坝体修整工程实施完毕支付资金（万元）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第二阶段防排洪系统工程实施完毕支付资金（万元））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第三阶库区整治及维护设施工程、安全监测工程实施完毕支付资金（万元））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减少矿山领域事故发生及财产损失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提升全县矿山领域安全生产治理水平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矿山企业满意度（%）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偏差原因：由于铜辉矿业有限公司项目启动时间晚，且入冬后项目无法实施，故项目延长至2025年12月之前完成；改进措施：督促企业加快项目实施，保证尽快完成项目实施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573"/>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伽师县应急管理局2023</w:t>
            </w:r>
            <w:r>
              <w:rPr>
                <w:rFonts w:hint="eastAsia" w:ascii="宋体" w:hAnsi="宋体"/>
                <w:sz w:val="16"/>
                <w:lang w:eastAsia="zh-CN"/>
              </w:rPr>
              <w:t>—</w:t>
            </w:r>
            <w:r>
              <w:rPr>
                <w:rFonts w:ascii="宋体" w:hAnsi="宋体" w:eastAsia="宋体"/>
                <w:sz w:val="16"/>
              </w:rPr>
              <w:t>2024年冬春临时生活困难救助项目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该项目资金总额为7.2万元，主要用于发放救灾资金，其中监测户3户，一般户30户，其他困难户9户，低保户1户。通过该项目的实施有助于保障受灾人员温暖度过今冬明春。</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该项目预算资金7.2万元，</w:t>
            </w:r>
            <w:r>
              <w:rPr>
                <w:rFonts w:hint="eastAsia" w:ascii="宋体" w:hAnsi="宋体"/>
                <w:sz w:val="16"/>
                <w:lang w:eastAsia="zh-CN"/>
              </w:rPr>
              <w:t>截至</w:t>
            </w:r>
            <w:r>
              <w:rPr>
                <w:rFonts w:ascii="宋体" w:hAnsi="宋体" w:eastAsia="宋体"/>
                <w:sz w:val="16"/>
              </w:rPr>
              <w:t>2024年3月1日，现已支出7.2万元，执行率100%，主要用于冬春期间受灾困难群众基本伙食。监测户3户，一般户30户，其他困难户9户，低保户1户。保障了受灾人员温暖度过今冬明春。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其他困难户救助户数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监测户救助户数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一般户救助户数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低保户户数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其他困难户成本</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=17823元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=17823元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监测户成本</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一般户成本</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低保户成本</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确保困难群众今冬明春生活平稳安全</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受灾群众满意度</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伽师县应急管理局2023安全生产先进单位奖励金项目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该项目资金总额为5万元，主要用于维修移动网络维护次数4次和电信网络两次，保障常态化车辆检查不少于2辆，通过此次项目有效加强居民应急反应能力。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该项目预算资金5万元，</w:t>
            </w:r>
            <w:r>
              <w:rPr>
                <w:rFonts w:hint="eastAsia" w:ascii="宋体" w:hAnsi="宋体"/>
                <w:sz w:val="16"/>
                <w:lang w:eastAsia="zh-CN"/>
              </w:rPr>
              <w:t>截至</w:t>
            </w:r>
            <w:r>
              <w:rPr>
                <w:rFonts w:ascii="宋体" w:hAnsi="宋体" w:eastAsia="宋体"/>
                <w:sz w:val="16"/>
              </w:rPr>
              <w:t>2024年12月31日，已支出5万元，主要用于维修移动网络维护次数4次和电信网络3次，保障常态化车辆检查不少于2辆。通过实施该项目，达到了项目实施方案制定各类绩效目标，有效确保了项目落地实效，其中：应急指挥中心网络维护4次，电信网络维护3次。保障了2辆执法车辆日常维护及燃油费。切实加强了单位应急管理工作效率及群众应急反应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移动网络维护次数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电信网络维护次数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电信网络维护次数比预期多一次。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全年保障常态化检查车辆数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移动网络维护成本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电信网络维护成本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全年保障常态化检查车辆成本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加强应急响应速度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伽师县应急管理局2024年安全生产奖励资金项目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该项目共计5万元，用于激励基层县市级应急管理部门工作积极性，提升基层应急处突，抗震救灾能力，主要用于2024 年非煤矿山领域及工贸行业安全生产隐患排查、风险评估技术服务，旨在提升全县应急管理安全生产执法力度，减少各类安全隐患，使群众</w:t>
            </w:r>
            <w:r>
              <w:rPr>
                <w:rFonts w:hint="eastAsia" w:ascii="宋体" w:hAnsi="宋体"/>
                <w:sz w:val="16"/>
                <w:lang w:eastAsia="zh-CN"/>
              </w:rPr>
              <w:t>树立</w:t>
            </w:r>
            <w:r>
              <w:rPr>
                <w:rFonts w:ascii="宋体" w:hAnsi="宋体" w:eastAsia="宋体"/>
                <w:sz w:val="16"/>
              </w:rPr>
              <w:t>良好的安全生产意识。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该项目预算资金5万元，</w:t>
            </w:r>
            <w:r>
              <w:rPr>
                <w:rFonts w:hint="eastAsia" w:ascii="宋体" w:hAnsi="宋体"/>
                <w:sz w:val="16"/>
                <w:lang w:eastAsia="zh-CN"/>
              </w:rPr>
              <w:t>截至2024</w:t>
            </w:r>
            <w:r>
              <w:rPr>
                <w:rFonts w:ascii="宋体" w:hAnsi="宋体" w:eastAsia="宋体"/>
                <w:sz w:val="16"/>
              </w:rPr>
              <w:t>年12月31日，该项目已支出5万元，主要用于2024年非煤矿山领域及工贸行业安全生产隐患排查、风险评估技术服务，旨在提升全县应急管理安全生产执法力度，减少各类安全隐患，使群众</w:t>
            </w:r>
            <w:r>
              <w:rPr>
                <w:rFonts w:hint="eastAsia" w:ascii="宋体" w:hAnsi="宋体"/>
                <w:sz w:val="16"/>
                <w:lang w:eastAsia="zh-CN"/>
              </w:rPr>
              <w:t>树立</w:t>
            </w:r>
            <w:r>
              <w:rPr>
                <w:rFonts w:ascii="宋体" w:hAnsi="宋体" w:eastAsia="宋体"/>
                <w:sz w:val="16"/>
              </w:rPr>
              <w:t>良好的安全生产意识，在让企业感受到党和国家对企业支持的同时，有效提升了我县矿山治理能力。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开展服务次数（次/年）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评估</w:t>
            </w:r>
            <w:r>
              <w:rPr>
                <w:rFonts w:ascii="宋体" w:hAnsi="宋体" w:eastAsia="宋体"/>
                <w:sz w:val="16"/>
              </w:rPr>
              <w:t>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每次技术服务时间（月/次）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=2月/次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=2月/次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=2月/次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提升执法及矿山安全治理效率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受益企业及矿山满意度（%）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623CF6-C551-4D0A-946C-3B741965D91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B621CD90-4875-4F3A-B9C4-BAED6A7970F3}"/>
  </w:font>
  <w:font w:name="仿宋_GB2312">
    <w:panose1 w:val="02010609030101010101"/>
    <w:charset w:val="86"/>
    <w:family w:val="auto"/>
    <w:pitch w:val="default"/>
    <w:sig w:usb0="00000001" w:usb1="080E0000" w:usb2="00000000" w:usb3="00000000" w:csb0="00040000" w:csb1="00000000"/>
    <w:embedRegular r:id="rId3" w:fontKey="{9BD767AA-5D97-41EB-B01A-E2FE54DA4548}"/>
  </w:font>
  <w:font w:name="楷体_GB2312">
    <w:panose1 w:val="02010609030101010101"/>
    <w:charset w:val="86"/>
    <w:family w:val="auto"/>
    <w:pitch w:val="default"/>
    <w:sig w:usb0="00000001" w:usb1="080E0000" w:usb2="00000000" w:usb3="00000000" w:csb0="00040000" w:csb1="00000000"/>
    <w:embedRegular r:id="rId4" w:fontKey="{D2923FBB-E745-4E6C-8430-732D9BAC2E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0F03DEC"/>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FA0A1F"/>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0A7B61"/>
    <w:rsid w:val="52F92565"/>
    <w:rsid w:val="543D17CB"/>
    <w:rsid w:val="55DA564E"/>
    <w:rsid w:val="56E07045"/>
    <w:rsid w:val="583059FA"/>
    <w:rsid w:val="587E6212"/>
    <w:rsid w:val="5AFC6609"/>
    <w:rsid w:val="5FA17648"/>
    <w:rsid w:val="5FD320BD"/>
    <w:rsid w:val="5FE565D9"/>
    <w:rsid w:val="60DE4D57"/>
    <w:rsid w:val="613409CB"/>
    <w:rsid w:val="61A46A97"/>
    <w:rsid w:val="62DD7D21"/>
    <w:rsid w:val="65D97752"/>
    <w:rsid w:val="664C500C"/>
    <w:rsid w:val="67D111AB"/>
    <w:rsid w:val="68DB0208"/>
    <w:rsid w:val="68DF36D5"/>
    <w:rsid w:val="69846A0E"/>
    <w:rsid w:val="69AD798C"/>
    <w:rsid w:val="6B68175F"/>
    <w:rsid w:val="6B8B5C99"/>
    <w:rsid w:val="6CA7198F"/>
    <w:rsid w:val="6D01750D"/>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6129</Words>
  <Characters>6913</Characters>
  <Lines>0</Lines>
  <Paragraphs>0</Paragraphs>
  <TotalTime>30</TotalTime>
  <ScaleCrop>false</ScaleCrop>
  <LinksUpToDate>false</LinksUpToDate>
  <CharactersWithSpaces>6921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