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伽师县行政服务中心2024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D14568B">
      <w:r>
        <w:br w:type="page"/>
      </w:r>
    </w:p>
    <w:p w14:paraId="6D6D4D1E">
      <w:pPr>
        <w:spacing w:line="640" w:lineRule="exact"/>
        <w:jc w:val="center"/>
        <w:outlineLvl w:val="1"/>
      </w:pPr>
      <w:r>
        <w:rPr>
          <w:rFonts w:ascii="黑体" w:hAnsi="黑体" w:eastAsia="黑体"/>
          <w:sz w:val="32"/>
        </w:rPr>
        <w:t>第一部分 单位概况</w:t>
      </w:r>
    </w:p>
    <w:p w14:paraId="38694F3F">
      <w:pPr>
        <w:spacing w:line="640" w:lineRule="exact"/>
        <w:ind w:firstLine="640"/>
        <w:jc w:val="both"/>
        <w:outlineLvl w:val="2"/>
      </w:pPr>
      <w:r>
        <w:rPr>
          <w:rFonts w:ascii="黑体" w:hAnsi="黑体" w:eastAsia="黑体"/>
          <w:sz w:val="32"/>
        </w:rPr>
        <w:t>一、主要职能</w:t>
      </w:r>
    </w:p>
    <w:p w14:paraId="22B86FB6">
      <w:pPr>
        <w:spacing w:line="580" w:lineRule="exact"/>
        <w:ind w:firstLine="640"/>
        <w:jc w:val="both"/>
      </w:pPr>
      <w:r>
        <w:rPr>
          <w:rFonts w:ascii="仿宋_GB2312" w:hAnsi="仿宋_GB2312" w:eastAsia="仿宋_GB2312"/>
          <w:sz w:val="32"/>
        </w:rPr>
        <w:t>为提高行政效率，加强公共服务和窗口单位人员的管理，切实改革审批方式，规范审批行为，强化便民服务。贯彻执行有关行政审批工作的法律法规、规章和方针、政策；负责伽师县行政服务中心行政审批制度改革工作；对伽师县政府各部门办理行政许可审批事项的工作实施统一管理，并制定具体管理方法；会同有关部门制定联合审批事项办理规程并组织实施；组织进驻部门为公民、法人或其他组织提供规范、高效、优质的行政审批服务，对涉及多部门审批的事项进行协调。</w:t>
      </w:r>
    </w:p>
    <w:p w14:paraId="06DEDAC3">
      <w:pPr>
        <w:spacing w:line="640" w:lineRule="exact"/>
        <w:ind w:firstLine="640"/>
        <w:jc w:val="both"/>
        <w:outlineLvl w:val="2"/>
      </w:pPr>
      <w:r>
        <w:rPr>
          <w:rFonts w:ascii="黑体" w:hAnsi="黑体" w:eastAsia="黑体"/>
          <w:sz w:val="32"/>
        </w:rPr>
        <w:t>二、机构设置及人员情况</w:t>
      </w:r>
    </w:p>
    <w:p w14:paraId="143CAA33">
      <w:pPr>
        <w:spacing w:line="580" w:lineRule="exact"/>
        <w:ind w:firstLine="640"/>
        <w:jc w:val="both"/>
      </w:pPr>
      <w:r>
        <w:rPr>
          <w:rFonts w:ascii="仿宋_GB2312" w:hAnsi="仿宋_GB2312" w:eastAsia="仿宋_GB2312"/>
          <w:sz w:val="32"/>
        </w:rPr>
        <w:t>伽师县行政服务中心2024年度，实有人数3人，其中：在职人员3人，增加1人；离休人员0人，增加0人；退休人员0人,增加0人。</w:t>
      </w:r>
    </w:p>
    <w:p w14:paraId="7830FB70">
      <w:pPr>
        <w:spacing w:line="580" w:lineRule="exact"/>
        <w:ind w:firstLine="640"/>
        <w:jc w:val="both"/>
      </w:pPr>
      <w:r>
        <w:rPr>
          <w:rFonts w:ascii="仿宋_GB2312" w:hAnsi="仿宋_GB2312" w:eastAsia="仿宋_GB2312"/>
          <w:sz w:val="32"/>
        </w:rPr>
        <w:t>伽师县行政服务中心无下属预算单位，下设1个科室，分别是：办公室。</w:t>
      </w:r>
    </w:p>
    <w:p w14:paraId="1F8DC1E4">
      <w:r>
        <w:br w:type="page"/>
      </w:r>
    </w:p>
    <w:p w14:paraId="6333088B">
      <w:pPr>
        <w:spacing w:line="240" w:lineRule="auto"/>
        <w:jc w:val="center"/>
        <w:outlineLvl w:val="1"/>
      </w:pPr>
      <w:r>
        <w:rPr>
          <w:rFonts w:ascii="黑体" w:hAnsi="黑体" w:eastAsia="黑体"/>
          <w:sz w:val="32"/>
        </w:rPr>
        <w:t>第二部分 部门决算情况说明</w:t>
      </w:r>
    </w:p>
    <w:p w14:paraId="1E5D81E3">
      <w:pPr>
        <w:spacing w:line="640" w:lineRule="exact"/>
        <w:ind w:firstLine="640"/>
        <w:jc w:val="both"/>
        <w:outlineLvl w:val="2"/>
      </w:pPr>
      <w:r>
        <w:rPr>
          <w:rFonts w:ascii="黑体" w:hAnsi="黑体" w:eastAsia="黑体"/>
          <w:sz w:val="32"/>
        </w:rPr>
        <w:t>一、收入支出决算总体情况说明</w:t>
      </w:r>
    </w:p>
    <w:p w14:paraId="4D9AB469">
      <w:pPr>
        <w:spacing w:line="580" w:lineRule="exact"/>
        <w:ind w:firstLine="640"/>
        <w:jc w:val="both"/>
      </w:pPr>
      <w:r>
        <w:rPr>
          <w:rFonts w:ascii="仿宋_GB2312" w:hAnsi="仿宋_GB2312" w:eastAsia="仿宋_GB2312"/>
          <w:b/>
          <w:sz w:val="32"/>
        </w:rPr>
        <w:t>2024年度收入总计385.49万元，</w:t>
      </w:r>
      <w:r>
        <w:rPr>
          <w:rFonts w:ascii="仿宋_GB2312" w:hAnsi="仿宋_GB2312" w:eastAsia="仿宋_GB2312"/>
          <w:b w:val="0"/>
          <w:sz w:val="32"/>
        </w:rPr>
        <w:t>其中：本年收入合计385.49万元，使用非财政拨款结余（含专用结余）0.00万元，年初结转和结余0.00万元。</w:t>
      </w:r>
    </w:p>
    <w:p w14:paraId="4B182725">
      <w:pPr>
        <w:spacing w:line="580" w:lineRule="exact"/>
        <w:ind w:firstLine="640"/>
        <w:jc w:val="both"/>
      </w:pPr>
      <w:r>
        <w:rPr>
          <w:rFonts w:ascii="仿宋_GB2312" w:hAnsi="仿宋_GB2312" w:eastAsia="仿宋_GB2312"/>
          <w:b/>
          <w:sz w:val="32"/>
        </w:rPr>
        <w:t>2024年度支出总计385.49万元，</w:t>
      </w:r>
      <w:r>
        <w:rPr>
          <w:rFonts w:ascii="仿宋_GB2312" w:hAnsi="仿宋_GB2312" w:eastAsia="仿宋_GB2312"/>
          <w:b w:val="0"/>
          <w:sz w:val="32"/>
        </w:rPr>
        <w:t>其中：本年支出合计385.49万元，结余分配0.00万元，年末结转和结余0.00万元。</w:t>
      </w:r>
    </w:p>
    <w:p w14:paraId="6CC4B291">
      <w:pPr>
        <w:spacing w:line="580" w:lineRule="exact"/>
        <w:ind w:firstLine="640"/>
        <w:jc w:val="both"/>
      </w:pPr>
      <w:r>
        <w:rPr>
          <w:rFonts w:ascii="仿宋_GB2312" w:hAnsi="仿宋_GB2312" w:eastAsia="仿宋_GB2312"/>
          <w:b w:val="0"/>
          <w:sz w:val="32"/>
        </w:rPr>
        <w:t>收入支出总体与上年相比，增加123.17万元，增长46.95%，主要原因是：本年增加援疆资金用于伽师县政务服务综合能力提升项目等。</w:t>
      </w:r>
    </w:p>
    <w:p w14:paraId="7491D54F">
      <w:pPr>
        <w:spacing w:line="640" w:lineRule="exact"/>
        <w:ind w:firstLine="640"/>
        <w:jc w:val="both"/>
        <w:outlineLvl w:val="2"/>
      </w:pPr>
      <w:r>
        <w:rPr>
          <w:rFonts w:ascii="黑体" w:hAnsi="黑体" w:eastAsia="黑体"/>
          <w:sz w:val="32"/>
        </w:rPr>
        <w:t>二、收入决算情况说明</w:t>
      </w:r>
    </w:p>
    <w:p w14:paraId="7B685970">
      <w:pPr>
        <w:spacing w:line="580" w:lineRule="exact"/>
        <w:ind w:firstLine="640"/>
        <w:jc w:val="both"/>
      </w:pPr>
      <w:r>
        <w:rPr>
          <w:rFonts w:ascii="仿宋_GB2312" w:hAnsi="仿宋_GB2312" w:eastAsia="仿宋_GB2312"/>
          <w:b/>
          <w:sz w:val="32"/>
        </w:rPr>
        <w:t>本年收入385.49万元，</w:t>
      </w:r>
      <w:r>
        <w:rPr>
          <w:rFonts w:ascii="仿宋_GB2312" w:hAnsi="仿宋_GB2312" w:eastAsia="仿宋_GB2312"/>
          <w:b w:val="0"/>
          <w:sz w:val="32"/>
        </w:rPr>
        <w:t>其中：财政拨款收入91.74万元，占23.80%；上级补助收入0.00万元，占0.00%；事业收入0.00万元，占0.00%；经营收入0.00万元，占0.00%；附属单位上缴收入0.00万元，占0.00%；其他收入293.75万元，占76.20%。</w:t>
      </w:r>
    </w:p>
    <w:p w14:paraId="111CC9FF">
      <w:pPr>
        <w:spacing w:line="640" w:lineRule="exact"/>
        <w:ind w:firstLine="640"/>
        <w:jc w:val="both"/>
        <w:outlineLvl w:val="2"/>
      </w:pPr>
      <w:r>
        <w:rPr>
          <w:rFonts w:ascii="黑体" w:hAnsi="黑体" w:eastAsia="黑体"/>
          <w:sz w:val="32"/>
        </w:rPr>
        <w:t>三、支出决算情况说明</w:t>
      </w:r>
    </w:p>
    <w:p w14:paraId="4479F756">
      <w:pPr>
        <w:spacing w:line="580" w:lineRule="exact"/>
        <w:ind w:firstLine="640"/>
        <w:jc w:val="both"/>
      </w:pPr>
      <w:r>
        <w:rPr>
          <w:rFonts w:ascii="仿宋_GB2312" w:hAnsi="仿宋_GB2312" w:eastAsia="仿宋_GB2312"/>
          <w:b/>
          <w:sz w:val="32"/>
        </w:rPr>
        <w:t>本年支出385.49万元，</w:t>
      </w:r>
      <w:r>
        <w:rPr>
          <w:rFonts w:ascii="仿宋_GB2312" w:hAnsi="仿宋_GB2312" w:eastAsia="仿宋_GB2312"/>
          <w:b w:val="0"/>
          <w:sz w:val="32"/>
        </w:rPr>
        <w:t>其中：基本支出91.74万元，占23.80%；项目支出293.75万元，占76.20%；上缴上级支出0.00万元，占0.00%；经营支出0.00万元，占0.00%；对附属单位补助支出0.00万元，占0.00%。</w:t>
      </w:r>
    </w:p>
    <w:p w14:paraId="61904668">
      <w:pPr>
        <w:spacing w:line="640" w:lineRule="exact"/>
        <w:ind w:firstLine="640"/>
        <w:jc w:val="both"/>
        <w:outlineLvl w:val="2"/>
      </w:pPr>
      <w:r>
        <w:rPr>
          <w:rFonts w:ascii="黑体" w:hAnsi="黑体" w:eastAsia="黑体"/>
          <w:sz w:val="32"/>
        </w:rPr>
        <w:t>四、财政拨款收入支出决算总体情况说明</w:t>
      </w:r>
    </w:p>
    <w:p w14:paraId="08FB09BF">
      <w:pPr>
        <w:spacing w:line="580" w:lineRule="exact"/>
        <w:ind w:firstLine="640"/>
        <w:jc w:val="both"/>
      </w:pPr>
      <w:r>
        <w:rPr>
          <w:rFonts w:ascii="仿宋_GB2312" w:hAnsi="仿宋_GB2312" w:eastAsia="仿宋_GB2312"/>
          <w:b/>
          <w:sz w:val="32"/>
        </w:rPr>
        <w:t>2024年度财政拨款收入总计91.74万元，</w:t>
      </w:r>
      <w:r>
        <w:rPr>
          <w:rFonts w:ascii="仿宋_GB2312" w:hAnsi="仿宋_GB2312" w:eastAsia="仿宋_GB2312"/>
          <w:b w:val="0"/>
          <w:sz w:val="32"/>
        </w:rPr>
        <w:t>其中：年初财政拨款结转和结余0.00万元，本年财政拨款收入91.74万元。</w:t>
      </w:r>
      <w:r>
        <w:rPr>
          <w:rFonts w:ascii="仿宋_GB2312" w:hAnsi="仿宋_GB2312" w:eastAsia="仿宋_GB2312"/>
          <w:b/>
          <w:sz w:val="32"/>
        </w:rPr>
        <w:t>财政拨款支出总计91.74万元，</w:t>
      </w:r>
      <w:r>
        <w:rPr>
          <w:rFonts w:ascii="仿宋_GB2312" w:hAnsi="仿宋_GB2312" w:eastAsia="仿宋_GB2312"/>
          <w:b w:val="0"/>
          <w:sz w:val="32"/>
        </w:rPr>
        <w:t>其中：年末财政拨款结转和结余0.00万元，本年财政拨款支出91.74万元。</w:t>
      </w:r>
    </w:p>
    <w:p w14:paraId="699D0A2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减少3.39万元，下降3.56%，主要原因是：1.本年办公费、水费、电费、邮电费、公务接待费较上年减少。2.本年在职人员调入调出，人员职级不同，工资基数不同，导致人员经费较上年减少。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年初预算数68.86万元，决算数91.74万元，预决算差异率33.23%，主要原因是：年中追加人员工资、社保、公积金基数调增部分资金，导致预决算存在差异。</w:t>
      </w:r>
    </w:p>
    <w:p w14:paraId="7E8EF790">
      <w:pPr>
        <w:spacing w:line="640" w:lineRule="exact"/>
        <w:ind w:firstLine="640"/>
        <w:jc w:val="both"/>
        <w:outlineLvl w:val="2"/>
      </w:pPr>
      <w:r>
        <w:rPr>
          <w:rFonts w:ascii="黑体" w:hAnsi="黑体" w:eastAsia="黑体"/>
          <w:sz w:val="32"/>
        </w:rPr>
        <w:t>五、一般公共预算财政拨款支出决算情况说明</w:t>
      </w:r>
    </w:p>
    <w:p w14:paraId="4AFD48CD">
      <w:pPr>
        <w:spacing w:line="640" w:lineRule="exact"/>
        <w:ind w:firstLine="640"/>
        <w:jc w:val="both"/>
        <w:outlineLvl w:val="3"/>
      </w:pPr>
      <w:r>
        <w:rPr>
          <w:rFonts w:ascii="楷体_GB2312" w:hAnsi="楷体_GB2312" w:eastAsia="楷体_GB2312"/>
          <w:b/>
          <w:sz w:val="32"/>
        </w:rPr>
        <w:t>（一）一般公共预算财政拨款支出决算总体情况</w:t>
      </w:r>
    </w:p>
    <w:p w14:paraId="0DB9DD62">
      <w:pPr>
        <w:spacing w:line="580" w:lineRule="exact"/>
        <w:ind w:firstLine="640"/>
        <w:jc w:val="both"/>
      </w:pPr>
      <w:r>
        <w:rPr>
          <w:rFonts w:ascii="仿宋_GB2312" w:hAnsi="仿宋_GB2312" w:eastAsia="仿宋_GB2312"/>
          <w:b/>
          <w:sz w:val="32"/>
        </w:rPr>
        <w:t>2024年度一般公共预算财政拨款支出91.74万元，</w:t>
      </w:r>
      <w:r>
        <w:rPr>
          <w:rFonts w:ascii="仿宋_GB2312" w:hAnsi="仿宋_GB2312" w:eastAsia="仿宋_GB2312"/>
          <w:b w:val="0"/>
          <w:sz w:val="32"/>
        </w:rPr>
        <w:t>占本年支出合计的23.80%。</w:t>
      </w:r>
      <w:r>
        <w:rPr>
          <w:rFonts w:ascii="仿宋_GB2312" w:hAnsi="仿宋_GB2312" w:eastAsia="仿宋_GB2312"/>
          <w:b/>
          <w:sz w:val="32"/>
        </w:rPr>
        <w:t>与上年相比，</w:t>
      </w:r>
      <w:r>
        <w:rPr>
          <w:rFonts w:ascii="仿宋_GB2312" w:hAnsi="仿宋_GB2312" w:eastAsia="仿宋_GB2312"/>
          <w:b w:val="0"/>
          <w:sz w:val="32"/>
        </w:rPr>
        <w:t>减少3.39万元，下降3.56%，主要原因是：1.本年办公费、水费、电费、邮电费、公务接待费较上年减少。2.本年在职人员调入调出，人员职级不同，工资基数不同，导致人员经费较上年减少。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年初预算数68.86万元，决算数91.74万元，预决算差异率33.23%，主要原因是：年中追加人员工资、社保、公积金基数调增部分资金，导致预决算存在差异。</w:t>
      </w:r>
    </w:p>
    <w:p w14:paraId="26639D36">
      <w:pPr>
        <w:spacing w:line="640" w:lineRule="exact"/>
        <w:ind w:firstLine="640"/>
        <w:jc w:val="both"/>
        <w:outlineLvl w:val="3"/>
      </w:pPr>
      <w:r>
        <w:rPr>
          <w:rFonts w:ascii="楷体_GB2312" w:hAnsi="楷体_GB2312" w:eastAsia="楷体_GB2312"/>
          <w:b/>
          <w:sz w:val="32"/>
        </w:rPr>
        <w:t>（二）一般公共预算财政拨款支出决算结构情况</w:t>
      </w:r>
    </w:p>
    <w:p w14:paraId="185C42BA">
      <w:pPr>
        <w:spacing w:line="580" w:lineRule="exact"/>
        <w:ind w:firstLine="640"/>
        <w:jc w:val="both"/>
      </w:pPr>
      <w:r>
        <w:rPr>
          <w:rFonts w:ascii="仿宋_GB2312" w:hAnsi="仿宋_GB2312" w:eastAsia="仿宋_GB2312"/>
          <w:b w:val="0"/>
          <w:sz w:val="32"/>
        </w:rPr>
        <w:t>1.一般公共服务支出(类)81.29万元,占88.61%。</w:t>
      </w:r>
    </w:p>
    <w:p w14:paraId="656DA82F">
      <w:pPr>
        <w:spacing w:line="580" w:lineRule="exact"/>
        <w:ind w:firstLine="640"/>
        <w:jc w:val="both"/>
      </w:pPr>
      <w:r>
        <w:rPr>
          <w:rFonts w:ascii="仿宋_GB2312" w:hAnsi="仿宋_GB2312" w:eastAsia="仿宋_GB2312"/>
          <w:b w:val="0"/>
          <w:sz w:val="32"/>
        </w:rPr>
        <w:t>2.社会保障和就业支出(类)4.65万元,占5.07%。</w:t>
      </w:r>
    </w:p>
    <w:p w14:paraId="6EFE2C6F">
      <w:pPr>
        <w:spacing w:line="580" w:lineRule="exact"/>
        <w:ind w:firstLine="640"/>
        <w:jc w:val="both"/>
      </w:pPr>
      <w:r>
        <w:rPr>
          <w:rFonts w:ascii="仿宋_GB2312" w:hAnsi="仿宋_GB2312" w:eastAsia="仿宋_GB2312"/>
          <w:b w:val="0"/>
          <w:sz w:val="32"/>
        </w:rPr>
        <w:t>3.卫生健康支出(类)1.99万元,占2.17%。</w:t>
      </w:r>
    </w:p>
    <w:p w14:paraId="77AB0144">
      <w:pPr>
        <w:spacing w:line="580" w:lineRule="exact"/>
        <w:ind w:firstLine="640"/>
        <w:jc w:val="both"/>
      </w:pPr>
      <w:r>
        <w:rPr>
          <w:rFonts w:ascii="仿宋_GB2312" w:hAnsi="仿宋_GB2312" w:eastAsia="仿宋_GB2312"/>
          <w:b w:val="0"/>
          <w:sz w:val="32"/>
        </w:rPr>
        <w:t>4.住房保障支出(类)3.80万元,占4.14%。</w:t>
      </w:r>
    </w:p>
    <w:p w14:paraId="59066F7F">
      <w:pPr>
        <w:spacing w:line="640" w:lineRule="exact"/>
        <w:ind w:firstLine="640"/>
        <w:jc w:val="both"/>
        <w:outlineLvl w:val="3"/>
      </w:pPr>
      <w:r>
        <w:rPr>
          <w:rFonts w:ascii="楷体_GB2312" w:hAnsi="楷体_GB2312" w:eastAsia="楷体_GB2312"/>
          <w:b/>
          <w:sz w:val="32"/>
        </w:rPr>
        <w:t>（三）一般公共预算财政拨款支出决算具体情况</w:t>
      </w:r>
    </w:p>
    <w:p w14:paraId="29002AF0">
      <w:pPr>
        <w:spacing w:line="580" w:lineRule="exact"/>
        <w:ind w:firstLine="640"/>
        <w:jc w:val="both"/>
      </w:pPr>
      <w:r>
        <w:rPr>
          <w:rFonts w:ascii="仿宋_GB2312" w:hAnsi="仿宋_GB2312" w:eastAsia="仿宋_GB2312"/>
          <w:b w:val="0"/>
          <w:sz w:val="32"/>
        </w:rPr>
        <w:t>1.一般公共服务支出(类)政府办公厅（室）及相关机构事务(款)事业运行(项):支出决算数为81.29万元，比上年决算减少4.13万元，下降4.83%,主要原因是：本年在职人员调入调出，人员职级不同，工资基数不同，导致人员经费较上年减少。</w:t>
      </w:r>
    </w:p>
    <w:p w14:paraId="2BBBD2D2">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2.社会保障和就业支出(类)行政事业单位养老支出(款)机关事业单位基本养老保险缴费支出(项):支出决算数为4.65万元，比上年决算增加0.28万元，增长6.41%,主要原因是：本年在职人员</w:t>
      </w:r>
      <w:r>
        <w:rPr>
          <w:rFonts w:hint="eastAsia" w:ascii="仿宋_GB2312" w:hAnsi="仿宋_GB2312" w:eastAsia="仿宋_GB2312"/>
          <w:b w:val="0"/>
          <w:sz w:val="32"/>
          <w:lang w:val="en-US" w:eastAsia="zh-CN"/>
        </w:rPr>
        <w:t>工资调增</w:t>
      </w:r>
      <w:r>
        <w:rPr>
          <w:rFonts w:ascii="仿宋_GB2312" w:hAnsi="仿宋_GB2312" w:eastAsia="仿宋_GB2312"/>
          <w:b w:val="0"/>
          <w:sz w:val="32"/>
        </w:rPr>
        <w:t>，养老保险缴费较上年增加。</w:t>
      </w:r>
    </w:p>
    <w:p w14:paraId="6DC1DB94">
      <w:pPr>
        <w:spacing w:line="580" w:lineRule="exact"/>
        <w:ind w:firstLine="640"/>
        <w:jc w:val="both"/>
      </w:pPr>
      <w:r>
        <w:rPr>
          <w:rFonts w:ascii="仿宋_GB2312" w:hAnsi="仿宋_GB2312" w:eastAsia="仿宋_GB2312"/>
          <w:b w:val="0"/>
          <w:sz w:val="32"/>
        </w:rPr>
        <w:t>3.卫生健康支出(类)行政事业单位医疗(款)事业单位医疗(项):支出决算数为1.99万元，比上年决算增加0.13万元，增长6.99%,主要原因是：本年在职人员</w:t>
      </w:r>
      <w:r>
        <w:rPr>
          <w:rFonts w:hint="eastAsia" w:ascii="仿宋_GB2312" w:hAnsi="仿宋_GB2312" w:eastAsia="仿宋_GB2312"/>
          <w:b w:val="0"/>
          <w:sz w:val="32"/>
          <w:lang w:val="en-US" w:eastAsia="zh-CN"/>
        </w:rPr>
        <w:t>工资调增</w:t>
      </w:r>
      <w:r>
        <w:rPr>
          <w:rFonts w:ascii="仿宋_GB2312" w:hAnsi="仿宋_GB2312" w:eastAsia="仿宋_GB2312"/>
          <w:b w:val="0"/>
          <w:sz w:val="32"/>
        </w:rPr>
        <w:t>，事业单位医疗支出较上年增加。</w:t>
      </w:r>
    </w:p>
    <w:p w14:paraId="36C598FA">
      <w:pPr>
        <w:spacing w:line="580" w:lineRule="exact"/>
        <w:ind w:firstLine="640"/>
        <w:jc w:val="both"/>
      </w:pPr>
      <w:r>
        <w:rPr>
          <w:rFonts w:ascii="仿宋_GB2312" w:hAnsi="仿宋_GB2312" w:eastAsia="仿宋_GB2312"/>
          <w:b w:val="0"/>
          <w:sz w:val="32"/>
        </w:rPr>
        <w:t>4.住房保障支出(类)住房改革支出(款)住房公积金(项):支出决算数为3.80万元，比上年决算增加0.32万元，增长9.20%,主要原因是：本年在职人员</w:t>
      </w:r>
      <w:r>
        <w:rPr>
          <w:rFonts w:hint="eastAsia" w:ascii="仿宋_GB2312" w:hAnsi="仿宋_GB2312" w:eastAsia="仿宋_GB2312"/>
          <w:b w:val="0"/>
          <w:sz w:val="32"/>
          <w:lang w:val="en-US" w:eastAsia="zh-CN"/>
        </w:rPr>
        <w:t>工资调增</w:t>
      </w:r>
      <w:r>
        <w:rPr>
          <w:rFonts w:ascii="仿宋_GB2312" w:hAnsi="仿宋_GB2312" w:eastAsia="仿宋_GB2312"/>
          <w:b w:val="0"/>
          <w:sz w:val="32"/>
        </w:rPr>
        <w:t>，住房公积金支出较上年增加。</w:t>
      </w:r>
    </w:p>
    <w:p w14:paraId="7743458F">
      <w:pPr>
        <w:spacing w:line="640" w:lineRule="exact"/>
        <w:ind w:firstLine="640"/>
        <w:jc w:val="both"/>
        <w:outlineLvl w:val="2"/>
      </w:pPr>
      <w:r>
        <w:rPr>
          <w:rFonts w:ascii="黑体" w:hAnsi="黑体" w:eastAsia="黑体"/>
          <w:sz w:val="32"/>
        </w:rPr>
        <w:t>六、一般公共预算财政拨款基本支出决算情况说明</w:t>
      </w:r>
    </w:p>
    <w:p w14:paraId="544509F8">
      <w:pPr>
        <w:spacing w:line="580" w:lineRule="exact"/>
        <w:ind w:firstLine="640"/>
        <w:jc w:val="both"/>
      </w:pPr>
      <w:r>
        <w:rPr>
          <w:rFonts w:ascii="仿宋_GB2312" w:hAnsi="仿宋_GB2312" w:eastAsia="仿宋_GB2312"/>
          <w:b w:val="0"/>
          <w:sz w:val="32"/>
        </w:rPr>
        <w:t>2024年度一般公共预算财政拨款基本支出91.74万元，其中：</w:t>
      </w:r>
      <w:r>
        <w:rPr>
          <w:rFonts w:ascii="仿宋_GB2312" w:hAnsi="仿宋_GB2312" w:eastAsia="仿宋_GB2312"/>
          <w:b/>
          <w:sz w:val="32"/>
        </w:rPr>
        <w:t>人员经费44.61万元，</w:t>
      </w:r>
      <w:r>
        <w:rPr>
          <w:rFonts w:ascii="仿宋_GB2312" w:hAnsi="仿宋_GB2312" w:eastAsia="仿宋_GB2312"/>
          <w:b w:val="0"/>
          <w:sz w:val="32"/>
        </w:rPr>
        <w:t>包括：基本工资、津贴补贴、奖金、绩效工资、机关事业单位基本养老保险缴费、职工基本医疗保险缴费、其他社会保障缴费、住房公积金。</w:t>
      </w:r>
    </w:p>
    <w:p w14:paraId="48EF54FD">
      <w:pPr>
        <w:spacing w:line="580" w:lineRule="exact"/>
        <w:ind w:firstLine="640"/>
        <w:jc w:val="both"/>
      </w:pPr>
      <w:r>
        <w:rPr>
          <w:rFonts w:ascii="仿宋_GB2312" w:hAnsi="仿宋_GB2312" w:eastAsia="仿宋_GB2312"/>
          <w:b/>
          <w:sz w:val="32"/>
        </w:rPr>
        <w:t>公用经费47.13万元，</w:t>
      </w:r>
      <w:r>
        <w:rPr>
          <w:rFonts w:ascii="仿宋_GB2312" w:hAnsi="仿宋_GB2312" w:eastAsia="仿宋_GB2312"/>
          <w:b w:val="0"/>
          <w:sz w:val="32"/>
        </w:rPr>
        <w:t>包括：办公费、水费、电费、邮电费、取暖费、差旅费、公务接待费。</w:t>
      </w:r>
    </w:p>
    <w:p w14:paraId="780F946C">
      <w:pPr>
        <w:spacing w:line="640" w:lineRule="exact"/>
        <w:ind w:firstLine="640"/>
        <w:jc w:val="both"/>
        <w:outlineLvl w:val="2"/>
      </w:pPr>
      <w:r>
        <w:rPr>
          <w:rFonts w:ascii="黑体" w:hAnsi="黑体" w:eastAsia="黑体"/>
          <w:sz w:val="32"/>
        </w:rPr>
        <w:t>七、政府性基金预算财政拨款收入支出决算情况说明</w:t>
      </w:r>
    </w:p>
    <w:p w14:paraId="3D9D0FD4">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CB8AF73">
      <w:pPr>
        <w:spacing w:line="640" w:lineRule="exact"/>
        <w:ind w:firstLine="640"/>
        <w:jc w:val="both"/>
        <w:outlineLvl w:val="2"/>
      </w:pPr>
      <w:r>
        <w:rPr>
          <w:rFonts w:ascii="黑体" w:hAnsi="黑体" w:eastAsia="黑体"/>
          <w:sz w:val="32"/>
        </w:rPr>
        <w:t>八、国有资本经营预算财政拨款收入支出决算情况说明</w:t>
      </w:r>
    </w:p>
    <w:p w14:paraId="05942B6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B05AE38">
      <w:pPr>
        <w:spacing w:line="640" w:lineRule="exact"/>
        <w:ind w:firstLine="640"/>
        <w:jc w:val="both"/>
        <w:outlineLvl w:val="2"/>
      </w:pPr>
      <w:r>
        <w:rPr>
          <w:rFonts w:ascii="黑体" w:hAnsi="黑体" w:eastAsia="黑体"/>
          <w:sz w:val="32"/>
        </w:rPr>
        <w:t>九、财政拨款“三公”经费支出决算情况说明</w:t>
      </w:r>
    </w:p>
    <w:p w14:paraId="1CC56238">
      <w:pPr>
        <w:spacing w:line="580" w:lineRule="exact"/>
        <w:ind w:firstLine="640"/>
        <w:jc w:val="both"/>
      </w:pPr>
      <w:r>
        <w:rPr>
          <w:rFonts w:ascii="仿宋_GB2312" w:hAnsi="仿宋_GB2312" w:eastAsia="仿宋_GB2312"/>
          <w:b/>
          <w:sz w:val="32"/>
        </w:rPr>
        <w:t>2024年度财政拨款“三公”经费支出0.01万元，</w:t>
      </w:r>
      <w:r>
        <w:rPr>
          <w:rFonts w:ascii="仿宋_GB2312" w:hAnsi="仿宋_GB2312" w:eastAsia="仿宋_GB2312"/>
          <w:b w:val="0"/>
          <w:sz w:val="32"/>
        </w:rPr>
        <w:t>比上年减少0.02万元，下降66.67%，主要原因是：严格落实中央八项规定精神，厉行节约，减少公务接待费。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0.01万元，占100.00%，比上年减少0.02万元，下降66.67%，主要原因是：严格落实中央八项规定精神，</w:t>
      </w:r>
      <w:bookmarkStart w:id="0" w:name="_GoBack"/>
      <w:bookmarkEnd w:id="0"/>
      <w:r>
        <w:rPr>
          <w:rFonts w:ascii="仿宋_GB2312" w:hAnsi="仿宋_GB2312" w:eastAsia="仿宋_GB2312"/>
          <w:b w:val="0"/>
          <w:sz w:val="32"/>
        </w:rPr>
        <w:t>厉行节约，减少公务接待费。</w:t>
      </w:r>
    </w:p>
    <w:p w14:paraId="3B3CF847">
      <w:pPr>
        <w:spacing w:line="580" w:lineRule="exact"/>
        <w:ind w:firstLine="640"/>
        <w:jc w:val="both"/>
      </w:pPr>
      <w:r>
        <w:rPr>
          <w:rFonts w:ascii="仿宋_GB2312" w:hAnsi="仿宋_GB2312" w:eastAsia="仿宋_GB2312"/>
          <w:b/>
          <w:sz w:val="32"/>
        </w:rPr>
        <w:t>具体情况如下：</w:t>
      </w:r>
    </w:p>
    <w:p w14:paraId="150E6CE3">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81897D2">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65A2322D">
      <w:pPr>
        <w:spacing w:line="580" w:lineRule="exact"/>
        <w:ind w:firstLine="640"/>
        <w:jc w:val="both"/>
      </w:pPr>
      <w:r>
        <w:rPr>
          <w:rFonts w:ascii="仿宋_GB2312" w:hAnsi="仿宋_GB2312" w:eastAsia="仿宋_GB2312"/>
          <w:b w:val="0"/>
          <w:sz w:val="32"/>
        </w:rPr>
        <w:t>公务接待费0.01万元，开支内容包括接待上级领导检查产生的就餐费。单位全年安排的国内公务接待1批次，5人次。</w:t>
      </w:r>
    </w:p>
    <w:p w14:paraId="33FB4DF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0.02万元，决算数0.01万元，预决算差异率-50.00%，主要原因是：严格落实中央八项规定精神，厉行节约，减少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0.02万元，决算数0.01万元，预决算差异率-50.00%，主要原因是：严格落实中央八项规定精神，厉行节约，减少经费支出。</w:t>
      </w:r>
    </w:p>
    <w:p w14:paraId="0817E400">
      <w:pPr>
        <w:spacing w:line="640" w:lineRule="exact"/>
        <w:ind w:firstLine="640"/>
        <w:jc w:val="both"/>
        <w:outlineLvl w:val="2"/>
      </w:pPr>
      <w:r>
        <w:rPr>
          <w:rFonts w:ascii="黑体" w:hAnsi="黑体" w:eastAsia="黑体"/>
          <w:sz w:val="32"/>
        </w:rPr>
        <w:t>十、其他重要事项的情况说明</w:t>
      </w:r>
    </w:p>
    <w:p w14:paraId="17E554B2">
      <w:pPr>
        <w:spacing w:line="640" w:lineRule="exact"/>
        <w:ind w:firstLine="640"/>
        <w:jc w:val="both"/>
        <w:outlineLvl w:val="3"/>
      </w:pPr>
      <w:r>
        <w:rPr>
          <w:rFonts w:ascii="楷体_GB2312" w:hAnsi="楷体_GB2312" w:eastAsia="楷体_GB2312"/>
          <w:b/>
          <w:sz w:val="32"/>
        </w:rPr>
        <w:t>（一）机关运行经费及公用经费支出情况</w:t>
      </w:r>
    </w:p>
    <w:p w14:paraId="69810817">
      <w:pPr>
        <w:spacing w:line="580" w:lineRule="exact"/>
        <w:ind w:firstLine="640"/>
        <w:jc w:val="both"/>
      </w:pPr>
      <w:r>
        <w:rPr>
          <w:rFonts w:ascii="仿宋_GB2312" w:hAnsi="仿宋_GB2312" w:eastAsia="仿宋_GB2312"/>
          <w:b w:val="0"/>
          <w:sz w:val="32"/>
        </w:rPr>
        <w:t>2024年度伽师县行政服务中心（事业单位）公用经费支出47.13万元，比上年减少0.89万元，下降1.85%，主要原因是：严格控制公用经费，合理节约办公用品，减少不必要开支。</w:t>
      </w:r>
    </w:p>
    <w:p w14:paraId="6BCA7BA8">
      <w:pPr>
        <w:spacing w:line="640" w:lineRule="exact"/>
        <w:ind w:firstLine="640"/>
        <w:jc w:val="both"/>
        <w:outlineLvl w:val="3"/>
      </w:pPr>
      <w:r>
        <w:rPr>
          <w:rFonts w:ascii="楷体_GB2312" w:hAnsi="楷体_GB2312" w:eastAsia="楷体_GB2312"/>
          <w:b/>
          <w:sz w:val="32"/>
        </w:rPr>
        <w:t>（二）政府采购情况</w:t>
      </w:r>
    </w:p>
    <w:p w14:paraId="64F66AD4">
      <w:pPr>
        <w:spacing w:line="580" w:lineRule="exact"/>
        <w:ind w:firstLine="640"/>
        <w:jc w:val="both"/>
      </w:pPr>
      <w:r>
        <w:rPr>
          <w:rFonts w:ascii="仿宋_GB2312" w:hAnsi="仿宋_GB2312" w:eastAsia="仿宋_GB2312"/>
          <w:b w:val="0"/>
          <w:sz w:val="32"/>
        </w:rPr>
        <w:t>2024年度政府采购支出总额258.78万元，其中：政府采购货物支出0.00万元、政府采购工程支出258.78万元、政府采购服务支出0.00万元。</w:t>
      </w:r>
    </w:p>
    <w:p w14:paraId="467C054C">
      <w:pPr>
        <w:spacing w:line="580" w:lineRule="exact"/>
        <w:ind w:firstLine="640"/>
        <w:jc w:val="both"/>
      </w:pPr>
      <w:r>
        <w:rPr>
          <w:rFonts w:ascii="仿宋_GB2312" w:hAnsi="仿宋_GB2312" w:eastAsia="仿宋_GB2312"/>
          <w:b w:val="0"/>
          <w:sz w:val="32"/>
        </w:rPr>
        <w:t>授予中小企业合同金额258.78万元，占政府采购支出总额的100.00%，其中：授予小微企业合同金额258.78万元，占政府采购支出总额的100.00%。</w:t>
      </w:r>
    </w:p>
    <w:p w14:paraId="0DFB0996">
      <w:pPr>
        <w:spacing w:line="640" w:lineRule="exact"/>
        <w:ind w:firstLine="640"/>
        <w:jc w:val="both"/>
        <w:outlineLvl w:val="3"/>
      </w:pPr>
      <w:r>
        <w:rPr>
          <w:rFonts w:ascii="楷体_GB2312" w:hAnsi="楷体_GB2312" w:eastAsia="楷体_GB2312"/>
          <w:b/>
          <w:sz w:val="32"/>
        </w:rPr>
        <w:t>（三）国有资产占用情况说明</w:t>
      </w:r>
    </w:p>
    <w:p w14:paraId="7E229F0C">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231339D4">
      <w:pPr>
        <w:spacing w:line="640" w:lineRule="exact"/>
        <w:ind w:firstLine="640"/>
        <w:jc w:val="both"/>
        <w:outlineLvl w:val="2"/>
      </w:pPr>
      <w:r>
        <w:rPr>
          <w:rFonts w:ascii="黑体" w:hAnsi="黑体" w:eastAsia="黑体"/>
          <w:sz w:val="32"/>
        </w:rPr>
        <w:t>十一、预算绩效的情况说明</w:t>
      </w:r>
    </w:p>
    <w:p w14:paraId="1106AF55">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385.49万元，实际执行总额385.49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无项目绩效自评表。发现的问题及原因：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无项目绩效自评表。下一步改进措施：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无项目绩效自评表。具体附整体支出绩效自评表。</w:t>
      </w:r>
    </w:p>
    <w:p w14:paraId="126F133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DD37117">
        <w:tblPrEx>
          <w:tblCellMar>
            <w:top w:w="0" w:type="dxa"/>
            <w:left w:w="108" w:type="dxa"/>
            <w:bottom w:w="0" w:type="dxa"/>
            <w:right w:w="108" w:type="dxa"/>
          </w:tblCellMar>
        </w:tblPrEx>
        <w:tc>
          <w:tcPr>
            <w:tcW w:w="8847" w:type="dxa"/>
            <w:gridSpan w:val="9"/>
            <w:vAlign w:val="center"/>
          </w:tcPr>
          <w:p w14:paraId="711884C2">
            <w:pPr>
              <w:jc w:val="center"/>
            </w:pPr>
            <w:r>
              <w:rPr>
                <w:rFonts w:ascii="宋体" w:hAnsi="宋体" w:eastAsia="宋体"/>
                <w:sz w:val="24"/>
              </w:rPr>
              <w:t>单位整体支出绩效自评表</w:t>
            </w:r>
          </w:p>
        </w:tc>
      </w:tr>
      <w:tr w14:paraId="4A584E54">
        <w:tblPrEx>
          <w:tblCellMar>
            <w:top w:w="0" w:type="dxa"/>
            <w:left w:w="108" w:type="dxa"/>
            <w:bottom w:w="0" w:type="dxa"/>
            <w:right w:w="108" w:type="dxa"/>
          </w:tblCellMar>
        </w:tblPrEx>
        <w:tc>
          <w:tcPr>
            <w:tcW w:w="8847" w:type="dxa"/>
            <w:gridSpan w:val="9"/>
            <w:vAlign w:val="center"/>
          </w:tcPr>
          <w:p w14:paraId="3BE3715B">
            <w:pPr>
              <w:jc w:val="center"/>
            </w:pPr>
            <w:r>
              <w:rPr>
                <w:rFonts w:ascii="宋体" w:hAnsi="宋体" w:eastAsia="宋体"/>
                <w:sz w:val="24"/>
              </w:rPr>
              <w:t>（2024年度）</w:t>
            </w:r>
          </w:p>
        </w:tc>
      </w:tr>
      <w:tr w14:paraId="6877EE4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0AE688">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7D5C006">
            <w:pPr>
              <w:jc w:val="center"/>
            </w:pPr>
            <w:r>
              <w:rPr>
                <w:rFonts w:ascii="宋体" w:hAnsi="宋体" w:eastAsia="宋体"/>
                <w:sz w:val="16"/>
              </w:rPr>
              <w:t>伽师县行政服务中心</w:t>
            </w:r>
          </w:p>
        </w:tc>
      </w:tr>
      <w:tr w14:paraId="3154081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7BCC39">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DD3799">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CC2750">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A5BDD5">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F48BDF">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CF3CE5">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562C2F">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6B048">
            <w:pPr>
              <w:jc w:val="center"/>
            </w:pPr>
            <w:r>
              <w:rPr>
                <w:rFonts w:ascii="宋体" w:hAnsi="宋体" w:eastAsia="宋体"/>
                <w:sz w:val="16"/>
              </w:rPr>
              <w:t>得分</w:t>
            </w:r>
          </w:p>
        </w:tc>
      </w:tr>
      <w:tr w14:paraId="2474DCF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BB4C3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DDAF33">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158C48">
            <w:pPr>
              <w:jc w:val="center"/>
            </w:pPr>
            <w:r>
              <w:rPr>
                <w:rFonts w:ascii="宋体" w:hAnsi="宋体" w:eastAsia="宋体"/>
                <w:sz w:val="16"/>
              </w:rPr>
              <w:t>68.86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7777B8">
            <w:pPr>
              <w:jc w:val="center"/>
            </w:pPr>
            <w:r>
              <w:rPr>
                <w:rFonts w:ascii="宋体" w:hAnsi="宋体" w:eastAsia="宋体"/>
                <w:sz w:val="16"/>
              </w:rPr>
              <w:t>385.49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D02FBA">
            <w:pPr>
              <w:jc w:val="center"/>
            </w:pPr>
            <w:r>
              <w:rPr>
                <w:rFonts w:ascii="宋体" w:hAnsi="宋体" w:eastAsia="宋体"/>
                <w:sz w:val="16"/>
              </w:rPr>
              <w:t>385.49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ABB0A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978DA9">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D21CC">
            <w:pPr>
              <w:jc w:val="center"/>
            </w:pPr>
            <w:r>
              <w:rPr>
                <w:rFonts w:ascii="宋体" w:hAnsi="宋体" w:eastAsia="宋体"/>
                <w:sz w:val="16"/>
              </w:rPr>
              <w:t>10</w:t>
            </w:r>
          </w:p>
        </w:tc>
      </w:tr>
      <w:tr w14:paraId="3F2185E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DCC17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BE0E59">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CC719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16FAB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89160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D9285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9707F5">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9144F">
            <w:pPr>
              <w:jc w:val="center"/>
            </w:pPr>
            <w:r>
              <w:rPr>
                <w:rFonts w:ascii="宋体" w:hAnsi="宋体" w:eastAsia="宋体"/>
                <w:sz w:val="16"/>
              </w:rPr>
              <w:t>—</w:t>
            </w:r>
          </w:p>
        </w:tc>
      </w:tr>
      <w:tr w14:paraId="4216F25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454DC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B7B52F">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E3E2B6">
            <w:pPr>
              <w:jc w:val="center"/>
            </w:pPr>
            <w:r>
              <w:rPr>
                <w:rFonts w:ascii="宋体" w:hAnsi="宋体" w:eastAsia="宋体"/>
                <w:sz w:val="16"/>
              </w:rPr>
              <w:t>68.86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82FC5E">
            <w:pPr>
              <w:jc w:val="center"/>
            </w:pPr>
            <w:r>
              <w:rPr>
                <w:rFonts w:ascii="宋体" w:hAnsi="宋体" w:eastAsia="宋体"/>
                <w:sz w:val="16"/>
              </w:rPr>
              <w:t>91.74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C0D9FC">
            <w:pPr>
              <w:jc w:val="center"/>
            </w:pPr>
            <w:r>
              <w:rPr>
                <w:rFonts w:ascii="宋体" w:hAnsi="宋体" w:eastAsia="宋体"/>
                <w:sz w:val="16"/>
              </w:rPr>
              <w:t>91.74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759AB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1CB6D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A3BBE">
            <w:pPr>
              <w:jc w:val="center"/>
            </w:pPr>
            <w:r>
              <w:rPr>
                <w:rFonts w:ascii="宋体" w:hAnsi="宋体" w:eastAsia="宋体"/>
                <w:sz w:val="16"/>
              </w:rPr>
              <w:t>—</w:t>
            </w:r>
          </w:p>
        </w:tc>
      </w:tr>
      <w:tr w14:paraId="01B3BF5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537A2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C1481F">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FD59E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FE6623">
            <w:pPr>
              <w:jc w:val="center"/>
            </w:pPr>
            <w:r>
              <w:rPr>
                <w:rFonts w:ascii="宋体" w:hAnsi="宋体" w:eastAsia="宋体"/>
                <w:sz w:val="16"/>
              </w:rPr>
              <w:t>293.75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7A0B3B">
            <w:pPr>
              <w:jc w:val="center"/>
            </w:pPr>
            <w:r>
              <w:rPr>
                <w:rFonts w:ascii="宋体" w:hAnsi="宋体" w:eastAsia="宋体"/>
                <w:sz w:val="16"/>
              </w:rPr>
              <w:t>293.75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79D3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FCD9B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3A86D">
            <w:pPr>
              <w:jc w:val="center"/>
            </w:pPr>
            <w:r>
              <w:rPr>
                <w:rFonts w:ascii="宋体" w:hAnsi="宋体" w:eastAsia="宋体"/>
                <w:sz w:val="16"/>
              </w:rPr>
              <w:t>—</w:t>
            </w:r>
          </w:p>
        </w:tc>
      </w:tr>
      <w:tr w14:paraId="68E13F1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B9D1DF">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ADF2C14">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6878A8">
            <w:pPr>
              <w:jc w:val="center"/>
            </w:pPr>
            <w:r>
              <w:rPr>
                <w:rFonts w:ascii="宋体" w:hAnsi="宋体" w:eastAsia="宋体"/>
                <w:sz w:val="16"/>
              </w:rPr>
              <w:t>实际完成情况</w:t>
            </w:r>
          </w:p>
        </w:tc>
      </w:tr>
      <w:tr w14:paraId="76D00B2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F8F16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DA02993">
            <w:pPr>
              <w:jc w:val="both"/>
            </w:pPr>
            <w:r>
              <w:rPr>
                <w:rFonts w:ascii="宋体" w:hAnsi="宋体" w:eastAsia="宋体"/>
                <w:sz w:val="16"/>
              </w:rPr>
              <w:t>伽师县政务服务中心将持续深入学习贯彻党的二十大精神，贯彻落实自治区党委决策部署和地委工作要求；一是加快推进政务服务二期项目建设，学习借鉴先进县（市）经验做法，做好大厅内部规划设计工作；二是做好39部门597个事项的应进必进工作，积极推进应驻必驻，做到“三集中三到位”；强化队伍建设；健全工作机制；加强政务建设；加强政务建设；加强12345热线协调联动；全力保障12345政务服务热线健康运行。2024年计划完成：组织“互联网+政务服务”一体化平台操作使用培训不低于4次；组织新进驻窗口人员岗前培训不低于2次；组织政策解读专题培训不低于24次；开展“一件事一次办”和“跨域通办”政务服务事项不低于18个；按时办结率达100%。</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A12570">
            <w:pPr>
              <w:jc w:val="both"/>
            </w:pPr>
            <w:r>
              <w:rPr>
                <w:rFonts w:ascii="宋体" w:hAnsi="宋体" w:eastAsia="宋体"/>
                <w:sz w:val="16"/>
              </w:rPr>
              <w:t>伽师县政务服务中心2024年，做好了39部门597个事项的应进必进工作，积极推进应驻必驻，做到“三集中三到位”；强化队伍建设；健全工作机制；加强了政务建设；加强政务建设；加强了12345热线协调联动；全力保障12345政务服务热线健康运行。2024年完成了：组织“互联网+政务服务”一体化平台操作使用培训4次；组织新进驻窗口人员岗前培训2次；组织政策解读专题培训24次；开展“一件事一次办”和“跨域通办”政务服务事项完成了18个；按时办结率达100%。</w:t>
            </w:r>
            <w:r>
              <w:rPr>
                <w:rFonts w:hint="eastAsia" w:ascii="宋体" w:hAnsi="宋体"/>
                <w:sz w:val="16"/>
                <w:lang w:eastAsia="zh-CN"/>
              </w:rPr>
              <w:t>截至</w:t>
            </w:r>
            <w:r>
              <w:rPr>
                <w:rFonts w:ascii="宋体" w:hAnsi="宋体" w:eastAsia="宋体"/>
                <w:sz w:val="16"/>
              </w:rPr>
              <w:t>2024年12月31日项目到位资金311.4511万元，项目执行资金293.7545万元。提升伽师县行政服务中心政务服务环境、增添便民服务设施设备同时，提升了新环境、新体验、新态度、新要求、新思想和公共服务场所的安全综合能力。为伽师县各级企业和个体户及小康社会的办事群众更好</w:t>
            </w:r>
            <w:r>
              <w:rPr>
                <w:rFonts w:hint="eastAsia" w:ascii="宋体" w:hAnsi="宋体"/>
                <w:sz w:val="16"/>
                <w:lang w:eastAsia="zh-CN"/>
              </w:rPr>
              <w:t>地</w:t>
            </w:r>
            <w:r>
              <w:rPr>
                <w:rFonts w:ascii="宋体" w:hAnsi="宋体" w:eastAsia="宋体"/>
                <w:sz w:val="16"/>
              </w:rPr>
              <w:t>服务。通过服务场所和设施的改造提升，为企业和社会公众提供了优质服务和安全保障，极大提高政府相关部门的政务服务水平，同时也为提升伽师县的营商环境和社会大局稳定，为平安伽师的创建奠定了坚实的基础。</w:t>
            </w:r>
          </w:p>
        </w:tc>
      </w:tr>
      <w:tr w14:paraId="4B495AE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AC29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62DC96">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DA34CF">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97A295">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2968F2">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A1DFD6">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8010C">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3C1C3B">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000D29">
            <w:pPr>
              <w:jc w:val="center"/>
            </w:pPr>
            <w:r>
              <w:rPr>
                <w:rFonts w:ascii="宋体" w:hAnsi="宋体" w:eastAsia="宋体"/>
                <w:sz w:val="16"/>
              </w:rPr>
              <w:t>得分</w:t>
            </w:r>
          </w:p>
        </w:tc>
      </w:tr>
      <w:tr w14:paraId="7148A96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E22E1E">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B5658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3D7382">
            <w:pPr>
              <w:jc w:val="center"/>
            </w:pPr>
            <w:r>
              <w:rPr>
                <w:rFonts w:ascii="宋体" w:hAnsi="宋体" w:eastAsia="宋体"/>
                <w:sz w:val="16"/>
              </w:rPr>
              <w:t>组织“互联网+政务服务”一体化平台操作使用培训次数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AB11E8">
            <w:pPr>
              <w:jc w:val="center"/>
            </w:pPr>
            <w:r>
              <w:rPr>
                <w:rFonts w:ascii="宋体" w:hAnsi="宋体" w:eastAsia="宋体"/>
                <w:sz w:val="16"/>
              </w:rPr>
              <w:t>&gt;=4次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BE961D">
            <w:pPr>
              <w:jc w:val="center"/>
            </w:pPr>
            <w:r>
              <w:rPr>
                <w:rFonts w:ascii="宋体" w:hAnsi="宋体" w:eastAsia="宋体"/>
                <w:sz w:val="16"/>
              </w:rPr>
              <w:t>伽师县行政服务中心2024年工作计划和工作要点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E3BC0B">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F7141C">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30DE3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2A2C1">
            <w:pPr>
              <w:jc w:val="center"/>
            </w:pPr>
            <w:r>
              <w:rPr>
                <w:rFonts w:ascii="宋体" w:hAnsi="宋体" w:eastAsia="宋体"/>
                <w:sz w:val="16"/>
              </w:rPr>
              <w:t>18</w:t>
            </w:r>
          </w:p>
        </w:tc>
      </w:tr>
      <w:tr w14:paraId="5318823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99C88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3E592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D2799A">
            <w:pPr>
              <w:jc w:val="center"/>
            </w:pPr>
            <w:r>
              <w:rPr>
                <w:rFonts w:ascii="宋体" w:hAnsi="宋体" w:eastAsia="宋体"/>
                <w:sz w:val="16"/>
              </w:rPr>
              <w:t>组织新进驻窗口人员岗前培训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474F19">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F5AF6E">
            <w:pPr>
              <w:jc w:val="center"/>
            </w:pPr>
            <w:r>
              <w:rPr>
                <w:rFonts w:ascii="宋体" w:hAnsi="宋体" w:eastAsia="宋体"/>
                <w:sz w:val="16"/>
              </w:rPr>
              <w:t>伽师县行政服务中心2024年工作计划和工作要点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6875AA">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FC1EC1">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01204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9A0054">
            <w:pPr>
              <w:jc w:val="center"/>
            </w:pPr>
            <w:r>
              <w:rPr>
                <w:rFonts w:ascii="宋体" w:hAnsi="宋体" w:eastAsia="宋体"/>
                <w:sz w:val="16"/>
              </w:rPr>
              <w:t>18</w:t>
            </w:r>
          </w:p>
        </w:tc>
      </w:tr>
      <w:tr w14:paraId="2A8C396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AEFB6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FDDA2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E6E3D0">
            <w:pPr>
              <w:jc w:val="center"/>
            </w:pPr>
            <w:r>
              <w:rPr>
                <w:rFonts w:ascii="宋体" w:hAnsi="宋体" w:eastAsia="宋体"/>
                <w:sz w:val="16"/>
              </w:rPr>
              <w:t>组织政策解读专题培训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0F5288">
            <w:pPr>
              <w:jc w:val="center"/>
            </w:pPr>
            <w:r>
              <w:rPr>
                <w:rFonts w:ascii="宋体" w:hAnsi="宋体" w:eastAsia="宋体"/>
                <w:sz w:val="16"/>
              </w:rPr>
              <w:t>&gt;=24次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B7180A">
            <w:pPr>
              <w:jc w:val="center"/>
            </w:pPr>
            <w:r>
              <w:rPr>
                <w:rFonts w:ascii="宋体" w:hAnsi="宋体" w:eastAsia="宋体"/>
                <w:sz w:val="16"/>
              </w:rPr>
              <w:t>伽师县行政服务中心2024年工作计划和工作要点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4CE967">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AF53FF">
            <w:pPr>
              <w:jc w:val="center"/>
            </w:pPr>
            <w:r>
              <w:rPr>
                <w:rFonts w:ascii="宋体" w:hAnsi="宋体" w:eastAsia="宋体"/>
                <w:sz w:val="16"/>
              </w:rPr>
              <w:t>24次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81181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175C8E">
            <w:pPr>
              <w:jc w:val="center"/>
            </w:pPr>
            <w:r>
              <w:rPr>
                <w:rFonts w:ascii="宋体" w:hAnsi="宋体" w:eastAsia="宋体"/>
                <w:sz w:val="16"/>
              </w:rPr>
              <w:t>18</w:t>
            </w:r>
          </w:p>
        </w:tc>
      </w:tr>
      <w:tr w14:paraId="1244010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92D67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2BCAD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AAEDAA">
            <w:pPr>
              <w:jc w:val="center"/>
            </w:pPr>
            <w:r>
              <w:rPr>
                <w:rFonts w:ascii="宋体" w:hAnsi="宋体" w:eastAsia="宋体"/>
                <w:sz w:val="16"/>
              </w:rPr>
              <w:t>开展“一件事一次办”和“跨域通办”政务服务事项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21D8D5">
            <w:pPr>
              <w:jc w:val="center"/>
            </w:pPr>
            <w:r>
              <w:rPr>
                <w:rFonts w:ascii="宋体" w:hAnsi="宋体" w:eastAsia="宋体"/>
                <w:sz w:val="16"/>
              </w:rPr>
              <w:t>&gt;=18个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25801B">
            <w:pPr>
              <w:jc w:val="center"/>
            </w:pPr>
            <w:r>
              <w:rPr>
                <w:rFonts w:ascii="宋体" w:hAnsi="宋体" w:eastAsia="宋体"/>
                <w:sz w:val="16"/>
              </w:rPr>
              <w:t>伽师县行政服务中心2024年工作计划和工作要点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740454">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448E8D">
            <w:pPr>
              <w:jc w:val="center"/>
            </w:pPr>
            <w:r>
              <w:rPr>
                <w:rFonts w:ascii="宋体" w:hAnsi="宋体" w:eastAsia="宋体"/>
                <w:sz w:val="16"/>
              </w:rPr>
              <w:t>18个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6D763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A1E696">
            <w:pPr>
              <w:jc w:val="center"/>
            </w:pPr>
            <w:r>
              <w:rPr>
                <w:rFonts w:ascii="宋体" w:hAnsi="宋体" w:eastAsia="宋体"/>
                <w:sz w:val="16"/>
              </w:rPr>
              <w:t>18</w:t>
            </w:r>
          </w:p>
        </w:tc>
      </w:tr>
      <w:tr w14:paraId="1F01EFD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127A0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FBBA52">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ED1443">
            <w:pPr>
              <w:jc w:val="center"/>
            </w:pPr>
            <w:r>
              <w:rPr>
                <w:rFonts w:ascii="宋体" w:hAnsi="宋体" w:eastAsia="宋体"/>
                <w:sz w:val="16"/>
              </w:rPr>
              <w:t>按时办结率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B1858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D2EB48">
            <w:pPr>
              <w:jc w:val="center"/>
            </w:pPr>
            <w:r>
              <w:rPr>
                <w:rFonts w:ascii="宋体" w:hAnsi="宋体" w:eastAsia="宋体"/>
                <w:sz w:val="16"/>
              </w:rPr>
              <w:t>伽师县行政服务中心2024年工作计划和工作要点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7E890D">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543E0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3EDBD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546447">
            <w:pPr>
              <w:jc w:val="center"/>
            </w:pPr>
            <w:r>
              <w:rPr>
                <w:rFonts w:ascii="宋体" w:hAnsi="宋体" w:eastAsia="宋体"/>
                <w:sz w:val="16"/>
              </w:rPr>
              <w:t>18</w:t>
            </w:r>
          </w:p>
        </w:tc>
      </w:tr>
    </w:tbl>
    <w:p w14:paraId="07A6BCDD">
      <w:r>
        <w:br w:type="page"/>
      </w:r>
    </w:p>
    <w:p w14:paraId="52024D78">
      <w:pPr>
        <w:spacing w:line="640" w:lineRule="exact"/>
        <w:ind w:firstLine="640"/>
        <w:jc w:val="both"/>
        <w:outlineLvl w:val="2"/>
      </w:pPr>
      <w:r>
        <w:rPr>
          <w:rFonts w:ascii="黑体" w:hAnsi="黑体" w:eastAsia="黑体"/>
          <w:sz w:val="32"/>
        </w:rPr>
        <w:t>十二、其他需说明的事项</w:t>
      </w:r>
    </w:p>
    <w:p w14:paraId="6FF9E4BB">
      <w:pPr>
        <w:spacing w:line="580" w:lineRule="exact"/>
        <w:ind w:firstLine="640"/>
        <w:jc w:val="both"/>
      </w:pPr>
      <w:r>
        <w:rPr>
          <w:rFonts w:ascii="仿宋_GB2312" w:hAnsi="仿宋_GB2312" w:eastAsia="仿宋_GB2312"/>
          <w:b w:val="0"/>
          <w:sz w:val="32"/>
        </w:rPr>
        <w:t>本单位无其他需说明的事项。</w:t>
      </w:r>
    </w:p>
    <w:p w14:paraId="34745581">
      <w:r>
        <w:br w:type="page"/>
      </w:r>
    </w:p>
    <w:p w14:paraId="7E847EC0">
      <w:pPr>
        <w:spacing w:line="240" w:lineRule="auto"/>
        <w:jc w:val="center"/>
        <w:outlineLvl w:val="1"/>
      </w:pPr>
      <w:r>
        <w:rPr>
          <w:rFonts w:ascii="黑体" w:hAnsi="黑体" w:eastAsia="黑体"/>
          <w:sz w:val="32"/>
        </w:rPr>
        <w:t>第三部分 专业名词解释</w:t>
      </w:r>
    </w:p>
    <w:p w14:paraId="028A6D9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8F1EBD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C48343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204567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D842C5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99F9A4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AAF6FE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5AF0B6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4AC508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C473E0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8FED18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0FBA68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7F740B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FCE8F0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601AC4E">
      <w:r>
        <w:br w:type="page"/>
      </w:r>
    </w:p>
    <w:p w14:paraId="5FB4DBFA">
      <w:pPr>
        <w:spacing w:line="240" w:lineRule="auto"/>
        <w:jc w:val="center"/>
        <w:outlineLvl w:val="1"/>
      </w:pPr>
      <w:r>
        <w:rPr>
          <w:rFonts w:ascii="黑体" w:hAnsi="黑体" w:eastAsia="黑体"/>
          <w:sz w:val="32"/>
        </w:rPr>
        <w:t>第四部分 部门决算报表（见附表）</w:t>
      </w:r>
    </w:p>
    <w:p w14:paraId="15CA1006">
      <w:pPr>
        <w:spacing w:line="240" w:lineRule="auto"/>
        <w:ind w:firstLine="640"/>
        <w:jc w:val="both"/>
      </w:pPr>
      <w:r>
        <w:rPr>
          <w:rFonts w:ascii="仿宋_GB2312" w:hAnsi="仿宋_GB2312" w:eastAsia="仿宋_GB2312"/>
          <w:b w:val="0"/>
          <w:sz w:val="32"/>
        </w:rPr>
        <w:t>一、《收入支出决算总表》</w:t>
      </w:r>
    </w:p>
    <w:p w14:paraId="1539E80E">
      <w:pPr>
        <w:spacing w:line="240" w:lineRule="auto"/>
        <w:ind w:firstLine="640"/>
        <w:jc w:val="both"/>
      </w:pPr>
      <w:r>
        <w:rPr>
          <w:rFonts w:ascii="仿宋_GB2312" w:hAnsi="仿宋_GB2312" w:eastAsia="仿宋_GB2312"/>
          <w:b w:val="0"/>
          <w:sz w:val="32"/>
        </w:rPr>
        <w:t>二、《收入决算表》</w:t>
      </w:r>
    </w:p>
    <w:p w14:paraId="315D9A0C">
      <w:pPr>
        <w:spacing w:line="240" w:lineRule="auto"/>
        <w:ind w:firstLine="640"/>
        <w:jc w:val="both"/>
      </w:pPr>
      <w:r>
        <w:rPr>
          <w:rFonts w:ascii="仿宋_GB2312" w:hAnsi="仿宋_GB2312" w:eastAsia="仿宋_GB2312"/>
          <w:b w:val="0"/>
          <w:sz w:val="32"/>
        </w:rPr>
        <w:t>三、《支出决算表》</w:t>
      </w:r>
    </w:p>
    <w:p w14:paraId="3C112FEB">
      <w:pPr>
        <w:spacing w:line="240" w:lineRule="auto"/>
        <w:ind w:firstLine="640"/>
        <w:jc w:val="both"/>
      </w:pPr>
      <w:r>
        <w:rPr>
          <w:rFonts w:ascii="仿宋_GB2312" w:hAnsi="仿宋_GB2312" w:eastAsia="仿宋_GB2312"/>
          <w:b w:val="0"/>
          <w:sz w:val="32"/>
        </w:rPr>
        <w:t>四、《财政拨款收入支出决算总表》</w:t>
      </w:r>
    </w:p>
    <w:p w14:paraId="72F533D9">
      <w:pPr>
        <w:spacing w:line="240" w:lineRule="auto"/>
        <w:ind w:firstLine="640"/>
        <w:jc w:val="both"/>
      </w:pPr>
      <w:r>
        <w:rPr>
          <w:rFonts w:ascii="仿宋_GB2312" w:hAnsi="仿宋_GB2312" w:eastAsia="仿宋_GB2312"/>
          <w:b w:val="0"/>
          <w:sz w:val="32"/>
        </w:rPr>
        <w:t>五、《一般公共预算财政拨款支出决算表》</w:t>
      </w:r>
    </w:p>
    <w:p w14:paraId="16763A4A">
      <w:pPr>
        <w:spacing w:line="240" w:lineRule="auto"/>
        <w:ind w:firstLine="640"/>
        <w:jc w:val="both"/>
      </w:pPr>
      <w:r>
        <w:rPr>
          <w:rFonts w:ascii="仿宋_GB2312" w:hAnsi="仿宋_GB2312" w:eastAsia="仿宋_GB2312"/>
          <w:b w:val="0"/>
          <w:sz w:val="32"/>
        </w:rPr>
        <w:t>六、《一般公共预算财政拨款基本支出决算表》</w:t>
      </w:r>
    </w:p>
    <w:p w14:paraId="425A4747">
      <w:pPr>
        <w:spacing w:line="240" w:lineRule="auto"/>
        <w:ind w:firstLine="640"/>
        <w:jc w:val="both"/>
      </w:pPr>
      <w:r>
        <w:rPr>
          <w:rFonts w:ascii="仿宋_GB2312" w:hAnsi="仿宋_GB2312" w:eastAsia="仿宋_GB2312"/>
          <w:b w:val="0"/>
          <w:sz w:val="32"/>
        </w:rPr>
        <w:t>七、《政府性基金预算财政拨款收入支出决算表》</w:t>
      </w:r>
    </w:p>
    <w:p w14:paraId="76EFC38F">
      <w:pPr>
        <w:spacing w:line="240" w:lineRule="auto"/>
        <w:ind w:firstLine="640"/>
        <w:jc w:val="both"/>
      </w:pPr>
      <w:r>
        <w:rPr>
          <w:rFonts w:ascii="仿宋_GB2312" w:hAnsi="仿宋_GB2312" w:eastAsia="仿宋_GB2312"/>
          <w:b w:val="0"/>
          <w:sz w:val="32"/>
        </w:rPr>
        <w:t>八、《国有资本经营预算财政拨款收入支出决算表》</w:t>
      </w:r>
    </w:p>
    <w:p w14:paraId="63C1968D">
      <w:pPr>
        <w:spacing w:line="240" w:lineRule="auto"/>
        <w:ind w:firstLine="640"/>
        <w:jc w:val="both"/>
      </w:pPr>
      <w:r>
        <w:rPr>
          <w:rFonts w:ascii="仿宋_GB2312" w:hAnsi="仿宋_GB2312" w:eastAsia="仿宋_GB2312"/>
          <w:b w:val="0"/>
          <w:sz w:val="32"/>
        </w:rPr>
        <w:t>九、《财政拨款“三公”经费支出决算表》</w:t>
      </w:r>
    </w:p>
    <w:p w14:paraId="02B9FE4C">
      <w:pPr>
        <w:spacing w:line="240" w:lineRule="auto"/>
        <w:ind w:firstLine="640"/>
        <w:jc w:val="both"/>
      </w:pPr>
    </w:p>
    <w:p w14:paraId="7FBD775B">
      <w:pPr>
        <w:spacing w:line="240" w:lineRule="auto"/>
        <w:ind w:firstLine="640"/>
        <w:jc w:val="both"/>
      </w:pPr>
    </w:p>
    <w:p w14:paraId="73EBB6EA">
      <w:pPr>
        <w:spacing w:line="240" w:lineRule="auto"/>
        <w:ind w:firstLine="640"/>
        <w:jc w:val="both"/>
      </w:pPr>
    </w:p>
    <w:p w14:paraId="6531131A">
      <w:pPr>
        <w:spacing w:line="240" w:lineRule="auto"/>
        <w:ind w:firstLine="640"/>
        <w:jc w:val="both"/>
      </w:pPr>
    </w:p>
    <w:p w14:paraId="73671D7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B3D0505-DAAC-4FE3-B4F3-F97CF7807FA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D35D4846-9437-4301-9292-2BA4C8F93F63}"/>
  </w:font>
  <w:font w:name="仿宋_GB2312">
    <w:altName w:val="仿宋"/>
    <w:panose1 w:val="02010609030101010101"/>
    <w:charset w:val="86"/>
    <w:family w:val="modern"/>
    <w:pitch w:val="default"/>
    <w:sig w:usb0="00000000" w:usb1="00000000" w:usb2="00000000" w:usb3="00000000" w:csb0="00040000" w:csb1="00000000"/>
    <w:embedRegular r:id="rId3" w:fontKey="{F8DA874D-3EBB-4387-BCBA-430A880394DC}"/>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embedRegular r:id="rId4" w:fontKey="{D33C3283-7A58-4D57-B381-A251E6C551A7}"/>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291F27"/>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324FF6"/>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1548</Words>
  <Characters>1746</Characters>
  <Lines>0</Lines>
  <Paragraphs>0</Paragraphs>
  <TotalTime>5</TotalTime>
  <ScaleCrop>false</ScaleCrop>
  <LinksUpToDate>false</LinksUpToDate>
  <CharactersWithSpaces>1754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2025-09-17T11:27:11Z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