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伽师县2024年一般债券发行费、兑付费及还本付息项目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伽师县财政局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王静</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2025年04月09日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2024年一般债券发行费、兑付费及还本付息项目实施前期、过程及效果，评价财政预算资金使用的效率及效益。通过实施本项目有效防范化解政府债务风险，有效提升政府公信力及政府债务管理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支付2024年到期一般债券本金、利息、发行费等，用于本年地方政府一般债券发行费托管登记费及以前年度债券还本付息费用，预计偿还5次发行、登记托管费，12次付息，通过该项目的实施可保障一般债券利息及时偿还，提高地方政府信誉度、保障办理新增一般债券、再融资债券发行及登记费及时上缴、保障2024年地方政府债券工作顺利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伽师县财政局为行政机关单位，纳入2024年部门决算编制范围的有6个办公室：办公室、综合股、预算股、国库股、预算单位管理股、政府采购管理股等。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编制人数68人，其中：行政人员编制14人、工勤2人、参公49人、事业编制3人。实有在职人数61人，其中：行政在职13人、工勤1人、参公41人、事业在职6人。离退休人员28人，其中：行政退休人员23人、事业退休5人。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该项目总体投资规模45050.84万元，截至2024年12月31日，实际支出45038.19万元，预算执行率99.97%。</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预算资金45050.84万元，用于本年地方政府一般债券发行费托管登记费及以前年度债券还本付息费用，预计偿还5次发行、登记托管费，12次付息。保障一般债券发行费、兑付费及还本付息及时偿还，提高地方政府信誉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在债券发行环节，严格控制发行费用，选择优质中介机构，确保发行工作在规定时间内完成；在兑付环节，提前做好资金筹备与手续办理，确保兑付工作准确无误，在规定时间内完成债券发行工作，发行规模达到预定目标，发行利率控制在合理区间，降低融资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具体实施工作：办理新增一般债券、再融资债券发行及登记费及时上缴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验收阶段的具体工作：加强组织领导，开展本项目绩效自评工作，分管县领导具体负责，做好项目验收，绩效自评工作，要对项目进行总结。</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伽师县2024年一般债券发行费、兑付费及还本付息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伽师县2024年一般债券发行费、兑付费及还本付息项目绩效评价指标体系及综合评分表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况小兰任评价组组长，绩效评价工作职责为负责全盘工作。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王静任评价组副组长，绩效评价工作职责为对项目实施情况进行实地调查。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剡缜睿、杨申鏖任评价组成员，绩效评价工作职责为负责资料审核等工作。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实施伽师县2024年一般债券发行费、兑付费及还本付息项目后保障一般债券利息及时偿还，提高地方政府信誉度、保障办理新增一般债券、再融资债券发行及登记费及时上缴、保障2024年地方政府债券工作顺利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项目决策：该项目主要通过本级资金报告文件立项，项目实施符合资金规范要求，项目立项依据充分，立项程序规范。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2024年一般债券发行费、兑付费及还本付息项目预算安排45050.84万元，实际支出45038.19万元，预算执行率99.97%。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项目产出：通过该项目保障新增一般债券、再融资债券发行及登记费及时上缴。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该项目实施一般债券资金投入基础设施建设，拉动了相关产业发展，创造了大量就业机会，显著提升了公共服务水平，增强了居民的获得感和幸福感。为县域经济社会的可持续发展奠定了坚实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2024年一般债券发行费、兑付费及还本付息项目进行客观评价，最终评分结果：评价总分99.99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99.97%  44.99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99.99%     99.99</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财政局《关于申请2024年财政运行资金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财政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45050.84万元。用于本年地方政府一般债券发行费托管登记费及以前年度债券还本付息费用，预计偿还5次发行、登记托管费，12次付息，通过该项目的实施可保障一般债券利息及时偿还，提高地方政府信誉度、保障办理新增一般债券、再融资债券发行及登记费及时上缴、保障2024年地方政府债券工作顺利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w:t>
      </w:r>
      <w:r>
        <w:rPr>
          <w:rStyle w:val="19"/>
          <w:rFonts w:hint="eastAsia" w:ascii="仿宋" w:hAnsi="仿宋" w:eastAsia="仿宋" w:cs="仿宋"/>
          <w:b w:val="0"/>
          <w:bCs w:val="0"/>
          <w:spacing w:val="-4"/>
          <w:sz w:val="32"/>
          <w:szCs w:val="32"/>
        </w:rPr>
        <w:t>2024年12月31日，项目预算安排资金45050.84万元，资金到位45050.84万元，已支付45038.19万元，资金执行率99.97%，用于本年地方政府一般债券发行费托管登记费及以前年度债券还本付息费用，偿还5次发行、登记托管费，12次付息，通过该项目的实施可保障一般债券利息及时偿还，提高地方政府信誉度、保障办理新增一般债券、再融资债券发行及登记费及时上缴、保障2024年地方政府债券工作顺利开展。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本年地方政府一般债券发行费托管登记费及以前年度债券还本付息费用，偿还5次发行、登记托管费，12次付息，通过该项目的实施可保障一般债券利息及时偿还，提高地方政府信誉度、保障办理新增一般债券、再融资债券发行及登记费及时上缴、保障2024年地方政府债券工作顺利开展。通过该项目的实施能够保障财政系统的安全以及财务工作的正常开展，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④该项目批复的预算金额为45050.84万元，《项目支出绩效目标表》中预算金额为45050.84万元，预算确定的项目资金与预算确定的项目投资额相匹配。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9个，定量指标7个，定性指标2个，指标量化率为77.8%，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偿还发行、登记托管费次数5次、还本付息次数12次，三级指标的年度指标值与年度绩效目标中任务数一致，已设置时效指标“债券12个月内支出比例80%、项目计划完成时间2024年12月25日 ”。已设置的绩效目标具备明确性、可衡量性、可实现性、相关性、时限性。根据评分标准，该指标不扣分，得2分。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（5）预算编制科学性：本伽师县2024年一般债券发行费、兑付费及还本付息项目，即预算编制较科学且经过论证；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偿还发行、登记托管费次数5次、还本付息次数12次，项目实际内容为偿还发行、登记托管费次数5次、还本付息次数12次，预算申请与《伽师县2024年一般债券发行费、兑付费及还本付息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45050.84万元，我单位在预算申请中严格按照项目实施内容及测算标准进行核算，其中：偿还发行、登记托管费33.67万元、还本付息成本45004.51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2024年财政运行资金的报告》和《伽师县2024年一般债券发行费、兑付费及还本付息项目实施方案》为依据进行资金分配，预算资金分配依据充分。根据伽财预〔2024〕001号文件，本项目实际到位资金45050.84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45050.84万元，其中：财政安排资金45050.84万元，其他资金0万元，实际到位资金45050.84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45050.84万元，预算执行率=（45050.84/45038.19）×100.0%=99.97%；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财政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财政局资金管理办法》《伽师县财政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（5）制度执行有效性：①该项目的实施符合《伽师县财政局单位管理办法》《伽师县财政局项目管理制度》《政府采购业务管理制度》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2024年一般债券发行费、兑付费及还本付息项目工作领导小组，由况小兰任组长，负责项目的组织工作；王静任副组长，负责对项目实施情况进行实地调查；组员包括：剡缜睿、杨申鏖，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项目产出类指标包括产出数量、产出质量、产出时效、产出成本四方面的内容，由4个三级指标构成，权重分为45分，实际得分44.99分，得分率为99.97%。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偿还发行、登记托管费次数指标，预期指标值为大于等于5次，实际完成值为5次，指标完成率为100%，与预期目标一致，根据评分标准，该指标不扣分，得5分。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还本付息次数指标，预期指标值为大于等于12次，实际完成值为12次，指标完成率为100%，与预期目标一致，根据评分标准，该指标不扣分，得5分。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债券资金使用合规率指标，预期指标值为100%，实际完成值为100%，指标完成率为100%，与预期目标一致，根据评分标准，该指标不扣分，得10分。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项目计划完成时间指标，预期指标值为2024年12月25日前，实际完成值为2024年12月25日，指标完成率为100%，与预期目标一致，根据评分标准，该指标不扣分，得5分。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债券12个月内支出比例指标，预期指标值为80%，实际完成值为80%，指标完成率为100%，与预期目标一致，根据评分标准，该指标不扣分，得5分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偿还发行、登记托管费成本指标，预期指标值为小于等于33.67万元，实际完成值为33.67万元，指标完成率为100%，项目成本都能控制</w:t>
      </w:r>
      <w:r>
        <w:rPr>
          <w:rStyle w:val="19"/>
          <w:rFonts w:hint="eastAsia" w:ascii="仿宋" w:hAnsi="仿宋" w:eastAsia="仿宋" w:cs="仿宋"/>
          <w:b w:val="0"/>
          <w:bCs w:val="0"/>
          <w:spacing w:val="-4"/>
          <w:sz w:val="32"/>
          <w:szCs w:val="32"/>
          <w:lang w:eastAsia="zh-CN"/>
        </w:rPr>
        <w:t>在</w:t>
      </w:r>
      <w:r>
        <w:rPr>
          <w:rStyle w:val="19"/>
          <w:rFonts w:hint="eastAsia" w:ascii="仿宋" w:hAnsi="仿宋" w:eastAsia="仿宋" w:cs="仿宋"/>
          <w:b w:val="0"/>
          <w:bCs w:val="0"/>
          <w:spacing w:val="-4"/>
          <w:sz w:val="32"/>
          <w:szCs w:val="32"/>
        </w:rPr>
        <w:t>绩效目标范围内，根据评分标准，该指标不扣分，得7.5分。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还本付息成本指标，预期指标值为大于等于45017.17万元，实际完成值为45004.51万元，指标完成率为99.97%，项目成本都能控制</w:t>
      </w:r>
      <w:r>
        <w:rPr>
          <w:rStyle w:val="19"/>
          <w:rFonts w:hint="eastAsia" w:ascii="仿宋" w:hAnsi="仿宋" w:eastAsia="仿宋" w:cs="仿宋"/>
          <w:b w:val="0"/>
          <w:bCs w:val="0"/>
          <w:spacing w:val="-4"/>
          <w:sz w:val="32"/>
          <w:szCs w:val="32"/>
          <w:lang w:eastAsia="zh-CN"/>
        </w:rPr>
        <w:t>在</w:t>
      </w:r>
      <w:bookmarkStart w:id="0" w:name="_GoBack"/>
      <w:bookmarkEnd w:id="0"/>
      <w:r>
        <w:rPr>
          <w:rStyle w:val="19"/>
          <w:rFonts w:hint="eastAsia" w:ascii="仿宋" w:hAnsi="仿宋" w:eastAsia="仿宋" w:cs="仿宋"/>
          <w:b w:val="0"/>
          <w:bCs w:val="0"/>
          <w:spacing w:val="-4"/>
          <w:sz w:val="32"/>
          <w:szCs w:val="32"/>
        </w:rPr>
        <w:t>绩效目标范围内，根据评分标准，该指标不扣分，得7.49分。偏差原因：全年预算数不够精准，剩余资金退回国库；改进措施：加强预算管理，降低误差。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合计得14.99分。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有效防范化解政府债务风险指标，该指标预期指标值为有效防范，实际完成值为有效防范，指标完成率为100%，与预期目标一致，根据评分标准，该指标不扣分,得10分。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对于“满意度指标：债权公司满意度，该指标预期指标值为大于等于95%，实际完成值为95%，指标完成率为100%，与预期目标一致，根据评分标准，该指标不扣分,得10分。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伽师县2024年一般债券发行费、兑付费及还本付息项目预算45050.84万元，到位45038.19万元，实际支出45038.19万元，预算执行率为100%，项目绩效指标总体完成率为100%，偏差率为0%。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1.建立健全债券管理制度，明确工作流程和职责分工，确保债券管理工作规范有序开展。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2.加强与中介机构沟通协作，选择信誉良好、专业能力强的机构参与债券发行工作，保障发行质量与效率。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3.提前谋划资金安排，做好债券还本付息资金储备，确保按时足额偿还债务。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一是计划性不够强。工作效率和工作质量不够高，有些工作没有完全做到位，影响项目整体工作有效开展。二是缺乏精细</w:t>
      </w:r>
      <w:r>
        <w:rPr>
          <w:rStyle w:val="19"/>
          <w:rFonts w:hint="eastAsia" w:ascii="仿宋" w:hAnsi="仿宋" w:eastAsia="仿宋" w:cs="仿宋"/>
          <w:b w:val="0"/>
          <w:bCs w:val="0"/>
          <w:spacing w:val="-4"/>
          <w:sz w:val="32"/>
          <w:szCs w:val="32"/>
          <w:lang w:eastAsia="zh-CN"/>
        </w:rPr>
        <w:t>化</w:t>
      </w:r>
      <w:r>
        <w:rPr>
          <w:rStyle w:val="19"/>
          <w:rFonts w:hint="eastAsia" w:ascii="仿宋" w:hAnsi="仿宋" w:eastAsia="仿宋" w:cs="仿宋"/>
          <w:b w:val="0"/>
          <w:bCs w:val="0"/>
          <w:spacing w:val="-4"/>
          <w:sz w:val="32"/>
          <w:szCs w:val="32"/>
        </w:rPr>
        <w:t>管理。在做好部门常规工作的同时，进一步健全完善部门各项基础管理制度、操作流程，细化各项工作台账，创新工作思路，提升部门工作质量。三是</w:t>
      </w:r>
      <w:r>
        <w:rPr>
          <w:rStyle w:val="19"/>
          <w:rFonts w:hint="eastAsia" w:ascii="仿宋" w:hAnsi="仿宋" w:eastAsia="仿宋" w:cs="仿宋"/>
          <w:b w:val="0"/>
          <w:bCs w:val="0"/>
          <w:spacing w:val="-4"/>
          <w:sz w:val="32"/>
          <w:szCs w:val="32"/>
          <w:lang w:eastAsia="zh-CN"/>
        </w:rPr>
        <w:t>缺</w:t>
      </w:r>
      <w:r>
        <w:rPr>
          <w:rStyle w:val="19"/>
          <w:rFonts w:hint="eastAsia" w:ascii="仿宋" w:hAnsi="仿宋" w:eastAsia="仿宋" w:cs="仿宋"/>
          <w:b w:val="0"/>
          <w:bCs w:val="0"/>
          <w:spacing w:val="-4"/>
          <w:sz w:val="32"/>
          <w:szCs w:val="32"/>
        </w:rPr>
        <w:t>乏系统性思维。当工作任务较繁重时，有时会出现忙乱现象，导致工作标准不够高。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1.进一步优化债券发行流程，降低发行成本，提高资金使用效益。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2.加强对债券资金使用项目的跟踪监管，确保资金投向符合规定，发挥最大效益。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3.建立完善的债务风险预警机制，实时监测债务风险状况，提前制定应对措施。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4.加大债券管理业务培训力度，提高工作人员专业素质和业务能力。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2595EF3"/>
    <w:rsid w:val="3AFB34D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446fb3-ff61-4614-88b5-5636ec217b3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5</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2025-10-20T09:09:10Z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