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2024年度农机购置与应用补贴</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伽师县农业农村机械化发展中心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伽师县农业农村机械化发展中心</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朱永东</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2025年01月21日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2023〕96号）和自治区财政厅《自治区财政支出绩效评价管理暂行办法》（新财预〔2023〕11号）等相关政策文件与规定，此项目根据喀地财农【喀地财农〔2023〕】35号文件，</w:t>
      </w:r>
      <w:r>
        <w:rPr>
          <w:rStyle w:val="19"/>
          <w:rFonts w:hint="eastAsia" w:ascii="仿宋" w:hAnsi="仿宋" w:eastAsia="仿宋" w:cs="仿宋"/>
          <w:b w:val="0"/>
          <w:bCs w:val="0"/>
          <w:spacing w:val="-4"/>
          <w:sz w:val="32"/>
          <w:szCs w:val="32"/>
          <w:lang w:eastAsia="zh-CN"/>
        </w:rPr>
        <w:t>下达</w:t>
      </w:r>
      <w:r>
        <w:rPr>
          <w:rStyle w:val="19"/>
          <w:rFonts w:hint="eastAsia" w:ascii="仿宋" w:hAnsi="仿宋" w:eastAsia="仿宋" w:cs="仿宋"/>
          <w:b w:val="0"/>
          <w:bCs w:val="0"/>
          <w:spacing w:val="-4"/>
          <w:sz w:val="32"/>
          <w:szCs w:val="32"/>
        </w:rPr>
        <w:t>预算资金为2796万元、根据喀地财农【喀地财农〔2024〕】9号文件，</w:t>
      </w:r>
      <w:r>
        <w:rPr>
          <w:rStyle w:val="19"/>
          <w:rFonts w:hint="eastAsia" w:ascii="仿宋" w:hAnsi="仿宋" w:eastAsia="仿宋" w:cs="仿宋"/>
          <w:b w:val="0"/>
          <w:bCs w:val="0"/>
          <w:spacing w:val="-4"/>
          <w:sz w:val="32"/>
          <w:szCs w:val="32"/>
          <w:lang w:eastAsia="zh-CN"/>
        </w:rPr>
        <w:t>下达</w:t>
      </w:r>
      <w:r>
        <w:rPr>
          <w:rStyle w:val="19"/>
          <w:rFonts w:hint="eastAsia" w:ascii="仿宋" w:hAnsi="仿宋" w:eastAsia="仿宋" w:cs="仿宋"/>
          <w:b w:val="0"/>
          <w:bCs w:val="0"/>
          <w:spacing w:val="-4"/>
          <w:sz w:val="32"/>
          <w:szCs w:val="32"/>
        </w:rPr>
        <w:t>预算资金为532万元、根据喀地财农【喀地财农〔2024〕】13号文件，</w:t>
      </w:r>
      <w:r>
        <w:rPr>
          <w:rStyle w:val="19"/>
          <w:rFonts w:hint="eastAsia" w:ascii="仿宋" w:hAnsi="仿宋" w:eastAsia="仿宋" w:cs="仿宋"/>
          <w:b w:val="0"/>
          <w:bCs w:val="0"/>
          <w:spacing w:val="-4"/>
          <w:sz w:val="32"/>
          <w:szCs w:val="32"/>
          <w:lang w:eastAsia="zh-CN"/>
        </w:rPr>
        <w:t>下达</w:t>
      </w:r>
      <w:r>
        <w:rPr>
          <w:rStyle w:val="19"/>
          <w:rFonts w:hint="eastAsia" w:ascii="仿宋" w:hAnsi="仿宋" w:eastAsia="仿宋" w:cs="仿宋"/>
          <w:b w:val="0"/>
          <w:bCs w:val="0"/>
          <w:spacing w:val="-4"/>
          <w:sz w:val="32"/>
          <w:szCs w:val="32"/>
        </w:rPr>
        <w:t>预算资金为305万元，本项目遵循财政部《项目支出绩效评价管理办法》（财预〔2020〕10号）和自治区财政厅《自治区财政支出绩效评价管理暂行办法》（新财预〔2018〕189号）以及（新财预〔2020〕2号）相关政策文件与规定，旨在评价农机购置补贴项目实施前期、过程及效果，评价财政预算资金使用的效率及效益。通过实施此项目将有效提升农业机械化生产社会化服务水平，促进农机科技进步作用明显，调动农民购买、使用农机的积极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建设主要用于提高当地农业机械化生产社会化服务水平。紧紧围绕我县农业产业结构调整要求，以农业节本增效、农民增产增收、农村经济发展为目标，以转变农机化发展方式为主线，以调整优化农机装备结构布局、提高农机化作业水平、增强农业综合生产能力为主要任务，充分发挥补贴政策的引导效应，调动农民购买和使用农机具的积极性，促进我县农业机械化又好又快发展。财政全额拨款3633万元，其中，农机购置补贴机械数量2419台，3531.87万元。农机报废补贴机械数量286台，101.13万元。通过补贴鼓励农民购买机具，提高我区农业机械化水平，减轻农民的劳动强度、降低作业成本、提高生产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伽师县农业农村机械化项目按计划完成率为事业单位（行政单位）决算编制范围的有1个办公室：综合办公室。</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6人，其中：行政人员编制0人、工勤0人、参公0人、事业编制2人。实有在职人数2人，其中：行政在职0人、工勤0人、参公1人、事业在职2人。离退休人员6人，其中：行政退休人员0人、事业退休0人，参公6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根据喀地财农【喀地财农〔2023〕】35号文件，</w:t>
      </w:r>
      <w:r>
        <w:rPr>
          <w:rStyle w:val="19"/>
          <w:rFonts w:hint="eastAsia" w:ascii="仿宋" w:hAnsi="仿宋" w:eastAsia="仿宋" w:cs="仿宋"/>
          <w:b w:val="0"/>
          <w:bCs w:val="0"/>
          <w:spacing w:val="-4"/>
          <w:sz w:val="32"/>
          <w:szCs w:val="32"/>
          <w:lang w:eastAsia="zh-CN"/>
        </w:rPr>
        <w:t>下达</w:t>
      </w:r>
      <w:r>
        <w:rPr>
          <w:rStyle w:val="19"/>
          <w:rFonts w:hint="eastAsia" w:ascii="仿宋" w:hAnsi="仿宋" w:eastAsia="仿宋" w:cs="仿宋"/>
          <w:b w:val="0"/>
          <w:bCs w:val="0"/>
          <w:spacing w:val="-4"/>
          <w:sz w:val="32"/>
          <w:szCs w:val="32"/>
        </w:rPr>
        <w:t>预算资金为2796万元、根据喀地财农【喀地财农〔2024〕】9号文件，</w:t>
      </w:r>
      <w:r>
        <w:rPr>
          <w:rStyle w:val="19"/>
          <w:rFonts w:hint="eastAsia" w:ascii="仿宋" w:hAnsi="仿宋" w:eastAsia="仿宋" w:cs="仿宋"/>
          <w:b w:val="0"/>
          <w:bCs w:val="0"/>
          <w:spacing w:val="-4"/>
          <w:sz w:val="32"/>
          <w:szCs w:val="32"/>
          <w:lang w:eastAsia="zh-CN"/>
        </w:rPr>
        <w:t>下达</w:t>
      </w:r>
      <w:r>
        <w:rPr>
          <w:rStyle w:val="19"/>
          <w:rFonts w:hint="eastAsia" w:ascii="仿宋" w:hAnsi="仿宋" w:eastAsia="仿宋" w:cs="仿宋"/>
          <w:b w:val="0"/>
          <w:bCs w:val="0"/>
          <w:spacing w:val="-4"/>
          <w:sz w:val="32"/>
          <w:szCs w:val="32"/>
        </w:rPr>
        <w:t>预算资金为532万元、根据喀地财农【喀地财农〔2024〕】13号文件，</w:t>
      </w:r>
      <w:r>
        <w:rPr>
          <w:rStyle w:val="19"/>
          <w:rFonts w:hint="eastAsia" w:ascii="仿宋" w:hAnsi="仿宋" w:eastAsia="仿宋" w:cs="仿宋"/>
          <w:b w:val="0"/>
          <w:bCs w:val="0"/>
          <w:spacing w:val="-4"/>
          <w:sz w:val="32"/>
          <w:szCs w:val="32"/>
          <w:lang w:eastAsia="zh-CN"/>
        </w:rPr>
        <w:t>下达</w:t>
      </w:r>
      <w:r>
        <w:rPr>
          <w:rStyle w:val="19"/>
          <w:rFonts w:hint="eastAsia" w:ascii="仿宋" w:hAnsi="仿宋" w:eastAsia="仿宋" w:cs="仿宋"/>
          <w:b w:val="0"/>
          <w:bCs w:val="0"/>
          <w:spacing w:val="-4"/>
          <w:sz w:val="32"/>
          <w:szCs w:val="32"/>
        </w:rPr>
        <w:t>预算资金为305万元。共安排下达资金3633万元，为中央资金，最终确定项目资金总数为3633万元。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截至2024年11月30日，实际支出3633万元，预算执行率100%。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根据喀地财农【喀地财农〔2023〕】35号文件，</w:t>
      </w:r>
      <w:r>
        <w:rPr>
          <w:rStyle w:val="19"/>
          <w:rFonts w:hint="eastAsia" w:ascii="仿宋" w:hAnsi="仿宋" w:eastAsia="仿宋" w:cs="仿宋"/>
          <w:b w:val="0"/>
          <w:bCs w:val="0"/>
          <w:spacing w:val="-4"/>
          <w:sz w:val="32"/>
          <w:szCs w:val="32"/>
          <w:lang w:eastAsia="zh-CN"/>
        </w:rPr>
        <w:t>下达</w:t>
      </w:r>
      <w:r>
        <w:rPr>
          <w:rStyle w:val="19"/>
          <w:rFonts w:hint="eastAsia" w:ascii="仿宋" w:hAnsi="仿宋" w:eastAsia="仿宋" w:cs="仿宋"/>
          <w:b w:val="0"/>
          <w:bCs w:val="0"/>
          <w:spacing w:val="-4"/>
          <w:sz w:val="32"/>
          <w:szCs w:val="32"/>
        </w:rPr>
        <w:t>预算资金为2796万元、根据喀地财农【喀地财农〔2024〕】9号文件，</w:t>
      </w:r>
      <w:r>
        <w:rPr>
          <w:rStyle w:val="19"/>
          <w:rFonts w:hint="eastAsia" w:ascii="仿宋" w:hAnsi="仿宋" w:eastAsia="仿宋" w:cs="仿宋"/>
          <w:b w:val="0"/>
          <w:bCs w:val="0"/>
          <w:spacing w:val="-4"/>
          <w:sz w:val="32"/>
          <w:szCs w:val="32"/>
          <w:lang w:eastAsia="zh-CN"/>
        </w:rPr>
        <w:t>下达</w:t>
      </w:r>
      <w:r>
        <w:rPr>
          <w:rStyle w:val="19"/>
          <w:rFonts w:hint="eastAsia" w:ascii="仿宋" w:hAnsi="仿宋" w:eastAsia="仿宋" w:cs="仿宋"/>
          <w:b w:val="0"/>
          <w:bCs w:val="0"/>
          <w:spacing w:val="-4"/>
          <w:sz w:val="32"/>
          <w:szCs w:val="32"/>
        </w:rPr>
        <w:t>预算资金为532万元、根据喀地财农【喀地财农〔2024〕】13号文件，</w:t>
      </w:r>
      <w:r>
        <w:rPr>
          <w:rStyle w:val="19"/>
          <w:rFonts w:hint="eastAsia" w:ascii="仿宋" w:hAnsi="仿宋" w:eastAsia="仿宋" w:cs="仿宋"/>
          <w:b w:val="0"/>
          <w:bCs w:val="0"/>
          <w:spacing w:val="-4"/>
          <w:sz w:val="32"/>
          <w:szCs w:val="32"/>
          <w:lang w:eastAsia="zh-CN"/>
        </w:rPr>
        <w:t>下达</w:t>
      </w:r>
      <w:r>
        <w:rPr>
          <w:rStyle w:val="19"/>
          <w:rFonts w:hint="eastAsia" w:ascii="仿宋" w:hAnsi="仿宋" w:eastAsia="仿宋" w:cs="仿宋"/>
          <w:b w:val="0"/>
          <w:bCs w:val="0"/>
          <w:spacing w:val="-4"/>
          <w:sz w:val="32"/>
          <w:szCs w:val="32"/>
        </w:rPr>
        <w:t>预算资金为305万元。共安排下达资金3633万元，为中央资金，最终确定项目资金总数为3633万元。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此项目根据根据喀地财农【喀地财农〔2023〕】35号文件，</w:t>
      </w:r>
      <w:r>
        <w:rPr>
          <w:rStyle w:val="19"/>
          <w:rFonts w:hint="eastAsia" w:ascii="仿宋" w:hAnsi="仿宋" w:eastAsia="仿宋" w:cs="仿宋"/>
          <w:b w:val="0"/>
          <w:bCs w:val="0"/>
          <w:spacing w:val="-4"/>
          <w:sz w:val="32"/>
          <w:szCs w:val="32"/>
          <w:lang w:eastAsia="zh-CN"/>
        </w:rPr>
        <w:t>下达</w:t>
      </w:r>
      <w:r>
        <w:rPr>
          <w:rStyle w:val="19"/>
          <w:rFonts w:hint="eastAsia" w:ascii="仿宋" w:hAnsi="仿宋" w:eastAsia="仿宋" w:cs="仿宋"/>
          <w:b w:val="0"/>
          <w:bCs w:val="0"/>
          <w:spacing w:val="-4"/>
          <w:sz w:val="32"/>
          <w:szCs w:val="32"/>
        </w:rPr>
        <w:t>预算资金为2796万元、根据喀地财农【喀地财农〔2024〕】9号文件，</w:t>
      </w:r>
      <w:r>
        <w:rPr>
          <w:rStyle w:val="19"/>
          <w:rFonts w:hint="eastAsia" w:ascii="仿宋" w:hAnsi="仿宋" w:eastAsia="仿宋" w:cs="仿宋"/>
          <w:b w:val="0"/>
          <w:bCs w:val="0"/>
          <w:spacing w:val="-4"/>
          <w:sz w:val="32"/>
          <w:szCs w:val="32"/>
          <w:lang w:eastAsia="zh-CN"/>
        </w:rPr>
        <w:t>下达</w:t>
      </w:r>
      <w:r>
        <w:rPr>
          <w:rStyle w:val="19"/>
          <w:rFonts w:hint="eastAsia" w:ascii="仿宋" w:hAnsi="仿宋" w:eastAsia="仿宋" w:cs="仿宋"/>
          <w:b w:val="0"/>
          <w:bCs w:val="0"/>
          <w:spacing w:val="-4"/>
          <w:sz w:val="32"/>
          <w:szCs w:val="32"/>
        </w:rPr>
        <w:t>预算资金为532万元、根据喀地财农【喀地财农〔2024〕】13号文件，</w:t>
      </w:r>
      <w:r>
        <w:rPr>
          <w:rStyle w:val="19"/>
          <w:rFonts w:hint="eastAsia" w:ascii="仿宋" w:hAnsi="仿宋" w:eastAsia="仿宋" w:cs="仿宋"/>
          <w:b w:val="0"/>
          <w:bCs w:val="0"/>
          <w:spacing w:val="-4"/>
          <w:sz w:val="32"/>
          <w:szCs w:val="32"/>
          <w:lang w:eastAsia="zh-CN"/>
        </w:rPr>
        <w:t>下达</w:t>
      </w:r>
      <w:r>
        <w:rPr>
          <w:rStyle w:val="19"/>
          <w:rFonts w:hint="eastAsia" w:ascii="仿宋" w:hAnsi="仿宋" w:eastAsia="仿宋" w:cs="仿宋"/>
          <w:b w:val="0"/>
          <w:bCs w:val="0"/>
          <w:spacing w:val="-4"/>
          <w:sz w:val="32"/>
          <w:szCs w:val="32"/>
        </w:rPr>
        <w:t>预算资金为305万元。共安排下达资金3633万元，为中央资金，最终确定项目资金总数为3633万元。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财政金额拨款，共补贴各类农机具2705台。其中，农机购置补贴机械2419台，农机报废补贴机械286台，通过实施此项目将有效提升农业机械化生产社会化服务水平，促进农机科技进步作用明显，调动农民购买、使用农机的积极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根据《喀地财行【2023】96号》文件精神和要求，成立项目领导小组，通过数据测算，来编制有效的项目实施方案和项目支出计划，并与项目实施负责人沟通，了解项目的内容、操作流程、管理机制、资金使用方向等情况；进行项目支出部门评价各项工作信息采集，了解项目设置背景及资金使用等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本项目朱永东作为项目负责人，负责该项目的全盘组织实施；项目实施人麦尔旦负责核定数据审批；财务人员哈尼孜木按照项目实施人员提供的依据和发票等按项目进度向财政申请支付资金；通过业务与财务工作共同配合衔接，形成了明确责任分工的项目管理制度，并按照预算绩效管理办法等相关制度办法严格落实各环节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验收阶段的具体工作：本项目坚持项目验收制度，遵照属地管理“谁审批、谁验收”的原则。由单位组织项目验收领导小组，负责项目验收。通过严格的验收，可以确保项目交付的成果与预期目标一致。</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2024年度农机购置与应用补贴项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w:t>
      </w:r>
      <w:r>
        <w:rPr>
          <w:rStyle w:val="19"/>
          <w:rFonts w:hint="eastAsia" w:ascii="仿宋" w:hAnsi="仿宋" w:eastAsia="仿宋" w:cs="仿宋"/>
          <w:b w:val="0"/>
          <w:bCs w:val="0"/>
          <w:spacing w:val="-4"/>
          <w:sz w:val="32"/>
          <w:szCs w:val="32"/>
          <w:lang w:eastAsia="zh-CN"/>
        </w:rPr>
        <w:t>指标</w:t>
      </w:r>
      <w:r>
        <w:rPr>
          <w:rStyle w:val="19"/>
          <w:rFonts w:hint="eastAsia" w:ascii="仿宋" w:hAnsi="仿宋" w:eastAsia="仿宋" w:cs="仿宋"/>
          <w:b w:val="0"/>
          <w:bCs w:val="0"/>
          <w:spacing w:val="-4"/>
          <w:sz w:val="32"/>
          <w:szCs w:val="32"/>
        </w:rPr>
        <w:t>下设项目效益及满意度2个二级指标。项目绩效评价体系详见附件1。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2024年度农机购置与应用补贴项目绩效评价指标体系及综合评分表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我单位根据本项目资金的性质和特点，选用比较法、因素分析法、公众评判法以及文献法对项目进行评价，旨在通过综合分析影响绩效目标实现、实施效果的内外部因素，从而评价本项目绩效。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①资金到位率：比较法，资金到位率预期指标值应为100%，通过实际计算，分析实际完成值和预期指标值之间的差距和原因。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②预算执行率：比较法，预算执行率预期指标值应为100%，通过实际计算，分析实际完成值和预期指标值之间的差距和原因。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⑤制度执行有效性：比较法，结合项目实际实施过程性文件，根据已建设的财务管理制度和项目管理制度综合分析制度执行的有效性。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项目效益：公众评判法、实地勘察法，通过实地勘察、问卷及抽样调查等方式评价本项目实施后社会公众或服务对象对项目实施效果的满意程度。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计划标准：指我单位以预先制定的目标、计划、预算、定额等作为评价标准，主要为实施方案、资金文件、会议纪要等相关内容为主，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伽师县农机中心2024年农机购置补贴项目，我单位以预先制定的目标、计划、预算等作为评价标准，主要为实施方案、资金文件、会议纪要等相关内容为主，故采用计划标准评价该项目。</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朱永东任评价组组长，绩效评价工作职责为负责全盘工作。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阿不都热依木江·卡地尔任评价组副组长，绩效评价工作职责为对项目实施情况进行实地调查。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热孜完姑·依明任评价组成员，绩效评价工作职责为负责资料审核等工作。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通过实施伽师县农机中心2024年农机购置补贴项目产生提升农业机械化生产社会化服务水平效益。项目实施主要通过项目决策、项目过程、项目产出以及项目效益等方面进行评价，其中：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项目决策：该项目主要通过2023】96号文件立项，项目实施符合相关文件要求，项目立项依据充分，立项程序规范。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项目过程：伽师县农机中心2024年农机购置补贴项目预算安排 3633万元，实际支出3633万元，预算执行率100%。项目资金使用合规，项目财务管理制度健全，财务监控到位，所有资金支付均按照国库集中支付制度严格执行，现有项目管理制度执行情况良好。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项目过程：项目实施补贴机具数量2419台，报废农机补贴台数286台。</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项目效益：项目实施有效提升了农业机械化水平。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度农机购置与应用补贴项目进行客观评价，最终评分结果：评价总分100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指标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权重  </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得分率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实际得分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结合《伽师县农业农村机械化发展中心办“三定”方案》第九条，负责农业机械化的宣传工作，指导各类农机专业协会等社会团体为农村经济发展服务的职责,并组织实施。围绕2023年度工作重点和工作计划制定经费预算。</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立项是根据关于印发《2021年——2023年农机购置补贴实施指导意见》的通知，农办计财〔2021年〕8号文件第一条，为指导各地规范实施农机购置补贴政策，充分发挥政策效益，推动农机机械化向全程全面高质高效转型升级，有效支撑粮食安全、重要农产品有效提供和农民增收，促进农业高质高效发展，助力全面推进乡村振兴、加快农业农村现代化。故本项目立项符合国家法律法规、国民经济和社会发展规划和相关政策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的审批文件及材料有《中共中央国务院关于全面推进乡村振兴和加快农业农村现代化的意见》提出》“提高农机装备自主研制能力，支持高端智能、丘陵山区农机装备研发制造，加大购置补贴力度”等要求。《中华人民共和国国民经济和社会发展第十四个五年规划和2035年远景目标纲要》将“农业机械化”列入现代农业农村建设工程，明确了一系列推进措施。《“十四个五”推进农业农村现代化规划》部署推进农业机械化全程全面发展。“十四五”时期，要立足于全面实施乡村振兴战略和基本实现农业农村现代化的战略部署，准确把握新阶段农业机械化的历史方位，深入贯彻落实党中央、国务院的要求，积极应对面和高质量发展。故本项目立项符合行业发展规划和政策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③项目立项是根据《伽师县农业农村机械化发展中心办“三定”方案》中规划并组织实施农业产业化，农业开发，生态环境建设和基础设施建设中的农业机械化项目。故项目立项与部门职责范围相符，属</w:t>
      </w:r>
      <w:r>
        <w:rPr>
          <w:rStyle w:val="19"/>
          <w:rFonts w:hint="eastAsia" w:ascii="仿宋" w:hAnsi="仿宋" w:eastAsia="仿宋" w:cs="仿宋"/>
          <w:b w:val="0"/>
          <w:bCs w:val="0"/>
          <w:spacing w:val="-4"/>
          <w:sz w:val="32"/>
          <w:szCs w:val="32"/>
          <w:lang w:eastAsia="zh-CN"/>
        </w:rPr>
        <w:t>于</w:t>
      </w:r>
      <w:r>
        <w:rPr>
          <w:rStyle w:val="19"/>
          <w:rFonts w:hint="eastAsia" w:ascii="仿宋" w:hAnsi="仿宋" w:eastAsia="仿宋" w:cs="仿宋"/>
          <w:b w:val="0"/>
          <w:bCs w:val="0"/>
          <w:spacing w:val="-4"/>
          <w:sz w:val="32"/>
          <w:szCs w:val="32"/>
        </w:rPr>
        <w:t>部门履职所需得0.5分。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④项目属于公共财政支持范围，符合中央、地方事权支出责任划分原则得0.5分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⑤项目与相关部门同类项目或部门内部相关项目不重复，得0.5分。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①项目根据决策依据编制工作计划和经费预算，经过与单位分管领导主任朱永东进行沟通、筛选确定经费预算计划，上报单位主任会议研究确定最终预算方案，严格按照规定的程序申请设立，得1分。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②项目的审批文件及材料有《关于伽师县农机中心2024年农机购置补贴项目的申请》、《关于研究伽师县农业农村机械化发展中心相关事宜的会议纪要》等，符合相关要求，得0.5分。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事前已经过必要的可行性研究、专家论证、风险评估、绩效评估、集体决策，文件及材料有《关于研究伽师县农业农村机械化发展中心相关事宜的会议纪要》、《伽师县农机中心2024年农机购置补贴项目实施方案》等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（3）绩效目标合理性：我单位对本项目制定了实施方案，明确了总体思路及目标、并对任务进行了详细分解，对目标进行了细化。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①项目严格按照《2024年自治区分行业分领域绩效指标体系》、《伽师县农机中心2023年农机购置补贴项目实施方案》设置了《项目支出绩效目标表》得0.5分。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②项目绩效目标中设立了农机购置补贴机械数量，农机购置补贴机械费用等核心指标内容，与本项目实际工作内容相关，得1分；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③项目预期产出效益和效果是</w:t>
      </w:r>
      <w:r>
        <w:rPr>
          <w:rStyle w:val="19"/>
          <w:rFonts w:hint="eastAsia" w:ascii="仿宋" w:hAnsi="仿宋" w:eastAsia="仿宋" w:cs="仿宋"/>
          <w:b w:val="0"/>
          <w:bCs w:val="0"/>
          <w:spacing w:val="-4"/>
          <w:sz w:val="32"/>
          <w:szCs w:val="32"/>
          <w:lang w:eastAsia="zh-CN"/>
        </w:rPr>
        <w:t>否</w:t>
      </w:r>
      <w:r>
        <w:rPr>
          <w:rStyle w:val="19"/>
          <w:rFonts w:hint="eastAsia" w:ascii="仿宋" w:hAnsi="仿宋" w:eastAsia="仿宋" w:cs="仿宋"/>
          <w:b w:val="0"/>
          <w:bCs w:val="0"/>
          <w:spacing w:val="-4"/>
          <w:sz w:val="32"/>
          <w:szCs w:val="32"/>
        </w:rPr>
        <w:t>符合正常的业绩水平得0.5分。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支出绩效目标表》、《财政专项资金审批表》、《关于下达自治区喀地财农【2023】96号文件，喀地财农【2023】11号文件通知》、《伽师县农业农村机械化发展中心专项资金管理办法》此项目根据根据喀地财农【喀地财农〔2023〕】35号文件，</w:t>
      </w:r>
      <w:r>
        <w:rPr>
          <w:rStyle w:val="19"/>
          <w:rFonts w:hint="eastAsia" w:ascii="仿宋" w:hAnsi="仿宋" w:eastAsia="仿宋" w:cs="仿宋"/>
          <w:b w:val="0"/>
          <w:bCs w:val="0"/>
          <w:spacing w:val="-4"/>
          <w:sz w:val="32"/>
          <w:szCs w:val="32"/>
          <w:lang w:eastAsia="zh-CN"/>
        </w:rPr>
        <w:t>下达</w:t>
      </w:r>
      <w:r>
        <w:rPr>
          <w:rStyle w:val="19"/>
          <w:rFonts w:hint="eastAsia" w:ascii="仿宋" w:hAnsi="仿宋" w:eastAsia="仿宋" w:cs="仿宋"/>
          <w:b w:val="0"/>
          <w:bCs w:val="0"/>
          <w:spacing w:val="-4"/>
          <w:sz w:val="32"/>
          <w:szCs w:val="32"/>
        </w:rPr>
        <w:t>预算资金为2796万元、根据喀地财农【喀地财农〔2024〕】9号文件，</w:t>
      </w:r>
      <w:r>
        <w:rPr>
          <w:rStyle w:val="19"/>
          <w:rFonts w:hint="eastAsia" w:ascii="仿宋" w:hAnsi="仿宋" w:eastAsia="仿宋" w:cs="仿宋"/>
          <w:b w:val="0"/>
          <w:bCs w:val="0"/>
          <w:spacing w:val="-4"/>
          <w:sz w:val="32"/>
          <w:szCs w:val="32"/>
          <w:lang w:eastAsia="zh-CN"/>
        </w:rPr>
        <w:t>下达</w:t>
      </w:r>
      <w:r>
        <w:rPr>
          <w:rStyle w:val="19"/>
          <w:rFonts w:hint="eastAsia" w:ascii="仿宋" w:hAnsi="仿宋" w:eastAsia="仿宋" w:cs="仿宋"/>
          <w:b w:val="0"/>
          <w:bCs w:val="0"/>
          <w:spacing w:val="-4"/>
          <w:sz w:val="32"/>
          <w:szCs w:val="32"/>
        </w:rPr>
        <w:t>预算资金为532万元、根据喀地财农【喀地财农〔2024〕】13号文件，</w:t>
      </w:r>
      <w:r>
        <w:rPr>
          <w:rStyle w:val="19"/>
          <w:rFonts w:hint="eastAsia" w:ascii="仿宋" w:hAnsi="仿宋" w:eastAsia="仿宋" w:cs="仿宋"/>
          <w:b w:val="0"/>
          <w:bCs w:val="0"/>
          <w:spacing w:val="-4"/>
          <w:sz w:val="32"/>
          <w:szCs w:val="32"/>
          <w:lang w:eastAsia="zh-CN"/>
        </w:rPr>
        <w:t>下达</w:t>
      </w:r>
      <w:r>
        <w:rPr>
          <w:rStyle w:val="19"/>
          <w:rFonts w:hint="eastAsia" w:ascii="仿宋" w:hAnsi="仿宋" w:eastAsia="仿宋" w:cs="仿宋"/>
          <w:b w:val="0"/>
          <w:bCs w:val="0"/>
          <w:spacing w:val="-4"/>
          <w:sz w:val="32"/>
          <w:szCs w:val="32"/>
        </w:rPr>
        <w:t>预算资金为305万元。共安排下达资金3633万元，等相关资料，本项目预算确定金额、预算批复的项目投资额都为3633万元，故绩效目标金额与预算确定的项目投资额或资金量相匹配，得1分。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①本项目已将项目绩效目标细化分解为具体的绩效指标，得0.5分。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②本项目绩效目标通过清晰、可衡量的指标值予以体现，得1分。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③本项目与项目目标任务数及计划数相对应，得0.5分。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（5）预算编制科学性：①根据《关于研究伽师县农业农村机械化发展中心相关事宜的会议纪要》，本项目预算编制经过科学论证，得0.5分。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②根据《财政专项资金审批表》、《伽师县2023年农机购置补贴项目实施方案》、《专项资金支出会议纪要》、《关于下达自治区农机经费的通知》，本项目预算内容与项目内容匹配，得0.5分。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③本项目的预算额度测算依据充分，严格按照标准编制，得1分。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④本项目预算确定的项目投资额及资金量与工作任务相匹配，得1分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（6）资金分配合理性：①本项目以《喀地财行【2023】2号》文件为依据进行资金分配，预算资金分配依据充分，得1分。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②根据本项目《伽师县2023年农机购置补贴项目实施方案》、《财政专项资金审批表》资金分配额度合理，与我单位实际情况相适应，根据评分标准得1分。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经查证《伽师县农机中心2024年农机购置补贴项目资金申请报告》，预算安排总额为3633万元，实际到位3633万元，资金到位率100%。资金到位率=（实际到位资金/预算资金）×100%=（3633万元/3633万元）×100%=100%，得3分。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（2）预算执行率：本项目预算编制较为详细，项目资金支出总体能够按照预算执行。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经查证支付凭证、资金申请报告资料，该项目实际到位资金为3633万元，实际支出资金为3633万元，预算执行率=（实际支出资金/实际到位资金）×100%=（3633万元/3633万元）×100%=100%，得3分。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（3）资金使用合规性：①查证项目的支付凭证，项目资金的使用依据《伽师县农业农村机械化发展中心专项资金管理办法》“专款专用的使用要求”，得1分。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②资金的拨付有较为完整的审批程序和手续，得1分。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③经查证项目支付凭证等资料，项目资金使用符合项目预算批复和合同规定的用途，得1分。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④经查证，项目资金使用不存在截留、挤占、挪用、虚列支出等情况，得1分。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综上，该指标满分4分，根据评分标准得4分。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（4）管理制度健全性：①查证项目的支付凭证，项目资金的使用依据《伽师县农业农村机械化发展中心专项资金管理办法》“专款专用的使用要求”，得2分。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②资金的拨付有较为完整的审批程序和手续，得1分。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③经查证项目支付凭证等资料，项目资金使用符合项目预算批复和合同规定的用途，得1分。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④经查证，项目资金使用不存在截留、挤占、挪用、虚列支出等情况，得1分。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综上，该指标满分5分，根据评分标准得5分。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（5）制度执行有效性：①我单位制定了《伽师县农业农机械化发展中心预算绩效管理工作实施办法》，《伽师县专项资金收支业务管理制度收支业务管理制度》等健全完整的各项管理制度，得2分。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农机购置补贴机械数量指标，预期指标值为大于等于2419台，实际完成值为2419台，指标完成率为100%，根据评分标准，该指标不扣分，得5分。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农机报废补贴机械数量指标，预期指标值为小于等于286台，实际完成值为286台，指标完成率为100%，与预期目标一致，根据评分标准，该指标不扣分，得5分。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主要农作物机械化率指标，预期指标值为大于等于85%，实际完成值为85%，指标完成率为100%，与预期目标一致，根据评分标准，该指标不扣分，得5分。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补贴覆盖率指标，预期指标值为100%，实际完成值为100%，指标完成率为100%，与预期目标一致，根据评分标准，该指标不扣分，得5分。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年度农机购置补贴资金执行率预期指标值为100%，实际完成值为100%，指标完成率为100%，与预期目标指标一致，根据评分标准，该指标不扣分，得4分。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年度农机购置补贴资金兑付率指标，预期指标值为100%，实际完成值为100%，指标完成率为100%，与预期目标一致，根据评分标准，该指标不扣分，得3分。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项目按计划完成率指标，预期指标值为2024年11月，实际完成值为2024年11月，指标完成率为100%，与预期目标一致，根据评分标准，该指标不扣分，得3分。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补贴机具金额指标，预期指标为小于等于3531.87万元，实际完成值3531.87万元，指标完成率为100%，与预期目标一致，根据评分标准，该指标不扣分，得10分。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补贴金额报废农机指标，预期指标为小于等于101.13万元，实际完成值为101.13万元，指标完成率为100%，与预期目标一致，根据评分标准，该指标不扣分，得5分。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提升农业机械化水平指标，该指标预期指标值为有效提升，实际完成值为有效提升，指标完成率为100%，与预期指标一致，根据评分标准，该指标不扣分，得10分。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对于“满意度指标：受益农户满意度指标，该指标预期指标值为大于等于95%，实际完成值为100%，指标完成率为105%，达到预期目标，根据评分标准，该指标不扣分,得10分。偏差原因：受益农户满意度比预算高。</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伽师县农机中心2024年农机购置补贴项</w:t>
      </w:r>
      <w:r>
        <w:rPr>
          <w:rStyle w:val="19"/>
          <w:rFonts w:hint="eastAsia" w:ascii="仿宋" w:hAnsi="仿宋" w:eastAsia="仿宋" w:cs="仿宋"/>
          <w:b w:val="0"/>
          <w:bCs w:val="0"/>
          <w:spacing w:val="-4"/>
          <w:sz w:val="32"/>
          <w:szCs w:val="32"/>
          <w:lang w:eastAsia="zh-CN"/>
        </w:rPr>
        <w:t>目</w:t>
      </w:r>
      <w:r>
        <w:rPr>
          <w:rStyle w:val="19"/>
          <w:rFonts w:hint="eastAsia" w:ascii="仿宋" w:hAnsi="仿宋" w:eastAsia="仿宋" w:cs="仿宋"/>
          <w:b w:val="0"/>
          <w:bCs w:val="0"/>
          <w:spacing w:val="-4"/>
          <w:sz w:val="32"/>
          <w:szCs w:val="32"/>
        </w:rPr>
        <w:t>预算3633万元，到位3633万元，实际支出3633万元，预算执行率为100%，项目绩效指标总体完成率为100%，偏差率为0，此项目无偏差。</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一是对各项指标和指标值要进一步优化、完善，主要在细化、量化上改进。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二是自评价工作还存在自我审定的局限性，会影响评价质量，容易造成问题的疏漏，在客观性和公正性上说服力不强。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三是缺少带着问题去评价的意识，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四是现场评价的工作量少，后续效益评价具体措施和方法较少。</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1.确定明确的项目目标和绩效指标，在项目开始之前，明确确权项目的目标和期望的绩效水平，并将其转化为可量化的指标。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2.建立高效的项目管理流程，建立合适项目管理流程，包括项目规划，任务分配，进度跟踪，沟通等环节。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3.设定合理的项目预算和资源计划，在项目开始之前，制定项目预算和资源计划，确保项目有足够的资源支持和按计划进行。</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2.项目评价资料有待进一步完</w:t>
      </w:r>
      <w:bookmarkStart w:id="0" w:name="_GoBack"/>
      <w:bookmarkEnd w:id="0"/>
      <w:r>
        <w:rPr>
          <w:rStyle w:val="19"/>
          <w:rFonts w:hint="eastAsia" w:ascii="仿宋" w:hAnsi="仿宋" w:eastAsia="仿宋" w:cs="仿宋"/>
          <w:b w:val="0"/>
          <w:bCs w:val="0"/>
          <w:spacing w:val="-4"/>
          <w:sz w:val="32"/>
          <w:szCs w:val="32"/>
        </w:rPr>
        <w:t>善。项目启动时同步做好档案的归纳与整理，及时整理、收集、汇总，健全档案资料。项目后续管理有待进一步加强和跟踪。</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70E97026"/>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990cc-504f-4659-a960-3f025b368d8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4</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2025-10-21T13:31:50Z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