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伽师县种业发展中心2024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国家、自治区、地区种子法律法规，拟定种子产业发展中长期规划，并组织实施；全面依照《中华人民共和国种子法》、新疆维吾尔自治区实施《中华人民共和国种子法》办法，履行种子生产经营监督执法职能，并负责农作物新品种的引进、选育、推广和管理工作；负责全县农作物用种安全，组织开展农作物品种引进、试验比对、鉴定、示范、展示，筛选优良品种进行推广应用；组织开展农作物品种审定前的试验等工作，做好农作物种子产供需预测预警；开展农作物种子质量标准、检验、监测、质量认定和品种真实性鉴定工作；协助农业农村局抓好种子工程工作；负责种子行业信息统计和信息平台建设，以及种业信息的宣传；负责种子专业技术人员技术培训及技术交流；落实国家救灾备荒种子储备任务、制定应急供种预案、规范储备管理、更新及检测储备种子等工作；</w:t>
      </w:r>
      <w:r>
        <w:rPr>
          <w:rFonts w:hint="eastAsia" w:ascii="仿宋_GB2312" w:hAnsi="仿宋_GB2312" w:eastAsia="仿宋_GB2312"/>
          <w:sz w:val="32"/>
          <w:lang w:eastAsia="zh-CN"/>
        </w:rPr>
        <w:t>为</w:t>
      </w:r>
      <w:r>
        <w:rPr>
          <w:rFonts w:ascii="仿宋_GB2312" w:hAnsi="仿宋_GB2312" w:eastAsia="仿宋_GB2312"/>
          <w:sz w:val="32"/>
        </w:rPr>
        <w:t>种子市场准入、种子市场监管、经营体制改革提供技术服务工作。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伽师县种业发展中心2024年度，实有人数14人，其中：在职人员9人，增加0人；离休人员0人，增加0人；退休人员5人,增加0人。</w:t>
      </w:r>
    </w:p>
    <w:p>
      <w:pPr>
        <w:spacing w:line="580" w:lineRule="exact"/>
        <w:ind w:firstLine="640"/>
        <w:jc w:val="both"/>
      </w:pPr>
      <w:r>
        <w:rPr>
          <w:rFonts w:ascii="仿宋_GB2312" w:hAnsi="仿宋_GB2312" w:eastAsia="仿宋_GB2312"/>
          <w:sz w:val="32"/>
        </w:rPr>
        <w:t>伽师县种业发展中心无下属预算单位，下设2个科室，分别是：办公室、业务股。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2024年度收入总计181.74万元，</w:t>
      </w:r>
      <w:r>
        <w:rPr>
          <w:rFonts w:ascii="仿宋_GB2312" w:hAnsi="仿宋_GB2312" w:eastAsia="仿宋_GB2312"/>
          <w:b w:val="0"/>
          <w:sz w:val="32"/>
        </w:rPr>
        <w:t>其中：本年收入合计181.74万元，使用非财政拨款结余（含专用结余）0.00万元，年初结转和结余0.00万元。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2024年度支出总计181.74万元，</w:t>
      </w:r>
      <w:r>
        <w:rPr>
          <w:rFonts w:ascii="仿宋_GB2312" w:hAnsi="仿宋_GB2312" w:eastAsia="仿宋_GB2312"/>
          <w:b w:val="0"/>
          <w:sz w:val="32"/>
        </w:rPr>
        <w:t>其中：本年支出合计181.74万元，结余分配0.00万元，年末结转和结余0.00万元。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收入支出总体与上年相比，减少750.01万元，下降80.49%，主要原因是：本年减少伽师县种业能力提升项目，导致经费较上年减少。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本年收入181.74万元，</w:t>
      </w:r>
      <w:r>
        <w:rPr>
          <w:rFonts w:ascii="仿宋_GB2312" w:hAnsi="仿宋_GB2312" w:eastAsia="仿宋_GB2312"/>
          <w:b w:val="0"/>
          <w:sz w:val="32"/>
        </w:rPr>
        <w:t>其中：财政拨款收入181.74万元，占100.00%；上级补助收入0.00万元，占0.00%；事业收入0.00万元，占0.00%；经营收入0.00万元，占0.00%；附属单位上缴收入0.00万元，占0.00%；其他收入0.00万元，占0.00%。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本年支出181.74万元，</w:t>
      </w:r>
      <w:r>
        <w:rPr>
          <w:rFonts w:ascii="仿宋_GB2312" w:hAnsi="仿宋_GB2312" w:eastAsia="仿宋_GB2312"/>
          <w:b w:val="0"/>
          <w:sz w:val="32"/>
        </w:rPr>
        <w:t>其中：基本支出161.74万元，占89.00%；项目支出20.00万元，占11.01%；上缴上级支出0.00万元，占0.00%；经营支出0.00万元，占0.00%；对附属单位补助支出0.00万元，占0.00%。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2024年度财政拨款收入总计181.74万元，</w:t>
      </w:r>
      <w:r>
        <w:rPr>
          <w:rFonts w:ascii="仿宋_GB2312" w:hAnsi="仿宋_GB2312" w:eastAsia="仿宋_GB2312"/>
          <w:b w:val="0"/>
          <w:sz w:val="32"/>
        </w:rPr>
        <w:t>其中：年初财政拨款结转和结余0.00万元，本年财政拨款收入181.74万元。</w:t>
      </w:r>
      <w:r>
        <w:rPr>
          <w:rFonts w:ascii="仿宋_GB2312" w:hAnsi="仿宋_GB2312" w:eastAsia="仿宋_GB2312"/>
          <w:b/>
          <w:sz w:val="32"/>
        </w:rPr>
        <w:t>财政拨款支出总计181.74万元，</w:t>
      </w:r>
      <w:r>
        <w:rPr>
          <w:rFonts w:ascii="仿宋_GB2312" w:hAnsi="仿宋_GB2312" w:eastAsia="仿宋_GB2312"/>
          <w:b w:val="0"/>
          <w:sz w:val="32"/>
        </w:rPr>
        <w:t>其中：年末财政拨款结转和结余0.00万元，本年财政拨款支出181.74万元。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减少750.01万元，下降80.49%，主要原因是：本年减少伽师县种业能力提升项目，导致经费较上年减少。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年初预算数161.01万元，决算数181.74万元，预决算差异率12.87%，主要原因是：年中追加自治区棉花现代农业（棉花）产业技术体系项目，导致预决算存在差异。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2024年度一般公共预算财政拨款支出181.74万元，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减少750.01万元，下降80.49%，主要原因是：本年减少伽师县种业能力提升项目，导致经费较上年减少。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年初预算数161.01万元，决算数181.74万元，预决算差异率12.87%，主要原因是：年中追加自治区棉花现代农业（棉花）产业技术体系项目，导致预决算存在差异。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1.科学技术支出(类)20.00万元,占11.01%。</w:t>
      </w:r>
    </w:p>
    <w:p>
      <w:pPr>
        <w:spacing w:line="580" w:lineRule="exact"/>
        <w:ind w:firstLine="640"/>
        <w:jc w:val="both"/>
      </w:pPr>
      <w:r>
        <w:rPr>
          <w:rFonts w:ascii="仿宋_GB2312" w:hAnsi="仿宋_GB2312" w:eastAsia="仿宋_GB2312"/>
          <w:b w:val="0"/>
          <w:sz w:val="32"/>
        </w:rPr>
        <w:t>2.社会保障和就业支出(类)22.19万元,占12.21%。</w:t>
      </w:r>
    </w:p>
    <w:p>
      <w:pPr>
        <w:spacing w:line="580" w:lineRule="exact"/>
        <w:ind w:firstLine="640"/>
        <w:jc w:val="both"/>
      </w:pPr>
      <w:r>
        <w:rPr>
          <w:rFonts w:ascii="仿宋_GB2312" w:hAnsi="仿宋_GB2312" w:eastAsia="仿宋_GB2312"/>
          <w:b w:val="0"/>
          <w:sz w:val="32"/>
        </w:rPr>
        <w:t>3.卫生健康支出(类)7.59万元,占4.18%。</w:t>
      </w:r>
    </w:p>
    <w:p>
      <w:pPr>
        <w:spacing w:line="580" w:lineRule="exact"/>
        <w:ind w:firstLine="640"/>
        <w:jc w:val="both"/>
      </w:pPr>
      <w:r>
        <w:rPr>
          <w:rFonts w:ascii="仿宋_GB2312" w:hAnsi="仿宋_GB2312" w:eastAsia="仿宋_GB2312"/>
          <w:b w:val="0"/>
          <w:sz w:val="32"/>
        </w:rPr>
        <w:t>4.农林水支出(类)119.56万元,占65.79%。</w:t>
      </w:r>
    </w:p>
    <w:p>
      <w:pPr>
        <w:spacing w:line="580" w:lineRule="exact"/>
        <w:ind w:firstLine="640"/>
        <w:jc w:val="both"/>
      </w:pPr>
      <w:r>
        <w:rPr>
          <w:rFonts w:ascii="仿宋_GB2312" w:hAnsi="仿宋_GB2312" w:eastAsia="仿宋_GB2312"/>
          <w:b w:val="0"/>
          <w:sz w:val="32"/>
        </w:rPr>
        <w:t>5.住房保障支出(类)12.40万元,占6.82%。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20.00万元，比上年决算增加20.00万元，增长100.00%,主要原因是：本年功能科目调整，自治区棉花现代农业（棉花）产业技术体系项目上年度在其他农业农村支出科目列支，本年调整至本科目列支，相应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7.07万元，比上年决算增加2.20万元，增长45.17%,主要原因是：上年度年中退休1人，发放半年退休经费，本年全年发放，相应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15.12万元，比上年决算减少0.38万元，下降2.45%,主要原因是：上年度年中退休1人，发放半年养老保险缴费支出，本年无该人养老保险缴费支出，相应支出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21.48万元，下降100.00%,主要原因是：本年无新增退休人员，职业年金缴费较上年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6.42万元，比上年决算减少0.14万元，下降2.13%,主要原因是：上年度年中退休1人，发放半年医疗保险缴费支出，本年无该人医疗保险缴费支出，相应支出减少。</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1.17万元，比上年决算减少0.07万元，下降5.65%,主要原因是：上年度年中退休1人，发放半年公务员医疗补助保险缴费支出，本年无该人公务员医疗补助保险缴费支出，相应支出减少。</w:t>
      </w:r>
    </w:p>
    <w:p>
      <w:pPr>
        <w:spacing w:line="580" w:lineRule="exact"/>
        <w:ind w:firstLine="640"/>
        <w:jc w:val="both"/>
      </w:pPr>
      <w:r>
        <w:rPr>
          <w:rFonts w:ascii="仿宋_GB2312" w:hAnsi="仿宋_GB2312" w:eastAsia="仿宋_GB2312"/>
          <w:b w:val="0"/>
          <w:sz w:val="32"/>
        </w:rPr>
        <w:t>7.农林水支出(类)农业农村(款)事业运行(项):支出决算数为119.56万元，比上年决算减少16.20万元，下降11.93%,主要原因是：本年在职人员调入调出，人员职级不同，工资基数不同，导致人员经费较上年减少。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8.农林水支出(类)农业农村(款)农业生产发展(项):支出决算数为0.00万元，比上年决算减少713.78万元，下降100.00%,主要原因是：本年减少伽师县种业能力提升项目。</w:t>
      </w:r>
    </w:p>
    <w:p>
      <w:pPr>
        <w:spacing w:line="580" w:lineRule="exact"/>
        <w:ind w:firstLine="640"/>
        <w:jc w:val="both"/>
      </w:pPr>
      <w:r>
        <w:rPr>
          <w:rFonts w:ascii="仿宋_GB2312" w:hAnsi="仿宋_GB2312" w:eastAsia="仿宋_GB2312"/>
          <w:b w:val="0"/>
          <w:sz w:val="32"/>
        </w:rPr>
        <w:t>9.农林水支出(类)农业农村(款)其他农业农村支出(项):支出决算数为0.00万元，比上年决算减少20.00万元，下降100.00%,主要原因是：本年功能科目调整，自治区棉花现代农业（棉花）产业技术体系项目上年度在本科目列支，本年调整至其他科技条件与服务支出科目列支，相应支出减少。</w:t>
      </w:r>
    </w:p>
    <w:p>
      <w:pPr>
        <w:spacing w:line="580" w:lineRule="exact"/>
        <w:ind w:firstLine="640"/>
        <w:jc w:val="both"/>
      </w:pPr>
      <w:r>
        <w:rPr>
          <w:rFonts w:ascii="仿宋_GB2312" w:hAnsi="仿宋_GB2312" w:eastAsia="仿宋_GB2312"/>
          <w:b w:val="0"/>
          <w:sz w:val="32"/>
        </w:rPr>
        <w:t>10.住房保障支出(类)住房改革支出(款)住房公积金(项):支出决算数为12.40万元，比上年决算减少0.17万元，下降1.35%,主要原因是：上年度年中退休1人，发放半年住房公积金缴费支出，本年无该人住房公积金缴费支出，相应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2024年度一般公共预算财政拨款基本支出161.74万元，其中：</w:t>
      </w:r>
      <w:r>
        <w:rPr>
          <w:rFonts w:ascii="仿宋_GB2312" w:hAnsi="仿宋_GB2312" w:eastAsia="仿宋_GB2312"/>
          <w:b/>
          <w:sz w:val="32"/>
        </w:rPr>
        <w:t>人员经费156.63万元，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pPr>
        <w:spacing w:line="580" w:lineRule="exact"/>
        <w:ind w:firstLine="640"/>
        <w:jc w:val="both"/>
      </w:pPr>
      <w:r>
        <w:rPr>
          <w:rFonts w:ascii="仿宋_GB2312" w:hAnsi="仿宋_GB2312" w:eastAsia="仿宋_GB2312"/>
          <w:b/>
          <w:sz w:val="32"/>
        </w:rPr>
        <w:t>公用经费5.11万元，</w:t>
      </w:r>
      <w:r>
        <w:rPr>
          <w:rFonts w:ascii="仿宋_GB2312" w:hAnsi="仿宋_GB2312" w:eastAsia="仿宋_GB2312"/>
          <w:b w:val="0"/>
          <w:sz w:val="32"/>
        </w:rPr>
        <w:t>包括：办公费、邮电费、差旅费、公务接待费、公务用车运行维护费。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2024年度财政拨款“三公”经费支出1.87万元，</w:t>
      </w:r>
      <w:r>
        <w:rPr>
          <w:rFonts w:ascii="仿宋_GB2312" w:hAnsi="仿宋_GB2312" w:eastAsia="仿宋_GB2312"/>
          <w:b w:val="0"/>
          <w:sz w:val="32"/>
        </w:rPr>
        <w:t>比上年减少0.04万元，下降2.09%，主要原因是：严格落实中央八项规定精神，厉行节约，减少公务接待费。其中：因公出国（境）费支出0.00万元，占0.00%，比上年增加0.00万元，增长0.00%，主要原因是：2023年与2024年均未安排因公出国（境）费支出。公务用车购置及运行维护费支出1.80万元，占96.26%，比上年增加0.00万元，增长0.00%，主要原因是：本单位公务用车运行维护费与上年一致无变化。公务接待费支出0.07万元，占3.74%，比上年减少0.04万元，下降36.36%，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公务用车维护维修费、燃油费，保险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公务接待费0.07万元，开支内容包括因自治区</w:t>
      </w:r>
      <w:r>
        <w:rPr>
          <w:rFonts w:hint="eastAsia" w:ascii="仿宋_GB2312" w:hAnsi="仿宋_GB2312" w:eastAsia="仿宋_GB2312"/>
          <w:b w:val="0"/>
          <w:sz w:val="32"/>
          <w:lang w:eastAsia="zh-CN"/>
        </w:rPr>
        <w:t>农业农村厅</w:t>
      </w:r>
      <w:r>
        <w:rPr>
          <w:rFonts w:ascii="仿宋_GB2312" w:hAnsi="仿宋_GB2312" w:eastAsia="仿宋_GB2312"/>
          <w:b w:val="0"/>
          <w:sz w:val="32"/>
        </w:rPr>
        <w:t>和喀什地区农业农村局来</w:t>
      </w:r>
      <w:r>
        <w:rPr>
          <w:rFonts w:hint="eastAsia" w:ascii="仿宋_GB2312" w:hAnsi="仿宋_GB2312" w:eastAsia="仿宋_GB2312"/>
          <w:b w:val="0"/>
          <w:sz w:val="32"/>
          <w:lang w:eastAsia="zh-CN"/>
        </w:rPr>
        <w:t>本单位</w:t>
      </w:r>
      <w:r>
        <w:rPr>
          <w:rFonts w:ascii="仿宋_GB2312" w:hAnsi="仿宋_GB2312" w:eastAsia="仿宋_GB2312"/>
          <w:b w:val="0"/>
          <w:sz w:val="32"/>
        </w:rPr>
        <w:t>调研，接待工作小组考察学习产生的就餐费。单位全年安排的国内公务接待1批次，12人次。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1.87万元，决算数1.87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0.07万元，决算数0.07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2024年度伽师县种业发展中心（行政单位和参照公务员法管理事业单位）机关运行经费支出5.11万元，比上年增加0.34万元，增长7.13%，主要原因是：本年增加办公经费支出。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2024年度政府采购支出总额1.26万元，其中：政府采购货物支出0.00万元、政府采购工程支出0.00万元、政府采购服务支出1.26万元。</w:t>
      </w:r>
    </w:p>
    <w:p>
      <w:pPr>
        <w:spacing w:line="580" w:lineRule="exact"/>
        <w:ind w:firstLine="640"/>
        <w:jc w:val="both"/>
      </w:pPr>
      <w:r>
        <w:rPr>
          <w:rFonts w:ascii="仿宋_GB2312" w:hAnsi="仿宋_GB2312" w:eastAsia="仿宋_GB2312"/>
          <w:b w:val="0"/>
          <w:sz w:val="32"/>
        </w:rPr>
        <w:t>授予中小企业合同金额1.00万元，占政府采购支出总额的79.37%，其中：授予小微企业合同金额1.00万元，占政府采购支出总额的79.37%。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14.88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181.74万元，实际执行总额181.74万元；预算绩效评价项目1个，全年预算数20.00万元，全年执行数20.00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于绩效管理认识不够；二是对于绩效监控的动态不够及时和准确；三是相关业务人员培训不够。下一步改进措施：</w:t>
      </w:r>
      <w:r>
        <w:rPr>
          <w:rFonts w:hint="eastAsia" w:ascii="仿宋_GB2312" w:hAnsi="仿宋_GB2312" w:eastAsia="仿宋_GB2312"/>
          <w:b w:val="0"/>
          <w:sz w:val="32"/>
          <w:lang w:eastAsia="zh-CN"/>
        </w:rPr>
        <w:t>一是</w:t>
      </w:r>
      <w:r>
        <w:rPr>
          <w:rFonts w:ascii="仿宋_GB2312" w:hAnsi="仿宋_GB2312" w:eastAsia="仿宋_GB2312"/>
          <w:b w:val="0"/>
          <w:sz w:val="32"/>
        </w:rPr>
        <w:t>进一步提高预算绩效管理认识，强化以绩效为中心、对支出结果负责，在绩效目标编制方面，针对绩效目标设置指向不清、预算和目标匹配不足，数量目标和质量目标量化不细，效益目标编制不完整等方面加以了改善；二是加强预算绩效动态监控管理，及时跟踪项目进度，对项目实施中存在的具体问题采取纠偏措施；三是加强相关专业技术人员的业务培训，进一步提高预算绩效评价质量。进一步提高预算绩效管理认识，强化以“绩效为中心、对支出结果负责、对社会公众负责”的理念，在绩效目标编制方面，针对绩效目标设置指向不清、预算和目标匹配不足，数量目标和质量目标量化不细，效益目标编制不完整等方面加以了改善。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伽师县种业发展中心</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贯彻执行国家、自治区、地区种子法律、法规</w:t>
            </w:r>
            <w:r>
              <w:rPr>
                <w:rFonts w:hint="eastAsia" w:ascii="宋体" w:hAnsi="宋体"/>
                <w:sz w:val="16"/>
                <w:lang w:eastAsia="zh-CN"/>
              </w:rPr>
              <w:t>；</w:t>
            </w:r>
            <w:r>
              <w:rPr>
                <w:rFonts w:ascii="宋体" w:hAnsi="宋体" w:eastAsia="宋体"/>
                <w:sz w:val="16"/>
              </w:rPr>
              <w:t>拟定种子产业发展中长期规划，并组织实施</w:t>
            </w:r>
            <w:r>
              <w:rPr>
                <w:rFonts w:hint="eastAsia" w:ascii="宋体" w:hAnsi="宋体"/>
                <w:sz w:val="16"/>
                <w:lang w:eastAsia="zh-CN"/>
              </w:rPr>
              <w:t>；</w:t>
            </w:r>
            <w:r>
              <w:rPr>
                <w:rFonts w:ascii="宋体" w:hAnsi="宋体" w:eastAsia="宋体"/>
                <w:sz w:val="16"/>
              </w:rPr>
              <w:t>组织实施农作物良种繁育基地建设和管理</w:t>
            </w:r>
            <w:r>
              <w:rPr>
                <w:rFonts w:hint="eastAsia" w:ascii="宋体" w:hAnsi="宋体"/>
                <w:sz w:val="16"/>
                <w:lang w:eastAsia="zh-CN"/>
              </w:rPr>
              <w:t>；</w:t>
            </w:r>
            <w:r>
              <w:rPr>
                <w:rFonts w:ascii="宋体" w:hAnsi="宋体" w:eastAsia="宋体"/>
                <w:sz w:val="16"/>
              </w:rPr>
              <w:t>负责农作物种子质量检验工作</w:t>
            </w:r>
            <w:r>
              <w:rPr>
                <w:rFonts w:hint="eastAsia" w:ascii="宋体" w:hAnsi="宋体"/>
                <w:sz w:val="16"/>
                <w:lang w:eastAsia="zh-CN"/>
              </w:rPr>
              <w:t>；</w:t>
            </w:r>
            <w:r>
              <w:rPr>
                <w:rFonts w:ascii="宋体" w:hAnsi="宋体" w:eastAsia="宋体"/>
                <w:sz w:val="16"/>
              </w:rPr>
              <w:t>组织协调备荒种子和种子余缺平衡等工作</w:t>
            </w:r>
            <w:r>
              <w:rPr>
                <w:rFonts w:hint="eastAsia" w:ascii="宋体" w:hAnsi="宋体"/>
                <w:sz w:val="16"/>
                <w:lang w:eastAsia="zh-CN"/>
              </w:rPr>
              <w:t>；</w:t>
            </w:r>
            <w:r>
              <w:rPr>
                <w:rFonts w:ascii="宋体" w:hAnsi="宋体" w:eastAsia="宋体"/>
                <w:sz w:val="16"/>
              </w:rPr>
              <w:t>积极开展新品种试验示范，重点引进筛选市场需要的、符合优质高效的小麦、棉花、玉米品种。2024年计划完成：建设小麦“种子田”面积不低于30000亩；年产小麦良种数量不低于9000吨；建设小麦“三圃田”面积不低于3200亩；农作物新品种试验示范个数不低于30个；建设村级“种子村”小麦品种数量2种。</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严格落实粮食安全党政同责，实施藏粮于地、藏粮于技战略，确保粮食安全。一是稳定种子田种植面积，2024年种植冬小麦种子田3.18万亩，建设小麦“三圃田”3200亩，生产小麦良种1.4万多吨。二是持续开展农作物新品试验示范。实施冬小麦品种试验示范9个，面积160亩；实施玉米品种试验示范11个，面积160亩；实施棉花品种试验示范10个，面积150亩；实施甜瓜展示品种1个，种植面积为25亩，为我县今后筛选农作物新品种，开展更新换代提供了科学依据。</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建设小麦“种子田”面积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伽师县种业发展中心2024年度工作计划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31800亩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年产小麦良种数量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伽师县种业发展中心2024年度工作计划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建设小麦“三圃田”面积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伽师县种业发展中心2024年度工作计划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农作物新品种试验示范个数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伽师县种业发展中心2024年度工作计划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建设村级“种子村”小麦品种数量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伽师县种业发展中心2024年度工作计划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511"/>
        <w:gridCol w:w="121"/>
        <w:gridCol w:w="632"/>
        <w:gridCol w:w="632"/>
        <w:gridCol w:w="632"/>
        <w:gridCol w:w="632"/>
        <w:gridCol w:w="632"/>
        <w:gridCol w:w="632"/>
      </w:tblGrid>
      <w:tr>
        <w:tblPrEx>
          <w:tblCellMar>
            <w:top w:w="0" w:type="dxa"/>
            <w:left w:w="108" w:type="dxa"/>
            <w:bottom w:w="0" w:type="dxa"/>
            <w:right w:w="108" w:type="dxa"/>
          </w:tblCellMar>
        </w:tblPrEx>
        <w:tc>
          <w:tcPr>
            <w:tcW w:w="8912" w:type="dxa"/>
            <w:gridSpan w:val="15"/>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5"/>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自治区棉花现代农业（棉花）产业技术体系项目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伽师县种业发展中心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伽师县种业发展中心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资金20万元，主要用于服务棉花产业集群，针对产业发展中存在的关键科技问题和市场需求，促进棉花产业提质增效、高质量发展为目标，做好科技创新与新品种、新技术、新产品、新模式示范推广及技术咨询服务工作，为棉花产业稳产保供，提质增效，转型升级提供科技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2024年12月31日，该项目已完成支付20万元，预算执行率100%，其中购买14吨复合肥费用5.6万元，购买16吨尿素费用3.84万元，购买2吨地膜费用2万元，购买130卷滴灌带费用2.34万元，购买1台</w:t>
            </w:r>
            <w:r>
              <w:rPr>
                <w:rFonts w:hint="eastAsia" w:ascii="宋体" w:hAnsi="宋体"/>
                <w:sz w:val="16"/>
                <w:lang w:eastAsia="zh-CN"/>
              </w:rPr>
              <w:t>大电</w:t>
            </w:r>
            <w:bookmarkStart w:id="0" w:name="_GoBack"/>
            <w:bookmarkEnd w:id="0"/>
            <w:r>
              <w:rPr>
                <w:rFonts w:ascii="宋体" w:hAnsi="宋体" w:eastAsia="宋体"/>
                <w:sz w:val="16"/>
              </w:rPr>
              <w:t>器费用0.18万元，购买1次社会化服务费用2.3万元，购买125方羊粪费用3.74万元。总计20万元，执行率100%。通过本项目的实施，有效保障了国家自治区地区等各级棉花新品种试验，筛选出适宜喀什地区种植的棉花新品种。</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购买复合肥数量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购买尿素数量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购买地膜数量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购买滴灌带数量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w:t>
            </w:r>
            <w:r>
              <w:rPr>
                <w:rFonts w:hint="eastAsia" w:ascii="宋体" w:hAnsi="宋体"/>
                <w:sz w:val="16"/>
                <w:lang w:eastAsia="zh-CN"/>
              </w:rPr>
              <w:t>的电器</w:t>
            </w:r>
            <w:r>
              <w:rPr>
                <w:rFonts w:ascii="宋体" w:hAnsi="宋体" w:eastAsia="宋体"/>
                <w:sz w:val="16"/>
              </w:rPr>
              <w:t>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购买社会化服务次数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购买羊粪数量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物资购置及时率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2023年11月</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购买复合肥费用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购买尿素费用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购买地膜费用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购买滴灌带费用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购买打</w:t>
            </w:r>
            <w:r>
              <w:rPr>
                <w:rFonts w:hint="eastAsia" w:ascii="宋体" w:hAnsi="宋体"/>
                <w:sz w:val="16"/>
                <w:lang w:eastAsia="zh-CN"/>
              </w:rPr>
              <w:t>电器</w:t>
            </w:r>
            <w:r>
              <w:rPr>
                <w:rFonts w:ascii="宋体" w:hAnsi="宋体" w:eastAsia="宋体"/>
                <w:sz w:val="16"/>
              </w:rPr>
              <w:t>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购买社会化服务费用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购买羊粪费用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促进棉花产业提质增效、高质量发展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改善土壤盐碱性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实验工作人员满意度（%）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项目受益人员对项目整体满意度较高</w:t>
            </w:r>
          </w:p>
        </w:tc>
      </w:tr>
      <w:tr>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7" w:type="dxa"/>
            <w:gridSpan w:val="4"/>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3315B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5F2C97"/>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A432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5655</Words>
  <Characters>6424</Characters>
  <Lines>0</Lines>
  <Paragraphs>0</Paragraphs>
  <TotalTime>6</TotalTime>
  <ScaleCrop>false</ScaleCrop>
  <LinksUpToDate>false</LinksUpToDate>
  <CharactersWithSpaces>6432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2025-10-21T14:03:32Z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