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伽师县克孜勒博依镇中心幼儿园2024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DD18BD">
      <w:r>
        <w:br w:type="page"/>
      </w:r>
    </w:p>
    <w:p w14:paraId="6379B524">
      <w:pPr>
        <w:spacing w:line="640" w:lineRule="exact"/>
        <w:jc w:val="center"/>
        <w:outlineLvl w:val="1"/>
      </w:pPr>
      <w:r>
        <w:rPr>
          <w:rFonts w:ascii="黑体" w:hAnsi="黑体" w:eastAsia="黑体"/>
          <w:sz w:val="32"/>
        </w:rPr>
        <w:t>第一部分 单位概况</w:t>
      </w:r>
    </w:p>
    <w:p w14:paraId="3EEA9CED">
      <w:pPr>
        <w:spacing w:line="640" w:lineRule="exact"/>
        <w:ind w:firstLine="640"/>
        <w:jc w:val="both"/>
        <w:outlineLvl w:val="2"/>
      </w:pPr>
      <w:r>
        <w:rPr>
          <w:rFonts w:ascii="黑体" w:hAnsi="黑体" w:eastAsia="黑体"/>
          <w:sz w:val="32"/>
        </w:rPr>
        <w:t>一、主要职能</w:t>
      </w:r>
    </w:p>
    <w:p w14:paraId="7DE45F37">
      <w:pPr>
        <w:spacing w:line="580" w:lineRule="exact"/>
        <w:ind w:firstLine="640"/>
        <w:jc w:val="both"/>
      </w:pPr>
      <w:r>
        <w:rPr>
          <w:rFonts w:ascii="仿宋_GB2312" w:hAnsi="仿宋_GB2312" w:eastAsia="仿宋_GB2312"/>
          <w:sz w:val="32"/>
        </w:rPr>
        <w:t>(1)负责增强入园幼儿体质，促进幼儿身体正常发育和协调发展工作。</w:t>
      </w:r>
    </w:p>
    <w:p w14:paraId="21958E57">
      <w:pPr>
        <w:spacing w:line="580" w:lineRule="exact"/>
        <w:ind w:firstLine="640"/>
        <w:jc w:val="both"/>
      </w:pPr>
      <w:r>
        <w:rPr>
          <w:rFonts w:ascii="仿宋_GB2312" w:hAnsi="仿宋_GB2312" w:eastAsia="仿宋_GB2312"/>
          <w:sz w:val="32"/>
        </w:rPr>
        <w:t>(2)承担发展入园幼儿智力，培养正确运用感官和运用语言交往的基本能力，培养有益的兴趣和求知欲望，培养初步的动手能力。</w:t>
      </w:r>
    </w:p>
    <w:p w14:paraId="0881B53B">
      <w:pPr>
        <w:spacing w:line="580" w:lineRule="exact"/>
        <w:ind w:firstLine="640"/>
        <w:jc w:val="both"/>
      </w:pPr>
      <w:r>
        <w:rPr>
          <w:rFonts w:ascii="仿宋_GB2312" w:hAnsi="仿宋_GB2312" w:eastAsia="仿宋_GB2312"/>
          <w:sz w:val="32"/>
        </w:rPr>
        <w:t>(3)负责幼儿园教职工的思想政治工作，有组织、有计划地培养、提高教师的业务和教学能力；组织教职工进行继续教育，做好教职工的调配、奖惩、工资福利以及其他各项工作。</w:t>
      </w:r>
    </w:p>
    <w:p w14:paraId="1606AD35">
      <w:pPr>
        <w:spacing w:line="580" w:lineRule="exact"/>
        <w:ind w:firstLine="640"/>
        <w:jc w:val="both"/>
      </w:pPr>
      <w:r>
        <w:rPr>
          <w:rFonts w:ascii="仿宋_GB2312" w:hAnsi="仿宋_GB2312" w:eastAsia="仿宋_GB2312"/>
          <w:sz w:val="32"/>
        </w:rPr>
        <w:t>(4)负责培养入园幼儿良好的品德行为、习惯及性格，萌发幼儿爱家乡、爱祖国、爱集体、爱劳动、爱科学的情感。</w:t>
      </w:r>
    </w:p>
    <w:p w14:paraId="696B34AB">
      <w:pPr>
        <w:spacing w:line="640" w:lineRule="exact"/>
        <w:ind w:firstLine="640"/>
        <w:jc w:val="both"/>
        <w:outlineLvl w:val="2"/>
      </w:pPr>
      <w:r>
        <w:rPr>
          <w:rFonts w:ascii="黑体" w:hAnsi="黑体" w:eastAsia="黑体"/>
          <w:sz w:val="32"/>
        </w:rPr>
        <w:t>二、机构设置及人员情况</w:t>
      </w:r>
    </w:p>
    <w:p w14:paraId="0F5DAF14">
      <w:pPr>
        <w:spacing w:line="580" w:lineRule="exact"/>
        <w:ind w:firstLine="640"/>
        <w:jc w:val="both"/>
      </w:pPr>
      <w:r>
        <w:rPr>
          <w:rFonts w:ascii="仿宋_GB2312" w:hAnsi="仿宋_GB2312" w:eastAsia="仿宋_GB2312"/>
          <w:sz w:val="32"/>
        </w:rPr>
        <w:t>伽师县克孜勒博依镇中心幼儿园2024年度，实有人数179人，其中：在职人员179人，减少5人；离休人员0人，增加0人；退休人员0人,增加0人。</w:t>
      </w:r>
    </w:p>
    <w:p w14:paraId="7A08ACCF">
      <w:pPr>
        <w:spacing w:line="580" w:lineRule="exact"/>
        <w:ind w:firstLine="640"/>
        <w:jc w:val="both"/>
      </w:pPr>
      <w:r>
        <w:rPr>
          <w:rFonts w:ascii="仿宋_GB2312" w:hAnsi="仿宋_GB2312" w:eastAsia="仿宋_GB2312"/>
          <w:sz w:val="32"/>
        </w:rPr>
        <w:t>伽师县克孜勒博依镇中心幼儿园无下属预算单位，下设4个科室，分别是：医务室、活动室、财务室、党建办公室。</w:t>
      </w:r>
    </w:p>
    <w:p w14:paraId="5CC6451F">
      <w:r>
        <w:br w:type="page"/>
      </w:r>
    </w:p>
    <w:p w14:paraId="4D5DEE1E">
      <w:pPr>
        <w:spacing w:line="240" w:lineRule="auto"/>
        <w:jc w:val="center"/>
        <w:outlineLvl w:val="1"/>
      </w:pPr>
      <w:r>
        <w:rPr>
          <w:rFonts w:ascii="黑体" w:hAnsi="黑体" w:eastAsia="黑体"/>
          <w:sz w:val="32"/>
        </w:rPr>
        <w:t>第二部分 部门决算情况说明</w:t>
      </w:r>
    </w:p>
    <w:p w14:paraId="4D81ED0D">
      <w:pPr>
        <w:spacing w:line="640" w:lineRule="exact"/>
        <w:ind w:firstLine="640"/>
        <w:jc w:val="both"/>
        <w:outlineLvl w:val="2"/>
      </w:pPr>
      <w:r>
        <w:rPr>
          <w:rFonts w:ascii="黑体" w:hAnsi="黑体" w:eastAsia="黑体"/>
          <w:sz w:val="32"/>
        </w:rPr>
        <w:t>一、收入支出决算总体情况说明</w:t>
      </w:r>
    </w:p>
    <w:p w14:paraId="0612F1C2">
      <w:pPr>
        <w:spacing w:line="580" w:lineRule="exact"/>
        <w:ind w:firstLine="640"/>
        <w:jc w:val="both"/>
      </w:pPr>
      <w:r>
        <w:rPr>
          <w:rFonts w:ascii="仿宋_GB2312" w:hAnsi="仿宋_GB2312" w:eastAsia="仿宋_GB2312"/>
          <w:b/>
          <w:sz w:val="32"/>
        </w:rPr>
        <w:t>2024年度收入总计2,947.25万元，</w:t>
      </w:r>
      <w:r>
        <w:rPr>
          <w:rFonts w:ascii="仿宋_GB2312" w:hAnsi="仿宋_GB2312" w:eastAsia="仿宋_GB2312"/>
          <w:b w:val="0"/>
          <w:sz w:val="32"/>
        </w:rPr>
        <w:t>其中：本年收入合计2,947.25万元，使用非财政拨款结余（含专用结余）0.00万元，年初结转和结余0.00万元。</w:t>
      </w:r>
    </w:p>
    <w:p w14:paraId="12EAC4B8">
      <w:pPr>
        <w:spacing w:line="580" w:lineRule="exact"/>
        <w:ind w:firstLine="640"/>
        <w:jc w:val="both"/>
      </w:pPr>
      <w:r>
        <w:rPr>
          <w:rFonts w:ascii="仿宋_GB2312" w:hAnsi="仿宋_GB2312" w:eastAsia="仿宋_GB2312"/>
          <w:b/>
          <w:sz w:val="32"/>
        </w:rPr>
        <w:t>2024年度支出总计2,947.25万元，</w:t>
      </w:r>
      <w:r>
        <w:rPr>
          <w:rFonts w:ascii="仿宋_GB2312" w:hAnsi="仿宋_GB2312" w:eastAsia="仿宋_GB2312"/>
          <w:b w:val="0"/>
          <w:sz w:val="32"/>
        </w:rPr>
        <w:t>其中：本年支出合计2,947.25万元，结余分配0.00万元，年末结转和结余0.00万元。</w:t>
      </w:r>
    </w:p>
    <w:p w14:paraId="59B90564">
      <w:pPr>
        <w:spacing w:line="580" w:lineRule="exact"/>
        <w:ind w:firstLine="640"/>
        <w:jc w:val="both"/>
      </w:pPr>
      <w:r>
        <w:rPr>
          <w:rFonts w:ascii="仿宋_GB2312" w:hAnsi="仿宋_GB2312" w:eastAsia="仿宋_GB2312"/>
          <w:b w:val="0"/>
          <w:sz w:val="32"/>
        </w:rPr>
        <w:t>收入支出总体与上年相比，减少20.26万元，下降0.68%，主要原因是：本年</w:t>
      </w:r>
      <w:bookmarkStart w:id="0" w:name="_GoBack"/>
      <w:bookmarkEnd w:id="0"/>
      <w:r>
        <w:rPr>
          <w:rFonts w:ascii="仿宋_GB2312" w:hAnsi="仿宋_GB2312" w:eastAsia="仿宋_GB2312"/>
          <w:b w:val="0"/>
          <w:sz w:val="32"/>
        </w:rPr>
        <w:t>对口援疆国语教育全覆盖项目、提升教育能力项目经费较上年减少。</w:t>
      </w:r>
    </w:p>
    <w:p w14:paraId="23E8104E">
      <w:pPr>
        <w:spacing w:line="640" w:lineRule="exact"/>
        <w:ind w:firstLine="640"/>
        <w:jc w:val="both"/>
        <w:outlineLvl w:val="2"/>
      </w:pPr>
      <w:r>
        <w:rPr>
          <w:rFonts w:ascii="黑体" w:hAnsi="黑体" w:eastAsia="黑体"/>
          <w:sz w:val="32"/>
        </w:rPr>
        <w:t>二、收入决算情况说明</w:t>
      </w:r>
    </w:p>
    <w:p w14:paraId="2EAF4FD8">
      <w:pPr>
        <w:spacing w:line="580" w:lineRule="exact"/>
        <w:ind w:firstLine="640"/>
        <w:jc w:val="both"/>
      </w:pPr>
      <w:r>
        <w:rPr>
          <w:rFonts w:ascii="仿宋_GB2312" w:hAnsi="仿宋_GB2312" w:eastAsia="仿宋_GB2312"/>
          <w:b/>
          <w:sz w:val="32"/>
        </w:rPr>
        <w:t>本年收入2,947.25万元，</w:t>
      </w:r>
      <w:r>
        <w:rPr>
          <w:rFonts w:ascii="仿宋_GB2312" w:hAnsi="仿宋_GB2312" w:eastAsia="仿宋_GB2312"/>
          <w:b w:val="0"/>
          <w:sz w:val="32"/>
        </w:rPr>
        <w:t>其中：财政拨款收入2,922.19万元，占99.15%；上级补助收入0.00万元，占0.00%；事业收入0.00万元，占0.00%；经营收入0.00万元，占0.00%；附属单位上缴收入0.00万元，占0.00%；其他收入25.06万元，占0.85%。</w:t>
      </w:r>
    </w:p>
    <w:p w14:paraId="2DE5C891">
      <w:pPr>
        <w:spacing w:line="640" w:lineRule="exact"/>
        <w:ind w:firstLine="640"/>
        <w:jc w:val="both"/>
        <w:outlineLvl w:val="2"/>
      </w:pPr>
      <w:r>
        <w:rPr>
          <w:rFonts w:ascii="黑体" w:hAnsi="黑体" w:eastAsia="黑体"/>
          <w:sz w:val="32"/>
        </w:rPr>
        <w:t>三、支出决算情况说明</w:t>
      </w:r>
    </w:p>
    <w:p w14:paraId="4A39E66B">
      <w:pPr>
        <w:spacing w:line="580" w:lineRule="exact"/>
        <w:ind w:firstLine="640"/>
        <w:jc w:val="both"/>
      </w:pPr>
      <w:r>
        <w:rPr>
          <w:rFonts w:ascii="仿宋_GB2312" w:hAnsi="仿宋_GB2312" w:eastAsia="仿宋_GB2312"/>
          <w:b/>
          <w:sz w:val="32"/>
        </w:rPr>
        <w:t>本年支出2,947.25万元，</w:t>
      </w:r>
      <w:r>
        <w:rPr>
          <w:rFonts w:ascii="仿宋_GB2312" w:hAnsi="仿宋_GB2312" w:eastAsia="仿宋_GB2312"/>
          <w:b w:val="0"/>
          <w:sz w:val="32"/>
        </w:rPr>
        <w:t>其中：基本支出2,624.04万元，占89.03%；项目支出323.22万元，占10.97%；上缴上级支出0.00万元，占0.00%；经营支出0.00万元，占0.00%；对附属单位补助支出0.00万元，占0.00%。</w:t>
      </w:r>
    </w:p>
    <w:p w14:paraId="0D5220E8">
      <w:pPr>
        <w:spacing w:line="640" w:lineRule="exact"/>
        <w:ind w:firstLine="640"/>
        <w:jc w:val="both"/>
        <w:outlineLvl w:val="2"/>
      </w:pPr>
      <w:r>
        <w:rPr>
          <w:rFonts w:ascii="黑体" w:hAnsi="黑体" w:eastAsia="黑体"/>
          <w:sz w:val="32"/>
        </w:rPr>
        <w:t>四、财政拨款收入支出决算总体情况说明</w:t>
      </w:r>
    </w:p>
    <w:p w14:paraId="2A41A64A">
      <w:pPr>
        <w:spacing w:line="580" w:lineRule="exact"/>
        <w:ind w:firstLine="640"/>
        <w:jc w:val="both"/>
      </w:pPr>
      <w:r>
        <w:rPr>
          <w:rFonts w:ascii="仿宋_GB2312" w:hAnsi="仿宋_GB2312" w:eastAsia="仿宋_GB2312"/>
          <w:b/>
          <w:sz w:val="32"/>
        </w:rPr>
        <w:t>2024年度财政拨款收入总计2,922.19万元，</w:t>
      </w:r>
      <w:r>
        <w:rPr>
          <w:rFonts w:ascii="仿宋_GB2312" w:hAnsi="仿宋_GB2312" w:eastAsia="仿宋_GB2312"/>
          <w:b w:val="0"/>
          <w:sz w:val="32"/>
        </w:rPr>
        <w:t>其中：年初财政拨款结转和结余0.00万元，本年财政拨款收入2,922.19万元。</w:t>
      </w:r>
      <w:r>
        <w:rPr>
          <w:rFonts w:ascii="仿宋_GB2312" w:hAnsi="仿宋_GB2312" w:eastAsia="仿宋_GB2312"/>
          <w:b/>
          <w:sz w:val="32"/>
        </w:rPr>
        <w:t>财政拨款支出总计2,922.19万元，</w:t>
      </w:r>
      <w:r>
        <w:rPr>
          <w:rFonts w:ascii="仿宋_GB2312" w:hAnsi="仿宋_GB2312" w:eastAsia="仿宋_GB2312"/>
          <w:b w:val="0"/>
          <w:sz w:val="32"/>
        </w:rPr>
        <w:t>其中：年末财政拨款结转和结余0.00万元，本年财政拨款支出2,922.19万元。</w:t>
      </w:r>
    </w:p>
    <w:p w14:paraId="236FA6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增加68.42万元，增长2.40%，主要原因是：本年在职人员工资调增，社保、公积金基数调增，人员经费增加。本年伙食项目资金（新疆西藏等地区教育特殊补助学前三年保障经费）较上年增加。</w:t>
      </w:r>
      <w:r>
        <w:rPr>
          <w:rFonts w:ascii="仿宋_GB2312" w:hAnsi="仿宋_GB2312" w:eastAsia="仿宋_GB2312"/>
          <w:b/>
          <w:sz w:val="32"/>
        </w:rPr>
        <w:t>与年初预算相比，</w:t>
      </w:r>
      <w:r>
        <w:rPr>
          <w:rFonts w:ascii="仿宋_GB2312" w:hAnsi="仿宋_GB2312" w:eastAsia="仿宋_GB2312"/>
          <w:b w:val="0"/>
          <w:sz w:val="32"/>
        </w:rPr>
        <w:t>年初预算数2,997.95万元，决算数2,922.19万元，预决算差异率-2.53%，主要原因是：年中幼儿人数减少，调减幼儿保障经费，调减教职工年终奖，导致预决算存在差异。</w:t>
      </w:r>
    </w:p>
    <w:p w14:paraId="7944D218">
      <w:pPr>
        <w:spacing w:line="640" w:lineRule="exact"/>
        <w:ind w:firstLine="640"/>
        <w:jc w:val="both"/>
        <w:outlineLvl w:val="2"/>
      </w:pPr>
      <w:r>
        <w:rPr>
          <w:rFonts w:ascii="黑体" w:hAnsi="黑体" w:eastAsia="黑体"/>
          <w:sz w:val="32"/>
        </w:rPr>
        <w:t>五、一般公共预算财政拨款支出决算情况说明</w:t>
      </w:r>
    </w:p>
    <w:p w14:paraId="3EC94B14">
      <w:pPr>
        <w:spacing w:line="640" w:lineRule="exact"/>
        <w:ind w:firstLine="640"/>
        <w:jc w:val="both"/>
        <w:outlineLvl w:val="3"/>
      </w:pPr>
      <w:r>
        <w:rPr>
          <w:rFonts w:ascii="楷体_GB2312" w:hAnsi="楷体_GB2312" w:eastAsia="楷体_GB2312"/>
          <w:b/>
          <w:sz w:val="32"/>
        </w:rPr>
        <w:t>（一）一般公共预算财政拨款支出决算总体情况</w:t>
      </w:r>
    </w:p>
    <w:p w14:paraId="127B4E75">
      <w:pPr>
        <w:spacing w:line="580" w:lineRule="exact"/>
        <w:ind w:firstLine="640"/>
        <w:jc w:val="both"/>
      </w:pPr>
      <w:r>
        <w:rPr>
          <w:rFonts w:ascii="仿宋_GB2312" w:hAnsi="仿宋_GB2312" w:eastAsia="仿宋_GB2312"/>
          <w:b/>
          <w:sz w:val="32"/>
        </w:rPr>
        <w:t>2024年度一般公共预算财政拨款支出2,922.19万元，</w:t>
      </w:r>
      <w:r>
        <w:rPr>
          <w:rFonts w:ascii="仿宋_GB2312" w:hAnsi="仿宋_GB2312" w:eastAsia="仿宋_GB2312"/>
          <w:b w:val="0"/>
          <w:sz w:val="32"/>
        </w:rPr>
        <w:t>占本年支出合计的99.15%。</w:t>
      </w:r>
      <w:r>
        <w:rPr>
          <w:rFonts w:ascii="仿宋_GB2312" w:hAnsi="仿宋_GB2312" w:eastAsia="仿宋_GB2312"/>
          <w:b/>
          <w:sz w:val="32"/>
        </w:rPr>
        <w:t>与上年相比，</w:t>
      </w:r>
      <w:r>
        <w:rPr>
          <w:rFonts w:ascii="仿宋_GB2312" w:hAnsi="仿宋_GB2312" w:eastAsia="仿宋_GB2312"/>
          <w:b w:val="0"/>
          <w:sz w:val="32"/>
        </w:rPr>
        <w:t>增加68.42万元，增长2.40%，主要原因是：本年在职人员工资调增，社保、公积金基数调增，人员经费增加。本年伙食项目资金（新疆西藏等地区教育特殊补助学前三年保障经费）较上年增加。</w:t>
      </w:r>
      <w:r>
        <w:rPr>
          <w:rFonts w:ascii="仿宋_GB2312" w:hAnsi="仿宋_GB2312" w:eastAsia="仿宋_GB2312"/>
          <w:b/>
          <w:sz w:val="32"/>
        </w:rPr>
        <w:t>与年初预算相比,</w:t>
      </w:r>
      <w:r>
        <w:rPr>
          <w:rFonts w:ascii="仿宋_GB2312" w:hAnsi="仿宋_GB2312" w:eastAsia="仿宋_GB2312"/>
          <w:b w:val="0"/>
          <w:sz w:val="32"/>
        </w:rPr>
        <w:t>年初预算数2,997.95万元，决算数2,922.19万元，预决算差异率-2.53%，主要原因是：年中幼儿人数减少，调减幼儿保障经费，调减教职工年终奖，导致预决算存在差异。</w:t>
      </w:r>
    </w:p>
    <w:p w14:paraId="63909CDD">
      <w:pPr>
        <w:spacing w:line="640" w:lineRule="exact"/>
        <w:ind w:firstLine="640"/>
        <w:jc w:val="both"/>
        <w:outlineLvl w:val="3"/>
      </w:pPr>
      <w:r>
        <w:rPr>
          <w:rFonts w:ascii="楷体_GB2312" w:hAnsi="楷体_GB2312" w:eastAsia="楷体_GB2312"/>
          <w:b/>
          <w:sz w:val="32"/>
        </w:rPr>
        <w:t>（二）一般公共预算财政拨款支出决算结构情况</w:t>
      </w:r>
    </w:p>
    <w:p w14:paraId="3637A0AE">
      <w:pPr>
        <w:spacing w:line="580" w:lineRule="exact"/>
        <w:ind w:firstLine="640"/>
        <w:jc w:val="both"/>
      </w:pPr>
      <w:r>
        <w:rPr>
          <w:rFonts w:ascii="仿宋_GB2312" w:hAnsi="仿宋_GB2312" w:eastAsia="仿宋_GB2312"/>
          <w:b w:val="0"/>
          <w:sz w:val="32"/>
        </w:rPr>
        <w:t>1.教育支出(类)2,922.19万元,占100.00%。</w:t>
      </w:r>
    </w:p>
    <w:p w14:paraId="2887E46B">
      <w:pPr>
        <w:spacing w:line="640" w:lineRule="exact"/>
        <w:ind w:firstLine="640"/>
        <w:jc w:val="both"/>
        <w:outlineLvl w:val="3"/>
      </w:pPr>
      <w:r>
        <w:rPr>
          <w:rFonts w:ascii="楷体_GB2312" w:hAnsi="楷体_GB2312" w:eastAsia="楷体_GB2312"/>
          <w:b/>
          <w:sz w:val="32"/>
        </w:rPr>
        <w:t>（三）一般公共预算财政拨款支出决算具体情况</w:t>
      </w:r>
    </w:p>
    <w:p w14:paraId="7912A57A">
      <w:pPr>
        <w:spacing w:line="580" w:lineRule="exact"/>
        <w:ind w:firstLine="640"/>
        <w:jc w:val="both"/>
      </w:pPr>
      <w:r>
        <w:rPr>
          <w:rFonts w:ascii="仿宋_GB2312" w:hAnsi="仿宋_GB2312" w:eastAsia="仿宋_GB2312"/>
          <w:b w:val="0"/>
          <w:sz w:val="32"/>
        </w:rPr>
        <w:t>1.教育支出(类)普通教育(款)学前教育(项):支出决算数为2,922.19万元，比上年决算增加68.42万元，增长2.40%,主要原因是：本年在职人员工资调增，社保、公积金基数调增，人员经费增加。本年伙食项目资金（新疆西藏等地区教育特殊补助学前三年保障经费）较上年增加。</w:t>
      </w:r>
    </w:p>
    <w:p w14:paraId="6A567448">
      <w:pPr>
        <w:spacing w:line="640" w:lineRule="exact"/>
        <w:ind w:firstLine="640"/>
        <w:jc w:val="both"/>
        <w:outlineLvl w:val="2"/>
      </w:pPr>
      <w:r>
        <w:rPr>
          <w:rFonts w:ascii="黑体" w:hAnsi="黑体" w:eastAsia="黑体"/>
          <w:sz w:val="32"/>
        </w:rPr>
        <w:t>六、一般公共预算财政拨款基本支出决算情况说明</w:t>
      </w:r>
    </w:p>
    <w:p w14:paraId="6AC1C862">
      <w:pPr>
        <w:spacing w:line="580" w:lineRule="exact"/>
        <w:ind w:firstLine="640"/>
        <w:jc w:val="both"/>
      </w:pPr>
      <w:r>
        <w:rPr>
          <w:rFonts w:ascii="仿宋_GB2312" w:hAnsi="仿宋_GB2312" w:eastAsia="仿宋_GB2312"/>
          <w:b w:val="0"/>
          <w:sz w:val="32"/>
        </w:rPr>
        <w:t>2024年度一般公共预算财政拨款基本支出2,624.04万元，其中：</w:t>
      </w:r>
      <w:r>
        <w:rPr>
          <w:rFonts w:ascii="仿宋_GB2312" w:hAnsi="仿宋_GB2312" w:eastAsia="仿宋_GB2312"/>
          <w:b/>
          <w:sz w:val="32"/>
        </w:rPr>
        <w:t>人员经费2,624.04万元，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7295B0F1">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D4DBDE5">
      <w:pPr>
        <w:spacing w:line="640" w:lineRule="exact"/>
        <w:ind w:firstLine="640"/>
        <w:jc w:val="both"/>
        <w:outlineLvl w:val="2"/>
      </w:pPr>
      <w:r>
        <w:rPr>
          <w:rFonts w:ascii="黑体" w:hAnsi="黑体" w:eastAsia="黑体"/>
          <w:sz w:val="32"/>
        </w:rPr>
        <w:t>七、政府性基金预算财政拨款收入支出决算情况说明</w:t>
      </w:r>
    </w:p>
    <w:p w14:paraId="0998640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95360E5">
      <w:pPr>
        <w:spacing w:line="640" w:lineRule="exact"/>
        <w:ind w:firstLine="640"/>
        <w:jc w:val="both"/>
        <w:outlineLvl w:val="2"/>
      </w:pPr>
      <w:r>
        <w:rPr>
          <w:rFonts w:ascii="黑体" w:hAnsi="黑体" w:eastAsia="黑体"/>
          <w:sz w:val="32"/>
        </w:rPr>
        <w:t>八、国有资本经营预算财政拨款收入支出决算情况说明</w:t>
      </w:r>
    </w:p>
    <w:p w14:paraId="382BD20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3D764C8">
      <w:pPr>
        <w:spacing w:line="640" w:lineRule="exact"/>
        <w:ind w:firstLine="640"/>
        <w:jc w:val="both"/>
        <w:outlineLvl w:val="2"/>
      </w:pPr>
      <w:r>
        <w:rPr>
          <w:rFonts w:ascii="黑体" w:hAnsi="黑体" w:eastAsia="黑体"/>
          <w:sz w:val="32"/>
        </w:rPr>
        <w:t>九、财政拨款“三公”经费支出决算情况说明</w:t>
      </w:r>
    </w:p>
    <w:p w14:paraId="4BF8F27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35FEB3A">
      <w:pPr>
        <w:spacing w:line="580" w:lineRule="exact"/>
        <w:ind w:firstLine="640"/>
        <w:jc w:val="both"/>
      </w:pPr>
      <w:r>
        <w:rPr>
          <w:rFonts w:ascii="仿宋_GB2312" w:hAnsi="仿宋_GB2312" w:eastAsia="仿宋_GB2312"/>
          <w:b/>
          <w:sz w:val="32"/>
        </w:rPr>
        <w:t>具体情况如下：</w:t>
      </w:r>
    </w:p>
    <w:p w14:paraId="48E9A3F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163DC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EA0790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D9087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26A19D5">
      <w:pPr>
        <w:spacing w:line="640" w:lineRule="exact"/>
        <w:ind w:firstLine="640"/>
        <w:jc w:val="both"/>
        <w:outlineLvl w:val="2"/>
      </w:pPr>
      <w:r>
        <w:rPr>
          <w:rFonts w:ascii="黑体" w:hAnsi="黑体" w:eastAsia="黑体"/>
          <w:sz w:val="32"/>
        </w:rPr>
        <w:t>十、其他重要事项的情况说明</w:t>
      </w:r>
    </w:p>
    <w:p w14:paraId="2EF2E46C">
      <w:pPr>
        <w:spacing w:line="640" w:lineRule="exact"/>
        <w:ind w:firstLine="640"/>
        <w:jc w:val="both"/>
        <w:outlineLvl w:val="3"/>
      </w:pPr>
      <w:r>
        <w:rPr>
          <w:rFonts w:ascii="楷体_GB2312" w:hAnsi="楷体_GB2312" w:eastAsia="楷体_GB2312"/>
          <w:b/>
          <w:sz w:val="32"/>
        </w:rPr>
        <w:t>（一）机关运行经费及公用经费支出情况</w:t>
      </w:r>
    </w:p>
    <w:p w14:paraId="12F4D146">
      <w:pPr>
        <w:spacing w:line="580" w:lineRule="exact"/>
        <w:ind w:firstLine="640"/>
        <w:jc w:val="both"/>
      </w:pPr>
      <w:r>
        <w:rPr>
          <w:rFonts w:ascii="仿宋_GB2312" w:hAnsi="仿宋_GB2312" w:eastAsia="仿宋_GB2312"/>
          <w:b w:val="0"/>
          <w:sz w:val="32"/>
        </w:rPr>
        <w:t>2024年度伽师县克孜勒博依镇中心幼儿园（事业单位）公用经费支出0.00万元，比上年增加0.00万元，增长0.00%，主要原因是：2023年与2024年均未安排公用经费支出。</w:t>
      </w:r>
    </w:p>
    <w:p w14:paraId="5ECDE747">
      <w:pPr>
        <w:spacing w:line="640" w:lineRule="exact"/>
        <w:ind w:firstLine="640"/>
        <w:jc w:val="both"/>
        <w:outlineLvl w:val="3"/>
      </w:pPr>
      <w:r>
        <w:rPr>
          <w:rFonts w:ascii="楷体_GB2312" w:hAnsi="楷体_GB2312" w:eastAsia="楷体_GB2312"/>
          <w:b/>
          <w:sz w:val="32"/>
        </w:rPr>
        <w:t>（二）政府采购情况</w:t>
      </w:r>
    </w:p>
    <w:p w14:paraId="6BC444A1">
      <w:pPr>
        <w:spacing w:line="580" w:lineRule="exact"/>
        <w:ind w:firstLine="640"/>
        <w:jc w:val="both"/>
      </w:pPr>
      <w:r>
        <w:rPr>
          <w:rFonts w:ascii="仿宋_GB2312" w:hAnsi="仿宋_GB2312" w:eastAsia="仿宋_GB2312"/>
          <w:b w:val="0"/>
          <w:sz w:val="32"/>
        </w:rPr>
        <w:t>2024年度政府采购支出总额70.70万元，其中：政府采购货物支出70.70万元、政府采购工程支出0.00万元、政府采购服务支出0.00万元。</w:t>
      </w:r>
    </w:p>
    <w:p w14:paraId="443F57A6">
      <w:pPr>
        <w:spacing w:line="580" w:lineRule="exact"/>
        <w:ind w:firstLine="640"/>
        <w:jc w:val="both"/>
      </w:pPr>
      <w:r>
        <w:rPr>
          <w:rFonts w:ascii="仿宋_GB2312" w:hAnsi="仿宋_GB2312" w:eastAsia="仿宋_GB2312"/>
          <w:b w:val="0"/>
          <w:sz w:val="32"/>
        </w:rPr>
        <w:t>授予中小企业合同金额70.70万元，占政府采购支出总额的100.00%，其中：授予小微企业合同金额62.93万元，占政府采购支出总额的89.010%。</w:t>
      </w:r>
    </w:p>
    <w:p w14:paraId="359563AC">
      <w:pPr>
        <w:spacing w:line="640" w:lineRule="exact"/>
        <w:ind w:firstLine="640"/>
        <w:jc w:val="both"/>
        <w:outlineLvl w:val="3"/>
      </w:pPr>
      <w:r>
        <w:rPr>
          <w:rFonts w:ascii="楷体_GB2312" w:hAnsi="楷体_GB2312" w:eastAsia="楷体_GB2312"/>
          <w:b/>
          <w:sz w:val="32"/>
        </w:rPr>
        <w:t>（三）国有资产占用情况说明</w:t>
      </w:r>
    </w:p>
    <w:p w14:paraId="70A0899E">
      <w:pPr>
        <w:spacing w:line="580" w:lineRule="exact"/>
        <w:ind w:firstLine="640"/>
        <w:jc w:val="both"/>
      </w:pPr>
      <w:r>
        <w:rPr>
          <w:rFonts w:ascii="仿宋_GB2312" w:hAnsi="仿宋_GB2312" w:eastAsia="仿宋_GB2312"/>
          <w:b w:val="0"/>
          <w:sz w:val="32"/>
        </w:rPr>
        <w:t>截至2024年12月31日，房屋21,042.94平方米，价值4,996.62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1BE4AD4">
      <w:pPr>
        <w:spacing w:line="640" w:lineRule="exact"/>
        <w:ind w:firstLine="640"/>
        <w:jc w:val="both"/>
        <w:outlineLvl w:val="2"/>
      </w:pPr>
      <w:r>
        <w:rPr>
          <w:rFonts w:ascii="黑体" w:hAnsi="黑体" w:eastAsia="黑体"/>
          <w:sz w:val="32"/>
        </w:rPr>
        <w:t>十一、预算绩效的情况说明</w:t>
      </w:r>
    </w:p>
    <w:p w14:paraId="510ED50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7C52369C">
      <w:r>
        <w:br w:type="page"/>
      </w:r>
    </w:p>
    <w:p w14:paraId="4B1E4E31">
      <w:pPr>
        <w:spacing w:line="640" w:lineRule="exact"/>
        <w:ind w:firstLine="640"/>
        <w:jc w:val="both"/>
        <w:outlineLvl w:val="2"/>
      </w:pPr>
      <w:r>
        <w:rPr>
          <w:rFonts w:ascii="黑体" w:hAnsi="黑体" w:eastAsia="黑体"/>
          <w:sz w:val="32"/>
        </w:rPr>
        <w:t>十二、其他需说明的事项</w:t>
      </w:r>
    </w:p>
    <w:p w14:paraId="4F82CACF">
      <w:pPr>
        <w:spacing w:line="580" w:lineRule="exact"/>
        <w:ind w:firstLine="640"/>
        <w:jc w:val="both"/>
      </w:pPr>
      <w:r>
        <w:rPr>
          <w:rFonts w:ascii="仿宋_GB2312" w:hAnsi="仿宋_GB2312" w:eastAsia="仿宋_GB2312"/>
          <w:b w:val="0"/>
          <w:sz w:val="32"/>
        </w:rPr>
        <w:t>本年度部门整体绩效自评表由伽师县教育局编报并公开。</w:t>
      </w:r>
    </w:p>
    <w:p w14:paraId="0DBA05CB">
      <w:r>
        <w:br w:type="page"/>
      </w:r>
    </w:p>
    <w:p w14:paraId="6E8338E0">
      <w:pPr>
        <w:spacing w:line="240" w:lineRule="auto"/>
        <w:jc w:val="center"/>
        <w:outlineLvl w:val="1"/>
      </w:pPr>
      <w:r>
        <w:rPr>
          <w:rFonts w:ascii="黑体" w:hAnsi="黑体" w:eastAsia="黑体"/>
          <w:sz w:val="32"/>
        </w:rPr>
        <w:t>第三部分 专业名词解释</w:t>
      </w:r>
    </w:p>
    <w:p w14:paraId="18C454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DB221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3D38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C121BD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E68B81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206C27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632AF3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9A1ADB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EEC21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B7136B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596E1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F8067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0C1BA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08F4E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9DA2C8">
      <w:r>
        <w:br w:type="page"/>
      </w:r>
    </w:p>
    <w:p w14:paraId="785C83CA">
      <w:pPr>
        <w:spacing w:line="240" w:lineRule="auto"/>
        <w:jc w:val="center"/>
        <w:outlineLvl w:val="1"/>
      </w:pPr>
      <w:r>
        <w:rPr>
          <w:rFonts w:ascii="黑体" w:hAnsi="黑体" w:eastAsia="黑体"/>
          <w:sz w:val="32"/>
        </w:rPr>
        <w:t>第四部分 部门决算报表（见附表）</w:t>
      </w:r>
    </w:p>
    <w:p w14:paraId="720DE28E">
      <w:pPr>
        <w:spacing w:line="240" w:lineRule="auto"/>
        <w:ind w:firstLine="640"/>
        <w:jc w:val="both"/>
      </w:pPr>
      <w:r>
        <w:rPr>
          <w:rFonts w:ascii="仿宋_GB2312" w:hAnsi="仿宋_GB2312" w:eastAsia="仿宋_GB2312"/>
          <w:b w:val="0"/>
          <w:sz w:val="32"/>
        </w:rPr>
        <w:t>一、《收入支出决算总表》</w:t>
      </w:r>
    </w:p>
    <w:p w14:paraId="2A1F24A1">
      <w:pPr>
        <w:spacing w:line="240" w:lineRule="auto"/>
        <w:ind w:firstLine="640"/>
        <w:jc w:val="both"/>
      </w:pPr>
      <w:r>
        <w:rPr>
          <w:rFonts w:ascii="仿宋_GB2312" w:hAnsi="仿宋_GB2312" w:eastAsia="仿宋_GB2312"/>
          <w:b w:val="0"/>
          <w:sz w:val="32"/>
        </w:rPr>
        <w:t>二、《收入决算表》</w:t>
      </w:r>
    </w:p>
    <w:p w14:paraId="73A831BA">
      <w:pPr>
        <w:spacing w:line="240" w:lineRule="auto"/>
        <w:ind w:firstLine="640"/>
        <w:jc w:val="both"/>
      </w:pPr>
      <w:r>
        <w:rPr>
          <w:rFonts w:ascii="仿宋_GB2312" w:hAnsi="仿宋_GB2312" w:eastAsia="仿宋_GB2312"/>
          <w:b w:val="0"/>
          <w:sz w:val="32"/>
        </w:rPr>
        <w:t>三、《支出决算表》</w:t>
      </w:r>
    </w:p>
    <w:p w14:paraId="21DE84FF">
      <w:pPr>
        <w:spacing w:line="240" w:lineRule="auto"/>
        <w:ind w:firstLine="640"/>
        <w:jc w:val="both"/>
      </w:pPr>
      <w:r>
        <w:rPr>
          <w:rFonts w:ascii="仿宋_GB2312" w:hAnsi="仿宋_GB2312" w:eastAsia="仿宋_GB2312"/>
          <w:b w:val="0"/>
          <w:sz w:val="32"/>
        </w:rPr>
        <w:t>四、《财政拨款收入支出决算总表》</w:t>
      </w:r>
    </w:p>
    <w:p w14:paraId="43A5BBFF">
      <w:pPr>
        <w:spacing w:line="240" w:lineRule="auto"/>
        <w:ind w:firstLine="640"/>
        <w:jc w:val="both"/>
      </w:pPr>
      <w:r>
        <w:rPr>
          <w:rFonts w:ascii="仿宋_GB2312" w:hAnsi="仿宋_GB2312" w:eastAsia="仿宋_GB2312"/>
          <w:b w:val="0"/>
          <w:sz w:val="32"/>
        </w:rPr>
        <w:t>五、《一般公共预算财政拨款支出决算表》</w:t>
      </w:r>
    </w:p>
    <w:p w14:paraId="69FE9B72">
      <w:pPr>
        <w:spacing w:line="240" w:lineRule="auto"/>
        <w:ind w:firstLine="640"/>
        <w:jc w:val="both"/>
      </w:pPr>
      <w:r>
        <w:rPr>
          <w:rFonts w:ascii="仿宋_GB2312" w:hAnsi="仿宋_GB2312" w:eastAsia="仿宋_GB2312"/>
          <w:b w:val="0"/>
          <w:sz w:val="32"/>
        </w:rPr>
        <w:t>六、《一般公共预算财政拨款基本支出决算表》</w:t>
      </w:r>
    </w:p>
    <w:p w14:paraId="211F35B5">
      <w:pPr>
        <w:spacing w:line="240" w:lineRule="auto"/>
        <w:ind w:firstLine="640"/>
        <w:jc w:val="both"/>
      </w:pPr>
      <w:r>
        <w:rPr>
          <w:rFonts w:ascii="仿宋_GB2312" w:hAnsi="仿宋_GB2312" w:eastAsia="仿宋_GB2312"/>
          <w:b w:val="0"/>
          <w:sz w:val="32"/>
        </w:rPr>
        <w:t>七、《政府性基金预算财政拨款收入支出决算表》</w:t>
      </w:r>
    </w:p>
    <w:p w14:paraId="63BFFCB3">
      <w:pPr>
        <w:spacing w:line="240" w:lineRule="auto"/>
        <w:ind w:firstLine="640"/>
        <w:jc w:val="both"/>
      </w:pPr>
      <w:r>
        <w:rPr>
          <w:rFonts w:ascii="仿宋_GB2312" w:hAnsi="仿宋_GB2312" w:eastAsia="仿宋_GB2312"/>
          <w:b w:val="0"/>
          <w:sz w:val="32"/>
        </w:rPr>
        <w:t>八、《国有资本经营预算财政拨款收入支出决算表》</w:t>
      </w:r>
    </w:p>
    <w:p w14:paraId="60724B33">
      <w:pPr>
        <w:spacing w:line="240" w:lineRule="auto"/>
        <w:ind w:firstLine="640"/>
        <w:jc w:val="both"/>
      </w:pPr>
      <w:r>
        <w:rPr>
          <w:rFonts w:ascii="仿宋_GB2312" w:hAnsi="仿宋_GB2312" w:eastAsia="仿宋_GB2312"/>
          <w:b w:val="0"/>
          <w:sz w:val="32"/>
        </w:rPr>
        <w:t>九、《财政拨款“三公”经费支出决算表》</w:t>
      </w:r>
    </w:p>
    <w:p w14:paraId="4936FDE0">
      <w:pPr>
        <w:spacing w:line="240" w:lineRule="auto"/>
        <w:ind w:firstLine="640"/>
        <w:jc w:val="both"/>
      </w:pPr>
    </w:p>
    <w:p w14:paraId="35016624">
      <w:pPr>
        <w:spacing w:line="240" w:lineRule="auto"/>
        <w:ind w:firstLine="640"/>
        <w:jc w:val="both"/>
      </w:pPr>
    </w:p>
    <w:p w14:paraId="63F0A8A8">
      <w:pPr>
        <w:spacing w:line="240" w:lineRule="auto"/>
        <w:ind w:firstLine="640"/>
        <w:jc w:val="both"/>
      </w:pPr>
    </w:p>
    <w:p w14:paraId="79D32FD7">
      <w:pPr>
        <w:spacing w:line="240" w:lineRule="auto"/>
        <w:ind w:firstLine="640"/>
        <w:jc w:val="both"/>
      </w:pPr>
    </w:p>
    <w:p w14:paraId="3AD6222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908F59-AA09-426C-B8DD-7F2D265F80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92377C8-98B9-4451-BE98-5D2724A8E36A}"/>
  </w:font>
  <w:font w:name="仿宋_GB2312">
    <w:altName w:val="仿宋"/>
    <w:panose1 w:val="02010609030101010101"/>
    <w:charset w:val="86"/>
    <w:family w:val="modern"/>
    <w:pitch w:val="default"/>
    <w:sig w:usb0="00000000" w:usb1="00000000" w:usb2="00000000" w:usb3="00000000" w:csb0="00040000" w:csb1="00000000"/>
    <w:embedRegular r:id="rId3" w:fontKey="{B9B8277D-CC9A-4813-A56B-DDA143328B04}"/>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104A4A68-C92F-4A08-BE4C-B32A3DEF906A}"/>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8B431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7945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4553</Words>
  <Characters>5123</Characters>
  <Lines>0</Lines>
  <Paragraphs>0</Paragraphs>
  <TotalTime>1</TotalTime>
  <ScaleCrop>false</ScaleCrop>
  <LinksUpToDate>false</LinksUpToDate>
  <CharactersWithSpaces>5133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2025-09-17T10:24:03Z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