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伽师县农村数字电影放映站2024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36EF51">
      <w:r>
        <w:br w:type="page"/>
      </w:r>
    </w:p>
    <w:p w14:paraId="689172FE">
      <w:pPr>
        <w:spacing w:line="640" w:lineRule="exact"/>
        <w:jc w:val="center"/>
        <w:outlineLvl w:val="1"/>
      </w:pPr>
      <w:r>
        <w:rPr>
          <w:rFonts w:ascii="黑体" w:hAnsi="黑体" w:eastAsia="黑体"/>
          <w:sz w:val="32"/>
        </w:rPr>
        <w:t>第一部分 单位概况</w:t>
      </w:r>
    </w:p>
    <w:p w14:paraId="72A22FB7">
      <w:pPr>
        <w:spacing w:line="640" w:lineRule="exact"/>
        <w:ind w:firstLine="640"/>
        <w:jc w:val="both"/>
        <w:outlineLvl w:val="2"/>
      </w:pPr>
      <w:r>
        <w:rPr>
          <w:rFonts w:ascii="黑体" w:hAnsi="黑体" w:eastAsia="黑体"/>
          <w:sz w:val="32"/>
        </w:rPr>
        <w:t>一、主要职能</w:t>
      </w:r>
    </w:p>
    <w:p w14:paraId="59B80CD3">
      <w:pPr>
        <w:spacing w:line="580" w:lineRule="exact"/>
        <w:ind w:firstLine="640"/>
        <w:jc w:val="both"/>
      </w:pPr>
      <w:r>
        <w:rPr>
          <w:rFonts w:ascii="仿宋_GB2312" w:hAnsi="仿宋_GB2312" w:eastAsia="仿宋_GB2312"/>
          <w:sz w:val="32"/>
        </w:rPr>
        <w:t>（1）本单位负责完成伽师县“农村电影放映工程”，按上级文件精神保证全县13个乡(镇)各自然农民，每村每月1场电影（每年12场）。</w:t>
      </w:r>
    </w:p>
    <w:p w14:paraId="48F30004">
      <w:pPr>
        <w:spacing w:line="580" w:lineRule="exact"/>
        <w:ind w:firstLine="640"/>
        <w:jc w:val="both"/>
      </w:pPr>
      <w:r>
        <w:rPr>
          <w:rFonts w:ascii="仿宋_GB2312" w:hAnsi="仿宋_GB2312" w:eastAsia="仿宋_GB2312"/>
          <w:sz w:val="32"/>
        </w:rPr>
        <w:t>（2）负责保证在全县中、小学每学期观看2场爱国主义红色电影。</w:t>
      </w:r>
    </w:p>
    <w:p w14:paraId="6D3EFE38">
      <w:pPr>
        <w:spacing w:line="580" w:lineRule="exact"/>
        <w:ind w:firstLine="640"/>
        <w:jc w:val="both"/>
      </w:pPr>
      <w:r>
        <w:rPr>
          <w:rFonts w:ascii="仿宋_GB2312" w:hAnsi="仿宋_GB2312" w:eastAsia="仿宋_GB2312"/>
          <w:sz w:val="32"/>
        </w:rPr>
        <w:t>（3）负责各乡镇放映员的行业培训工作。</w:t>
      </w:r>
    </w:p>
    <w:p w14:paraId="42355B84">
      <w:pPr>
        <w:spacing w:line="580" w:lineRule="exact"/>
        <w:ind w:firstLine="640"/>
        <w:jc w:val="both"/>
      </w:pPr>
      <w:r>
        <w:rPr>
          <w:rFonts w:ascii="仿宋_GB2312" w:hAnsi="仿宋_GB2312" w:eastAsia="仿宋_GB2312"/>
          <w:sz w:val="32"/>
        </w:rPr>
        <w:t>（4）负责各乡镇放映员放映任务分配以及片源的供应。</w:t>
      </w:r>
    </w:p>
    <w:p w14:paraId="632B01FF">
      <w:pPr>
        <w:spacing w:line="580" w:lineRule="exact"/>
        <w:ind w:firstLine="640"/>
        <w:jc w:val="both"/>
      </w:pPr>
      <w:r>
        <w:rPr>
          <w:rFonts w:ascii="仿宋_GB2312" w:hAnsi="仿宋_GB2312" w:eastAsia="仿宋_GB2312"/>
          <w:sz w:val="32"/>
        </w:rPr>
        <w:t>（5）负责完成县上和上级部门交代的其他临时放映任务。</w:t>
      </w:r>
    </w:p>
    <w:p w14:paraId="75916C51">
      <w:pPr>
        <w:spacing w:line="640" w:lineRule="exact"/>
        <w:ind w:firstLine="640"/>
        <w:jc w:val="both"/>
        <w:outlineLvl w:val="2"/>
      </w:pPr>
      <w:r>
        <w:rPr>
          <w:rFonts w:ascii="黑体" w:hAnsi="黑体" w:eastAsia="黑体"/>
          <w:sz w:val="32"/>
        </w:rPr>
        <w:t>二、机构设置及人员情况</w:t>
      </w:r>
    </w:p>
    <w:p w14:paraId="726D6000">
      <w:pPr>
        <w:spacing w:line="580" w:lineRule="exact"/>
        <w:ind w:firstLine="640"/>
        <w:jc w:val="both"/>
      </w:pPr>
      <w:r>
        <w:rPr>
          <w:rFonts w:ascii="仿宋_GB2312" w:hAnsi="仿宋_GB2312" w:eastAsia="仿宋_GB2312"/>
          <w:sz w:val="32"/>
        </w:rPr>
        <w:t>伽师县农村数字电影放映站2024年度，实有人数5人，其中：在职人员1人，增加0人；离休人员0人，增加0人；退休人员4人,增加0人。</w:t>
      </w:r>
    </w:p>
    <w:p w14:paraId="33EB2B88">
      <w:pPr>
        <w:spacing w:line="580" w:lineRule="exact"/>
        <w:ind w:firstLine="640"/>
        <w:jc w:val="both"/>
      </w:pPr>
      <w:r>
        <w:rPr>
          <w:rFonts w:ascii="仿宋_GB2312" w:hAnsi="仿宋_GB2312" w:eastAsia="仿宋_GB2312"/>
          <w:sz w:val="32"/>
        </w:rPr>
        <w:t>伽师县农村数字电影放映站无下属预算单位，下设2个科室，分别是：财务室、综合办公室。</w:t>
      </w:r>
    </w:p>
    <w:p w14:paraId="2D78FE93">
      <w:r>
        <w:br w:type="page"/>
      </w:r>
    </w:p>
    <w:p w14:paraId="671D74DA">
      <w:pPr>
        <w:spacing w:line="240" w:lineRule="auto"/>
        <w:jc w:val="center"/>
        <w:outlineLvl w:val="1"/>
      </w:pPr>
      <w:r>
        <w:rPr>
          <w:rFonts w:ascii="黑体" w:hAnsi="黑体" w:eastAsia="黑体"/>
          <w:sz w:val="32"/>
        </w:rPr>
        <w:t>第二部分 部门决算情况说明</w:t>
      </w:r>
    </w:p>
    <w:p w14:paraId="44A10D1B">
      <w:pPr>
        <w:spacing w:line="640" w:lineRule="exact"/>
        <w:ind w:firstLine="640"/>
        <w:jc w:val="both"/>
        <w:outlineLvl w:val="2"/>
      </w:pPr>
      <w:r>
        <w:rPr>
          <w:rFonts w:ascii="黑体" w:hAnsi="黑体" w:eastAsia="黑体"/>
          <w:sz w:val="32"/>
        </w:rPr>
        <w:t>一、收入支出决算总体情况说明</w:t>
      </w:r>
    </w:p>
    <w:p w14:paraId="50A04F0B">
      <w:pPr>
        <w:spacing w:line="580" w:lineRule="exact"/>
        <w:ind w:firstLine="640"/>
        <w:jc w:val="both"/>
      </w:pPr>
      <w:r>
        <w:rPr>
          <w:rFonts w:ascii="仿宋_GB2312" w:hAnsi="仿宋_GB2312" w:eastAsia="仿宋_GB2312"/>
          <w:b/>
          <w:sz w:val="32"/>
        </w:rPr>
        <w:t>2024年度收入总计46.57万元，</w:t>
      </w:r>
      <w:r>
        <w:rPr>
          <w:rFonts w:ascii="仿宋_GB2312" w:hAnsi="仿宋_GB2312" w:eastAsia="仿宋_GB2312"/>
          <w:b w:val="0"/>
          <w:sz w:val="32"/>
        </w:rPr>
        <w:t>其中：本年收入合计46.57万元，使用非财政拨款结余（含专用结余）0.00万元，年初结转和结余0.00万元。</w:t>
      </w:r>
    </w:p>
    <w:p w14:paraId="006EB932">
      <w:pPr>
        <w:spacing w:line="580" w:lineRule="exact"/>
        <w:ind w:firstLine="640"/>
        <w:jc w:val="both"/>
      </w:pPr>
      <w:r>
        <w:rPr>
          <w:rFonts w:ascii="仿宋_GB2312" w:hAnsi="仿宋_GB2312" w:eastAsia="仿宋_GB2312"/>
          <w:b/>
          <w:sz w:val="32"/>
        </w:rPr>
        <w:t>2024年度支出总计46.57万元，</w:t>
      </w:r>
      <w:r>
        <w:rPr>
          <w:rFonts w:ascii="仿宋_GB2312" w:hAnsi="仿宋_GB2312" w:eastAsia="仿宋_GB2312"/>
          <w:b w:val="0"/>
          <w:sz w:val="32"/>
        </w:rPr>
        <w:t>其中：本年支出合计46.57万元，结余分配0.00万元，年末结转和结余0.00万元。</w:t>
      </w:r>
    </w:p>
    <w:p w14:paraId="15B504A2">
      <w:pPr>
        <w:spacing w:line="580" w:lineRule="exact"/>
        <w:ind w:firstLine="640"/>
        <w:jc w:val="both"/>
      </w:pPr>
      <w:r>
        <w:rPr>
          <w:rFonts w:ascii="仿宋_GB2312" w:hAnsi="仿宋_GB2312" w:eastAsia="仿宋_GB2312"/>
          <w:b w:val="0"/>
          <w:sz w:val="32"/>
        </w:rPr>
        <w:t>收入支出总体与上年相比，增加17.18万元，增长58.46%，主要原因是：本年增加农村公共文化服务体系项目资金，导致经费较上年增加。</w:t>
      </w:r>
    </w:p>
    <w:p w14:paraId="7954E6CF">
      <w:pPr>
        <w:spacing w:line="640" w:lineRule="exact"/>
        <w:ind w:firstLine="640"/>
        <w:jc w:val="both"/>
        <w:outlineLvl w:val="2"/>
      </w:pPr>
      <w:r>
        <w:rPr>
          <w:rFonts w:ascii="黑体" w:hAnsi="黑体" w:eastAsia="黑体"/>
          <w:sz w:val="32"/>
        </w:rPr>
        <w:t>二、收入决算情况说明</w:t>
      </w:r>
    </w:p>
    <w:p w14:paraId="2D9419F5">
      <w:pPr>
        <w:spacing w:line="580" w:lineRule="exact"/>
        <w:ind w:firstLine="640"/>
        <w:jc w:val="both"/>
      </w:pPr>
      <w:r>
        <w:rPr>
          <w:rFonts w:ascii="仿宋_GB2312" w:hAnsi="仿宋_GB2312" w:eastAsia="仿宋_GB2312"/>
          <w:b/>
          <w:sz w:val="32"/>
        </w:rPr>
        <w:t>本年收入46.57万元，</w:t>
      </w:r>
      <w:r>
        <w:rPr>
          <w:rFonts w:ascii="仿宋_GB2312" w:hAnsi="仿宋_GB2312" w:eastAsia="仿宋_GB2312"/>
          <w:b w:val="0"/>
          <w:sz w:val="32"/>
        </w:rPr>
        <w:t>其中：财政拨款收入46.57万元，占100.00%；上级补助收入0.00万元，占0.00%；事业收入0.00万元，占0.00%；经营收入0.00万元，占0.00%；附属单位上缴收入0.00万元，占0.00%；其他收入0.00万元，占0.00%。</w:t>
      </w:r>
    </w:p>
    <w:p w14:paraId="6CAA494C">
      <w:pPr>
        <w:spacing w:line="640" w:lineRule="exact"/>
        <w:ind w:firstLine="640"/>
        <w:jc w:val="both"/>
        <w:outlineLvl w:val="2"/>
      </w:pPr>
      <w:r>
        <w:rPr>
          <w:rFonts w:ascii="黑体" w:hAnsi="黑体" w:eastAsia="黑体"/>
          <w:sz w:val="32"/>
        </w:rPr>
        <w:t>三、支出决算情况说明</w:t>
      </w:r>
    </w:p>
    <w:p w14:paraId="7728D9D9">
      <w:pPr>
        <w:spacing w:line="580" w:lineRule="exact"/>
        <w:ind w:firstLine="640"/>
        <w:jc w:val="both"/>
      </w:pPr>
      <w:r>
        <w:rPr>
          <w:rFonts w:ascii="仿宋_GB2312" w:hAnsi="仿宋_GB2312" w:eastAsia="仿宋_GB2312"/>
          <w:b/>
          <w:sz w:val="32"/>
        </w:rPr>
        <w:t>本年支出46.57万元，</w:t>
      </w:r>
      <w:r>
        <w:rPr>
          <w:rFonts w:ascii="仿宋_GB2312" w:hAnsi="仿宋_GB2312" w:eastAsia="仿宋_GB2312"/>
          <w:b w:val="0"/>
          <w:sz w:val="32"/>
        </w:rPr>
        <w:t>其中：基本支出20.57万元，占44.17%；项目支出26.00万元，占55.83%；上缴上级支出0.00万元，占0.00%；经营支出0.00万元，占0.00%；对附属单位补助支出0.00万元，占0.00%。</w:t>
      </w:r>
    </w:p>
    <w:p w14:paraId="56128B4B">
      <w:pPr>
        <w:spacing w:line="640" w:lineRule="exact"/>
        <w:ind w:firstLine="640"/>
        <w:jc w:val="both"/>
        <w:outlineLvl w:val="2"/>
      </w:pPr>
      <w:r>
        <w:rPr>
          <w:rFonts w:ascii="黑体" w:hAnsi="黑体" w:eastAsia="黑体"/>
          <w:sz w:val="32"/>
        </w:rPr>
        <w:t>四、财政拨款收入支出决算总体情况说明</w:t>
      </w:r>
    </w:p>
    <w:p w14:paraId="1C13BB2E">
      <w:pPr>
        <w:spacing w:line="580" w:lineRule="exact"/>
        <w:ind w:firstLine="640"/>
        <w:jc w:val="both"/>
      </w:pPr>
      <w:r>
        <w:rPr>
          <w:rFonts w:ascii="仿宋_GB2312" w:hAnsi="仿宋_GB2312" w:eastAsia="仿宋_GB2312"/>
          <w:b/>
          <w:sz w:val="32"/>
        </w:rPr>
        <w:t>2024年度财政拨款收入总计46.57万元，</w:t>
      </w:r>
      <w:r>
        <w:rPr>
          <w:rFonts w:ascii="仿宋_GB2312" w:hAnsi="仿宋_GB2312" w:eastAsia="仿宋_GB2312"/>
          <w:b w:val="0"/>
          <w:sz w:val="32"/>
        </w:rPr>
        <w:t>其中：年初财政拨款结转和结余0.00万元，本年财政拨款收入46.57万元。</w:t>
      </w:r>
      <w:r>
        <w:rPr>
          <w:rFonts w:ascii="仿宋_GB2312" w:hAnsi="仿宋_GB2312" w:eastAsia="仿宋_GB2312"/>
          <w:b/>
          <w:sz w:val="32"/>
        </w:rPr>
        <w:t>财政拨款支出总计46.57万元，</w:t>
      </w:r>
      <w:r>
        <w:rPr>
          <w:rFonts w:ascii="仿宋_GB2312" w:hAnsi="仿宋_GB2312" w:eastAsia="仿宋_GB2312"/>
          <w:b w:val="0"/>
          <w:sz w:val="32"/>
        </w:rPr>
        <w:t>其中：年末财政拨款结转和结余0.00万元，本年财政拨款支出46.57万元。</w:t>
      </w:r>
    </w:p>
    <w:p w14:paraId="3555352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增加17.18万元，增长58.46%，主要原因是：本年增加农村公共文化服务体系项目资金，导致经费较上年增加。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年初预算数20.58万元，决算数46.57万元，预决算差异率126.29%，主要原因是：年中追加人员工资、社保、公积金基数调增部分资金及农村公共文化服务体系项目资金，导致预决算存在差异。</w:t>
      </w:r>
    </w:p>
    <w:p w14:paraId="2AFD3E76">
      <w:pPr>
        <w:spacing w:line="640" w:lineRule="exact"/>
        <w:ind w:firstLine="640"/>
        <w:jc w:val="both"/>
        <w:outlineLvl w:val="2"/>
      </w:pPr>
      <w:r>
        <w:rPr>
          <w:rFonts w:ascii="黑体" w:hAnsi="黑体" w:eastAsia="黑体"/>
          <w:sz w:val="32"/>
        </w:rPr>
        <w:t>五、一般公共预算财政拨款支出决算情况说明</w:t>
      </w:r>
    </w:p>
    <w:p w14:paraId="7D81EE97">
      <w:pPr>
        <w:spacing w:line="640" w:lineRule="exact"/>
        <w:ind w:firstLine="640"/>
        <w:jc w:val="both"/>
        <w:outlineLvl w:val="3"/>
      </w:pPr>
      <w:r>
        <w:rPr>
          <w:rFonts w:ascii="楷体_GB2312" w:hAnsi="楷体_GB2312" w:eastAsia="楷体_GB2312"/>
          <w:b/>
          <w:sz w:val="32"/>
        </w:rPr>
        <w:t>（一）一般公共预算财政拨款支出决算总体情况</w:t>
      </w:r>
    </w:p>
    <w:p w14:paraId="5A582ED0">
      <w:pPr>
        <w:spacing w:line="580" w:lineRule="exact"/>
        <w:ind w:firstLine="640"/>
        <w:jc w:val="both"/>
      </w:pPr>
      <w:r>
        <w:rPr>
          <w:rFonts w:ascii="仿宋_GB2312" w:hAnsi="仿宋_GB2312" w:eastAsia="仿宋_GB2312"/>
          <w:b/>
          <w:sz w:val="32"/>
        </w:rPr>
        <w:t>2024年度一般公共预算财政拨款支出46.57万元，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增加17.18万元，增长58.46%，主要原因是：本年增加农村公共文化服务体系项目资金，导致经费较上年增加。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年初预算数20.58万元，决算数46.57万元，预决算差异率126.29%，主要原因是：年中追加人员工资、社保、公积金基数调增部分资金及农村公共文化服务体系项目资金，导致预决算存在差异。</w:t>
      </w:r>
    </w:p>
    <w:p w14:paraId="560883E2">
      <w:pPr>
        <w:spacing w:line="640" w:lineRule="exact"/>
        <w:ind w:firstLine="640"/>
        <w:jc w:val="both"/>
        <w:outlineLvl w:val="3"/>
      </w:pPr>
      <w:r>
        <w:rPr>
          <w:rFonts w:ascii="楷体_GB2312" w:hAnsi="楷体_GB2312" w:eastAsia="楷体_GB2312"/>
          <w:b/>
          <w:sz w:val="32"/>
        </w:rPr>
        <w:t>（二）一般公共预算财政拨款支出决算结构情况</w:t>
      </w:r>
    </w:p>
    <w:p w14:paraId="75A7BB79">
      <w:pPr>
        <w:spacing w:line="580" w:lineRule="exact"/>
        <w:ind w:firstLine="640"/>
        <w:jc w:val="both"/>
      </w:pPr>
      <w:r>
        <w:rPr>
          <w:rFonts w:ascii="仿宋_GB2312" w:hAnsi="仿宋_GB2312" w:eastAsia="仿宋_GB2312"/>
          <w:b w:val="0"/>
          <w:sz w:val="32"/>
        </w:rPr>
        <w:t>1.文化旅游体育与传媒支出(类)46.57万元,占100.00%。</w:t>
      </w:r>
    </w:p>
    <w:p w14:paraId="2B0161B2">
      <w:pPr>
        <w:spacing w:line="640" w:lineRule="exact"/>
        <w:ind w:firstLine="640"/>
        <w:jc w:val="both"/>
        <w:outlineLvl w:val="3"/>
      </w:pPr>
      <w:r>
        <w:rPr>
          <w:rFonts w:ascii="楷体_GB2312" w:hAnsi="楷体_GB2312" w:eastAsia="楷体_GB2312"/>
          <w:b/>
          <w:sz w:val="32"/>
        </w:rPr>
        <w:t>（三）一般公共预算财政拨款支出决算具体情况</w:t>
      </w:r>
    </w:p>
    <w:p w14:paraId="1E0DCB28">
      <w:pPr>
        <w:spacing w:line="580" w:lineRule="exact"/>
        <w:ind w:firstLine="640"/>
        <w:jc w:val="both"/>
      </w:pPr>
      <w:r>
        <w:rPr>
          <w:rFonts w:ascii="仿宋_GB2312" w:hAnsi="仿宋_GB2312" w:eastAsia="仿宋_GB2312"/>
          <w:b w:val="0"/>
          <w:sz w:val="32"/>
        </w:rPr>
        <w:t>1.文化旅游体育与传媒支出(类)新闻出版电影(款)电影(项):支出决算数为46.57万元，比上年决算增加17.18万元，增长58.46%,主要原因是：本年度增加农村公共文化服务体系项目资金。</w:t>
      </w:r>
    </w:p>
    <w:p w14:paraId="2D06C744">
      <w:pPr>
        <w:spacing w:line="640" w:lineRule="exact"/>
        <w:ind w:firstLine="640"/>
        <w:jc w:val="both"/>
        <w:outlineLvl w:val="2"/>
      </w:pPr>
      <w:r>
        <w:rPr>
          <w:rFonts w:ascii="黑体" w:hAnsi="黑体" w:eastAsia="黑体"/>
          <w:sz w:val="32"/>
        </w:rPr>
        <w:t>六、一般公共预算财政拨款基本支出决算情况说明</w:t>
      </w:r>
    </w:p>
    <w:p w14:paraId="0FEEE741">
      <w:pPr>
        <w:spacing w:line="580" w:lineRule="exact"/>
        <w:ind w:firstLine="640"/>
        <w:jc w:val="both"/>
      </w:pPr>
      <w:r>
        <w:rPr>
          <w:rFonts w:ascii="仿宋_GB2312" w:hAnsi="仿宋_GB2312" w:eastAsia="仿宋_GB2312"/>
          <w:b w:val="0"/>
          <w:sz w:val="32"/>
        </w:rPr>
        <w:t>2024年度一般公共预算财政拨款基本支出20.57万元，其中：</w:t>
      </w:r>
      <w:r>
        <w:rPr>
          <w:rFonts w:ascii="仿宋_GB2312" w:hAnsi="仿宋_GB2312" w:eastAsia="仿宋_GB2312"/>
          <w:b/>
          <w:sz w:val="32"/>
        </w:rPr>
        <w:t>人员经费20.21万元，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6CFB538F">
      <w:pPr>
        <w:spacing w:line="580" w:lineRule="exact"/>
        <w:ind w:firstLine="640"/>
        <w:jc w:val="both"/>
      </w:pPr>
      <w:r>
        <w:rPr>
          <w:rFonts w:ascii="仿宋_GB2312" w:hAnsi="仿宋_GB2312" w:eastAsia="仿宋_GB2312"/>
          <w:b/>
          <w:sz w:val="32"/>
        </w:rPr>
        <w:t>公用经费0.37万元，</w:t>
      </w:r>
      <w:r>
        <w:rPr>
          <w:rFonts w:ascii="仿宋_GB2312" w:hAnsi="仿宋_GB2312" w:eastAsia="仿宋_GB2312"/>
          <w:b w:val="0"/>
          <w:sz w:val="32"/>
        </w:rPr>
        <w:t>包括：办公费、公务接待费。</w:t>
      </w:r>
    </w:p>
    <w:p w14:paraId="1D1B739D">
      <w:pPr>
        <w:spacing w:line="640" w:lineRule="exact"/>
        <w:ind w:firstLine="640"/>
        <w:jc w:val="both"/>
        <w:outlineLvl w:val="2"/>
      </w:pPr>
      <w:r>
        <w:rPr>
          <w:rFonts w:ascii="黑体" w:hAnsi="黑体" w:eastAsia="黑体"/>
          <w:sz w:val="32"/>
        </w:rPr>
        <w:t>七、政府性基金预算财政拨款收入支出决算情况说明</w:t>
      </w:r>
    </w:p>
    <w:p w14:paraId="677D782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BBAB2A">
      <w:pPr>
        <w:spacing w:line="640" w:lineRule="exact"/>
        <w:ind w:firstLine="640"/>
        <w:jc w:val="both"/>
        <w:outlineLvl w:val="2"/>
      </w:pPr>
      <w:r>
        <w:rPr>
          <w:rFonts w:ascii="黑体" w:hAnsi="黑体" w:eastAsia="黑体"/>
          <w:sz w:val="32"/>
        </w:rPr>
        <w:t>八、国有资本经营预算财政拨款收入支出决算情况说明</w:t>
      </w:r>
    </w:p>
    <w:p w14:paraId="4558E6F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B5E5C5">
      <w:pPr>
        <w:spacing w:line="640" w:lineRule="exact"/>
        <w:ind w:firstLine="640"/>
        <w:jc w:val="both"/>
        <w:outlineLvl w:val="2"/>
      </w:pPr>
      <w:r>
        <w:rPr>
          <w:rFonts w:ascii="黑体" w:hAnsi="黑体" w:eastAsia="黑体"/>
          <w:sz w:val="32"/>
        </w:rPr>
        <w:t>九、财政拨款“三公”经费支出决算情况说明</w:t>
      </w:r>
    </w:p>
    <w:p w14:paraId="4D37B53E">
      <w:pPr>
        <w:spacing w:line="580" w:lineRule="exact"/>
        <w:ind w:firstLine="640"/>
        <w:jc w:val="both"/>
      </w:pPr>
      <w:r>
        <w:rPr>
          <w:rFonts w:ascii="仿宋_GB2312" w:hAnsi="仿宋_GB2312" w:eastAsia="仿宋_GB2312"/>
          <w:b/>
          <w:sz w:val="32"/>
        </w:rPr>
        <w:t>2024年度财政拨款“三公”经费支出0.01万元，</w:t>
      </w:r>
      <w:r>
        <w:rPr>
          <w:rFonts w:ascii="仿宋_GB2312" w:hAnsi="仿宋_GB2312" w:eastAsia="仿宋_GB2312"/>
          <w:b w:val="0"/>
          <w:sz w:val="32"/>
        </w:rPr>
        <w:t>比上年增加0.01万元，增长100.00%，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0.01万元，占100.00%，比上年增加0.01万元，增长100.00%，主要原因是：本年因业务需求，增加公务接待工作，导致公务接待费较上年增加。</w:t>
      </w:r>
    </w:p>
    <w:p w14:paraId="3674A822">
      <w:pPr>
        <w:spacing w:line="580" w:lineRule="exact"/>
        <w:ind w:firstLine="640"/>
        <w:jc w:val="both"/>
      </w:pPr>
      <w:r>
        <w:rPr>
          <w:rFonts w:ascii="仿宋_GB2312" w:hAnsi="仿宋_GB2312" w:eastAsia="仿宋_GB2312"/>
          <w:b/>
          <w:sz w:val="32"/>
        </w:rPr>
        <w:t>具体情况如下：</w:t>
      </w:r>
    </w:p>
    <w:p w14:paraId="2846465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E2917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CA4A4AF">
      <w:pPr>
        <w:spacing w:line="580" w:lineRule="exact"/>
        <w:ind w:firstLine="640"/>
        <w:jc w:val="both"/>
      </w:pPr>
      <w:r>
        <w:rPr>
          <w:rFonts w:ascii="仿宋_GB2312" w:hAnsi="仿宋_GB2312" w:eastAsia="仿宋_GB2312"/>
          <w:b w:val="0"/>
          <w:sz w:val="32"/>
        </w:rPr>
        <w:t>公务接待费0.01万元，开支内容包括因购买新电影放映设备，培训农村公益电影放映，接待地区培训人员产生的就餐费。单位全年安排的国内公务接待1批次，3人次。</w:t>
      </w:r>
    </w:p>
    <w:p w14:paraId="15A9A4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0.01万元，决算数0.01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0.01万元，决算数0.01万元，预决算差异率0.00%，主要原因是：严格按照预算执行，预决算无差异。</w:t>
      </w:r>
    </w:p>
    <w:p w14:paraId="7E309EEE">
      <w:pPr>
        <w:spacing w:line="640" w:lineRule="exact"/>
        <w:ind w:firstLine="640"/>
        <w:jc w:val="both"/>
        <w:outlineLvl w:val="2"/>
      </w:pPr>
      <w:r>
        <w:rPr>
          <w:rFonts w:ascii="黑体" w:hAnsi="黑体" w:eastAsia="黑体"/>
          <w:sz w:val="32"/>
        </w:rPr>
        <w:t>十、其他重要事项的情况说明</w:t>
      </w:r>
    </w:p>
    <w:p w14:paraId="1A1777A6">
      <w:pPr>
        <w:spacing w:line="640" w:lineRule="exact"/>
        <w:ind w:firstLine="640"/>
        <w:jc w:val="both"/>
        <w:outlineLvl w:val="3"/>
      </w:pPr>
      <w:r>
        <w:rPr>
          <w:rFonts w:ascii="楷体_GB2312" w:hAnsi="楷体_GB2312" w:eastAsia="楷体_GB2312"/>
          <w:b/>
          <w:sz w:val="32"/>
        </w:rPr>
        <w:t>（一）机关运行经费及公用经费支出情况</w:t>
      </w:r>
    </w:p>
    <w:p w14:paraId="5D9C80D9">
      <w:pPr>
        <w:spacing w:line="580" w:lineRule="exact"/>
        <w:ind w:firstLine="640"/>
        <w:jc w:val="both"/>
      </w:pPr>
      <w:r>
        <w:rPr>
          <w:rFonts w:ascii="仿宋_GB2312" w:hAnsi="仿宋_GB2312" w:eastAsia="仿宋_GB2312"/>
          <w:b w:val="0"/>
          <w:sz w:val="32"/>
        </w:rPr>
        <w:t>2024年度伽师县农村数字电影放映站（事业单位）公用经费支出0.37万元，比上年增加0.11万元，增长42.31%，主要原因是：本年办公费支出增加，相应支出增加。</w:t>
      </w:r>
    </w:p>
    <w:p w14:paraId="0B0E672E">
      <w:pPr>
        <w:spacing w:line="640" w:lineRule="exact"/>
        <w:ind w:firstLine="640"/>
        <w:jc w:val="both"/>
        <w:outlineLvl w:val="3"/>
      </w:pPr>
      <w:r>
        <w:rPr>
          <w:rFonts w:ascii="楷体_GB2312" w:hAnsi="楷体_GB2312" w:eastAsia="楷体_GB2312"/>
          <w:b/>
          <w:sz w:val="32"/>
        </w:rPr>
        <w:t>（二）政府采购情况</w:t>
      </w:r>
    </w:p>
    <w:p w14:paraId="0F248C8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AA0E36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F6146FC">
      <w:pPr>
        <w:spacing w:line="640" w:lineRule="exact"/>
        <w:ind w:firstLine="640"/>
        <w:jc w:val="both"/>
        <w:outlineLvl w:val="3"/>
      </w:pPr>
      <w:r>
        <w:rPr>
          <w:rFonts w:ascii="楷体_GB2312" w:hAnsi="楷体_GB2312" w:eastAsia="楷体_GB2312"/>
          <w:b/>
          <w:sz w:val="32"/>
        </w:rPr>
        <w:t>（三）国有资产占用情况说明</w:t>
      </w:r>
    </w:p>
    <w:p w14:paraId="16838B1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E171C0">
      <w:pPr>
        <w:spacing w:line="640" w:lineRule="exact"/>
        <w:ind w:firstLine="640"/>
        <w:jc w:val="both"/>
        <w:outlineLvl w:val="2"/>
      </w:pPr>
      <w:r>
        <w:rPr>
          <w:rFonts w:ascii="黑体" w:hAnsi="黑体" w:eastAsia="黑体"/>
          <w:sz w:val="32"/>
        </w:rPr>
        <w:t>十一、预算绩效的情况说明</w:t>
      </w:r>
    </w:p>
    <w:p w14:paraId="5F726C6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w:t>
      </w:r>
      <w:r>
        <w:rPr>
          <w:rFonts w:hint="eastAsia" w:ascii="仿宋_GB2312" w:hAnsi="仿宋_GB2312" w:eastAsia="仿宋_GB2312"/>
          <w:b w:val="0"/>
          <w:sz w:val="32"/>
          <w:lang w:val="en-US" w:eastAsia="zh-CN"/>
        </w:rPr>
        <w:t>无</w:t>
      </w:r>
      <w:r>
        <w:rPr>
          <w:rFonts w:ascii="仿宋_GB2312" w:hAnsi="仿宋_GB2312" w:eastAsia="仿宋_GB2312"/>
          <w:b w:val="0"/>
          <w:sz w:val="32"/>
        </w:rPr>
        <w:t>项目绩效自评表。发现的问题及原因：本单位</w:t>
      </w:r>
      <w:r>
        <w:rPr>
          <w:rFonts w:hint="eastAsia" w:ascii="仿宋_GB2312" w:hAnsi="仿宋_GB2312" w:eastAsia="仿宋_GB2312"/>
          <w:b w:val="0"/>
          <w:sz w:val="32"/>
          <w:lang w:val="en-US" w:eastAsia="zh-CN"/>
        </w:rPr>
        <w:t>无</w:t>
      </w:r>
      <w:r>
        <w:rPr>
          <w:rFonts w:ascii="仿宋_GB2312" w:hAnsi="仿宋_GB2312" w:eastAsia="仿宋_GB2312"/>
          <w:b w:val="0"/>
          <w:sz w:val="32"/>
        </w:rPr>
        <w:t>项目绩效自评表。下一步改进措施：本单位</w:t>
      </w:r>
      <w:r>
        <w:rPr>
          <w:rFonts w:hint="eastAsia" w:ascii="仿宋_GB2312" w:hAnsi="仿宋_GB2312" w:eastAsia="仿宋_GB2312"/>
          <w:b w:val="0"/>
          <w:sz w:val="32"/>
          <w:lang w:val="en-US" w:eastAsia="zh-CN"/>
        </w:rPr>
        <w:t>无</w:t>
      </w:r>
      <w:r>
        <w:rPr>
          <w:rFonts w:ascii="仿宋_GB2312" w:hAnsi="仿宋_GB2312" w:eastAsia="仿宋_GB2312"/>
          <w:b w:val="0"/>
          <w:sz w:val="32"/>
        </w:rPr>
        <w:t>项目绩效自评表</w:t>
      </w:r>
      <w:bookmarkStart w:id="0" w:name="_GoBack"/>
      <w:bookmarkEnd w:id="0"/>
      <w:r>
        <w:rPr>
          <w:rFonts w:ascii="仿宋_GB2312" w:hAnsi="仿宋_GB2312" w:eastAsia="仿宋_GB2312"/>
          <w:b w:val="0"/>
          <w:sz w:val="32"/>
        </w:rPr>
        <w:t>。</w:t>
      </w:r>
    </w:p>
    <w:p w14:paraId="139D5E2B">
      <w:r>
        <w:br w:type="page"/>
      </w:r>
    </w:p>
    <w:p w14:paraId="6E3FD8C9">
      <w:pPr>
        <w:spacing w:line="640" w:lineRule="exact"/>
        <w:ind w:firstLine="640"/>
        <w:jc w:val="both"/>
        <w:outlineLvl w:val="2"/>
      </w:pPr>
      <w:r>
        <w:rPr>
          <w:rFonts w:ascii="黑体" w:hAnsi="黑体" w:eastAsia="黑体"/>
          <w:sz w:val="32"/>
        </w:rPr>
        <w:t>十二、其他需说明的事项</w:t>
      </w:r>
    </w:p>
    <w:p w14:paraId="4FAF3FB8">
      <w:pPr>
        <w:spacing w:line="580" w:lineRule="exact"/>
        <w:ind w:firstLine="640"/>
        <w:jc w:val="both"/>
      </w:pPr>
      <w:r>
        <w:rPr>
          <w:rFonts w:ascii="仿宋_GB2312" w:hAnsi="仿宋_GB2312" w:eastAsia="仿宋_GB2312"/>
          <w:b w:val="0"/>
          <w:sz w:val="32"/>
        </w:rPr>
        <w:t>本年度本单位整体绩效自评表由伽师县委宣传部编报并公开。</w:t>
      </w:r>
    </w:p>
    <w:p w14:paraId="0717E078">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B4416D8">
      <w:r>
        <w:br w:type="page"/>
      </w:r>
    </w:p>
    <w:p w14:paraId="31D0AA60">
      <w:pPr>
        <w:spacing w:line="240" w:lineRule="auto"/>
        <w:jc w:val="center"/>
        <w:outlineLvl w:val="1"/>
      </w:pPr>
      <w:r>
        <w:rPr>
          <w:rFonts w:ascii="黑体" w:hAnsi="黑体" w:eastAsia="黑体"/>
          <w:sz w:val="32"/>
        </w:rPr>
        <w:t>第三部分 专业名词解释</w:t>
      </w:r>
    </w:p>
    <w:p w14:paraId="5135FC8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7C24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16AE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FAA4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3C6D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8B3CE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A36C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E3D7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46CA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805CD9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D4278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A0368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86C4D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9CF48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40F39B">
      <w:r>
        <w:br w:type="page"/>
      </w:r>
    </w:p>
    <w:p w14:paraId="38649BE6">
      <w:pPr>
        <w:spacing w:line="240" w:lineRule="auto"/>
        <w:jc w:val="center"/>
        <w:outlineLvl w:val="1"/>
      </w:pPr>
      <w:r>
        <w:rPr>
          <w:rFonts w:ascii="黑体" w:hAnsi="黑体" w:eastAsia="黑体"/>
          <w:sz w:val="32"/>
        </w:rPr>
        <w:t>第四部分 部门决算报表（见附表）</w:t>
      </w:r>
    </w:p>
    <w:p w14:paraId="327636A3">
      <w:pPr>
        <w:spacing w:line="240" w:lineRule="auto"/>
        <w:ind w:firstLine="640"/>
        <w:jc w:val="both"/>
      </w:pPr>
      <w:r>
        <w:rPr>
          <w:rFonts w:ascii="仿宋_GB2312" w:hAnsi="仿宋_GB2312" w:eastAsia="仿宋_GB2312"/>
          <w:b w:val="0"/>
          <w:sz w:val="32"/>
        </w:rPr>
        <w:t>一、《收入支出决算总表》</w:t>
      </w:r>
    </w:p>
    <w:p w14:paraId="44E86CFE">
      <w:pPr>
        <w:spacing w:line="240" w:lineRule="auto"/>
        <w:ind w:firstLine="640"/>
        <w:jc w:val="both"/>
      </w:pPr>
      <w:r>
        <w:rPr>
          <w:rFonts w:ascii="仿宋_GB2312" w:hAnsi="仿宋_GB2312" w:eastAsia="仿宋_GB2312"/>
          <w:b w:val="0"/>
          <w:sz w:val="32"/>
        </w:rPr>
        <w:t>二、《收入决算表》</w:t>
      </w:r>
    </w:p>
    <w:p w14:paraId="6A289F2B">
      <w:pPr>
        <w:spacing w:line="240" w:lineRule="auto"/>
        <w:ind w:firstLine="640"/>
        <w:jc w:val="both"/>
      </w:pPr>
      <w:r>
        <w:rPr>
          <w:rFonts w:ascii="仿宋_GB2312" w:hAnsi="仿宋_GB2312" w:eastAsia="仿宋_GB2312"/>
          <w:b w:val="0"/>
          <w:sz w:val="32"/>
        </w:rPr>
        <w:t>三、《支出决算表》</w:t>
      </w:r>
    </w:p>
    <w:p w14:paraId="1698D0BF">
      <w:pPr>
        <w:spacing w:line="240" w:lineRule="auto"/>
        <w:ind w:firstLine="640"/>
        <w:jc w:val="both"/>
      </w:pPr>
      <w:r>
        <w:rPr>
          <w:rFonts w:ascii="仿宋_GB2312" w:hAnsi="仿宋_GB2312" w:eastAsia="仿宋_GB2312"/>
          <w:b w:val="0"/>
          <w:sz w:val="32"/>
        </w:rPr>
        <w:t>四、《财政拨款收入支出决算总表》</w:t>
      </w:r>
    </w:p>
    <w:p w14:paraId="453F19FA">
      <w:pPr>
        <w:spacing w:line="240" w:lineRule="auto"/>
        <w:ind w:firstLine="640"/>
        <w:jc w:val="both"/>
      </w:pPr>
      <w:r>
        <w:rPr>
          <w:rFonts w:ascii="仿宋_GB2312" w:hAnsi="仿宋_GB2312" w:eastAsia="仿宋_GB2312"/>
          <w:b w:val="0"/>
          <w:sz w:val="32"/>
        </w:rPr>
        <w:t>五、《一般公共预算财政拨款支出决算表》</w:t>
      </w:r>
    </w:p>
    <w:p w14:paraId="1CF733D4">
      <w:pPr>
        <w:spacing w:line="240" w:lineRule="auto"/>
        <w:ind w:firstLine="640"/>
        <w:jc w:val="both"/>
      </w:pPr>
      <w:r>
        <w:rPr>
          <w:rFonts w:ascii="仿宋_GB2312" w:hAnsi="仿宋_GB2312" w:eastAsia="仿宋_GB2312"/>
          <w:b w:val="0"/>
          <w:sz w:val="32"/>
        </w:rPr>
        <w:t>六、《一般公共预算财政拨款基本支出决算表》</w:t>
      </w:r>
    </w:p>
    <w:p w14:paraId="59298087">
      <w:pPr>
        <w:spacing w:line="240" w:lineRule="auto"/>
        <w:ind w:firstLine="640"/>
        <w:jc w:val="both"/>
      </w:pPr>
      <w:r>
        <w:rPr>
          <w:rFonts w:ascii="仿宋_GB2312" w:hAnsi="仿宋_GB2312" w:eastAsia="仿宋_GB2312"/>
          <w:b w:val="0"/>
          <w:sz w:val="32"/>
        </w:rPr>
        <w:t>七、《政府性基金预算财政拨款收入支出决算表》</w:t>
      </w:r>
    </w:p>
    <w:p w14:paraId="703DC9C9">
      <w:pPr>
        <w:spacing w:line="240" w:lineRule="auto"/>
        <w:ind w:firstLine="640"/>
        <w:jc w:val="both"/>
      </w:pPr>
      <w:r>
        <w:rPr>
          <w:rFonts w:ascii="仿宋_GB2312" w:hAnsi="仿宋_GB2312" w:eastAsia="仿宋_GB2312"/>
          <w:b w:val="0"/>
          <w:sz w:val="32"/>
        </w:rPr>
        <w:t>八、《国有资本经营预算财政拨款收入支出决算表》</w:t>
      </w:r>
    </w:p>
    <w:p w14:paraId="68F0326E">
      <w:pPr>
        <w:spacing w:line="240" w:lineRule="auto"/>
        <w:ind w:firstLine="640"/>
        <w:jc w:val="both"/>
      </w:pPr>
      <w:r>
        <w:rPr>
          <w:rFonts w:ascii="仿宋_GB2312" w:hAnsi="仿宋_GB2312" w:eastAsia="仿宋_GB2312"/>
          <w:b w:val="0"/>
          <w:sz w:val="32"/>
        </w:rPr>
        <w:t>九、《财政拨款“三公”经费支出决算表》</w:t>
      </w:r>
    </w:p>
    <w:p w14:paraId="706C1B73">
      <w:pPr>
        <w:spacing w:line="240" w:lineRule="auto"/>
        <w:ind w:firstLine="640"/>
        <w:jc w:val="both"/>
      </w:pPr>
    </w:p>
    <w:p w14:paraId="4FDA1C2C">
      <w:pPr>
        <w:spacing w:line="240" w:lineRule="auto"/>
        <w:ind w:firstLine="640"/>
        <w:jc w:val="both"/>
      </w:pPr>
    </w:p>
    <w:p w14:paraId="5E53378A">
      <w:pPr>
        <w:spacing w:line="240" w:lineRule="auto"/>
        <w:ind w:firstLine="640"/>
        <w:jc w:val="both"/>
      </w:pPr>
    </w:p>
    <w:p w14:paraId="26FE7B10">
      <w:pPr>
        <w:spacing w:line="240" w:lineRule="auto"/>
        <w:ind w:firstLine="640"/>
        <w:jc w:val="both"/>
      </w:pPr>
    </w:p>
    <w:p w14:paraId="2BF1FA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DB714B"/>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4487</Words>
  <Characters>4965</Characters>
  <Lines>0</Lines>
  <Paragraphs>0</Paragraphs>
  <TotalTime>1</TotalTime>
  <ScaleCrop>false</ScaleCrop>
  <LinksUpToDate>false</LinksUpToDate>
  <CharactersWithSpaces>4975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2025-09-17T04:08:37Z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