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0D590A5A">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伽师县古勒鲁克乡第一小学2024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4ED0FD3">
      <w:r>
        <w:br w:type="page"/>
      </w:r>
    </w:p>
    <w:p w14:paraId="6EA931C2">
      <w:pPr>
        <w:spacing w:line="640" w:lineRule="exact"/>
        <w:jc w:val="center"/>
        <w:outlineLvl w:val="1"/>
      </w:pPr>
      <w:r>
        <w:rPr>
          <w:rFonts w:ascii="黑体" w:hAnsi="黑体" w:eastAsia="黑体"/>
          <w:sz w:val="32"/>
        </w:rPr>
        <w:t>第一部分 单位概况</w:t>
      </w:r>
    </w:p>
    <w:p w14:paraId="7F4A39F3">
      <w:pPr>
        <w:spacing w:line="640" w:lineRule="exact"/>
        <w:ind w:firstLine="640"/>
        <w:jc w:val="both"/>
        <w:outlineLvl w:val="2"/>
      </w:pPr>
      <w:r>
        <w:rPr>
          <w:rFonts w:ascii="黑体" w:hAnsi="黑体" w:eastAsia="黑体"/>
          <w:sz w:val="32"/>
        </w:rPr>
        <w:t>一、主要职能</w:t>
      </w:r>
    </w:p>
    <w:p w14:paraId="79B0EC27">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负责贯彻执行党的教育方针、政策、法规和规章制度、制定并组织实施学校</w:t>
      </w:r>
      <w:r>
        <w:rPr>
          <w:rFonts w:hint="eastAsia" w:ascii="仿宋_GB2312" w:hAnsi="仿宋_GB2312" w:eastAsia="仿宋_GB2312"/>
          <w:sz w:val="32"/>
          <w:lang w:eastAsia="zh-CN"/>
        </w:rPr>
        <w:t>学期</w:t>
      </w:r>
      <w:r>
        <w:rPr>
          <w:rFonts w:ascii="仿宋_GB2312" w:hAnsi="仿宋_GB2312" w:eastAsia="仿宋_GB2312"/>
          <w:sz w:val="32"/>
        </w:rPr>
        <w:t>、学年计划及中长期规划。</w:t>
      </w:r>
    </w:p>
    <w:p w14:paraId="3C6BC953">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负责学校教职工及</w:t>
      </w:r>
      <w:r>
        <w:rPr>
          <w:rFonts w:hint="eastAsia" w:ascii="仿宋_GB2312" w:hAnsi="仿宋_GB2312" w:eastAsia="仿宋_GB2312"/>
          <w:sz w:val="32"/>
          <w:lang w:eastAsia="zh-CN"/>
        </w:rPr>
        <w:t>学生</w:t>
      </w:r>
      <w:r>
        <w:rPr>
          <w:rFonts w:ascii="仿宋_GB2312" w:hAnsi="仿宋_GB2312" w:eastAsia="仿宋_GB2312"/>
          <w:sz w:val="32"/>
        </w:rPr>
        <w:t>思想政治工作。有组织有计划地培养、提高教师业务和教学能力；组织教职工进行继续教育，做好教职工的调配、奖惩、工资福利及其他各方面工作。</w:t>
      </w:r>
    </w:p>
    <w:p w14:paraId="434225C9">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负责认真实施学术守则，行为规范及有关条例，实施素质教育，锻炼</w:t>
      </w:r>
      <w:r>
        <w:rPr>
          <w:rFonts w:hint="eastAsia" w:ascii="仿宋_GB2312" w:hAnsi="仿宋_GB2312" w:eastAsia="仿宋_GB2312"/>
          <w:sz w:val="32"/>
          <w:lang w:eastAsia="zh-CN"/>
        </w:rPr>
        <w:t>学生</w:t>
      </w:r>
      <w:r>
        <w:rPr>
          <w:rFonts w:ascii="仿宋_GB2312" w:hAnsi="仿宋_GB2312" w:eastAsia="仿宋_GB2312"/>
          <w:sz w:val="32"/>
        </w:rPr>
        <w:t>的实践能力，定期召开家长会、学生代表会，认真听取家长、学生对学校工作的意见和建议。</w:t>
      </w:r>
    </w:p>
    <w:p w14:paraId="6BC98F75">
      <w:pPr>
        <w:spacing w:line="640" w:lineRule="exact"/>
        <w:ind w:firstLine="640"/>
        <w:jc w:val="both"/>
        <w:outlineLvl w:val="2"/>
      </w:pPr>
      <w:r>
        <w:rPr>
          <w:rFonts w:ascii="黑体" w:hAnsi="黑体" w:eastAsia="黑体"/>
          <w:sz w:val="32"/>
        </w:rPr>
        <w:t>二、机构设置及人员情况</w:t>
      </w:r>
    </w:p>
    <w:p w14:paraId="7C184B63">
      <w:pPr>
        <w:spacing w:line="580" w:lineRule="exact"/>
        <w:ind w:firstLine="640"/>
        <w:jc w:val="both"/>
      </w:pPr>
      <w:r>
        <w:rPr>
          <w:rFonts w:ascii="仿宋_GB2312" w:hAnsi="仿宋_GB2312" w:eastAsia="仿宋_GB2312"/>
          <w:sz w:val="32"/>
        </w:rPr>
        <w:t>伽师县古勒鲁克乡第一小学2024年度，实有人数358人，其中：在职人员281人，减少3人；离休人员0人，增加0人；退休人员77人,增加1人。</w:t>
      </w:r>
    </w:p>
    <w:p w14:paraId="513D1974">
      <w:pPr>
        <w:spacing w:line="580" w:lineRule="exact"/>
        <w:ind w:firstLine="640"/>
        <w:jc w:val="both"/>
      </w:pPr>
      <w:r>
        <w:rPr>
          <w:rFonts w:ascii="仿宋_GB2312" w:hAnsi="仿宋_GB2312" w:eastAsia="仿宋_GB2312"/>
          <w:sz w:val="32"/>
        </w:rPr>
        <w:t>伽师县古勒鲁克乡第一小学无下属预算单位，下设5个科室，分别是：财务室、教务科、德育办、保卫科、医务室。</w:t>
      </w:r>
    </w:p>
    <w:p w14:paraId="78391C54">
      <w:r>
        <w:br w:type="page"/>
      </w:r>
    </w:p>
    <w:p w14:paraId="1E631936">
      <w:pPr>
        <w:spacing w:line="240" w:lineRule="auto"/>
        <w:jc w:val="center"/>
        <w:outlineLvl w:val="1"/>
      </w:pPr>
      <w:r>
        <w:rPr>
          <w:rFonts w:ascii="黑体" w:hAnsi="黑体" w:eastAsia="黑体"/>
          <w:sz w:val="32"/>
        </w:rPr>
        <w:t>第二部分 部门决算情况说明</w:t>
      </w:r>
    </w:p>
    <w:p w14:paraId="3C88E583">
      <w:pPr>
        <w:spacing w:line="640" w:lineRule="exact"/>
        <w:ind w:firstLine="640"/>
        <w:jc w:val="both"/>
        <w:outlineLvl w:val="2"/>
      </w:pPr>
      <w:r>
        <w:rPr>
          <w:rFonts w:ascii="黑体" w:hAnsi="黑体" w:eastAsia="黑体"/>
          <w:sz w:val="32"/>
        </w:rPr>
        <w:t>一、收入支出决算总体情况说明</w:t>
      </w:r>
    </w:p>
    <w:p w14:paraId="19184E93">
      <w:pPr>
        <w:spacing w:line="580" w:lineRule="exact"/>
        <w:ind w:firstLine="640"/>
        <w:jc w:val="both"/>
      </w:pPr>
      <w:r>
        <w:rPr>
          <w:rFonts w:ascii="仿宋_GB2312" w:hAnsi="仿宋_GB2312" w:eastAsia="仿宋_GB2312"/>
          <w:b/>
          <w:sz w:val="32"/>
        </w:rPr>
        <w:t>2024年度收入总计6,478.50万元，</w:t>
      </w:r>
      <w:r>
        <w:rPr>
          <w:rFonts w:ascii="仿宋_GB2312" w:hAnsi="仿宋_GB2312" w:eastAsia="仿宋_GB2312"/>
          <w:b w:val="0"/>
          <w:sz w:val="32"/>
        </w:rPr>
        <w:t>其中：本年收入合计6,478.50万元，使用非财政拨款结余（含专用结余）0.00万元，年初结转和结余0.00万元。</w:t>
      </w:r>
    </w:p>
    <w:p w14:paraId="11A40F64">
      <w:pPr>
        <w:spacing w:line="580" w:lineRule="exact"/>
        <w:ind w:firstLine="640"/>
        <w:jc w:val="both"/>
      </w:pPr>
      <w:r>
        <w:rPr>
          <w:rFonts w:ascii="仿宋_GB2312" w:hAnsi="仿宋_GB2312" w:eastAsia="仿宋_GB2312"/>
          <w:b/>
          <w:sz w:val="32"/>
        </w:rPr>
        <w:t>2024年度支出总计6,478.50万元，</w:t>
      </w:r>
      <w:r>
        <w:rPr>
          <w:rFonts w:ascii="仿宋_GB2312" w:hAnsi="仿宋_GB2312" w:eastAsia="仿宋_GB2312"/>
          <w:b w:val="0"/>
          <w:sz w:val="32"/>
        </w:rPr>
        <w:t>其中：本年支出合计6,478.50万元，结余分配0.00万元，年末结转和结余0.00万元。</w:t>
      </w:r>
    </w:p>
    <w:p w14:paraId="44AA75BD">
      <w:pPr>
        <w:spacing w:line="580" w:lineRule="exact"/>
        <w:ind w:firstLine="640"/>
        <w:jc w:val="both"/>
      </w:pPr>
      <w:r>
        <w:rPr>
          <w:rFonts w:ascii="仿宋_GB2312" w:hAnsi="仿宋_GB2312" w:eastAsia="仿宋_GB2312"/>
          <w:b w:val="0"/>
          <w:sz w:val="32"/>
        </w:rPr>
        <w:t>收入支出总体与上年相比，增加447.57万元，增长7.42%，主要原因是：本年学生公用经费，学生伙食，营养等项目资金较上年增加。</w:t>
      </w:r>
    </w:p>
    <w:p w14:paraId="465F2982">
      <w:pPr>
        <w:spacing w:line="640" w:lineRule="exact"/>
        <w:ind w:firstLine="640"/>
        <w:jc w:val="both"/>
        <w:outlineLvl w:val="2"/>
      </w:pPr>
      <w:r>
        <w:rPr>
          <w:rFonts w:ascii="黑体" w:hAnsi="黑体" w:eastAsia="黑体"/>
          <w:sz w:val="32"/>
        </w:rPr>
        <w:t>二、收入决算情况说明</w:t>
      </w:r>
    </w:p>
    <w:p w14:paraId="76FCD7E9">
      <w:pPr>
        <w:spacing w:line="580" w:lineRule="exact"/>
        <w:ind w:firstLine="640"/>
        <w:jc w:val="both"/>
      </w:pPr>
      <w:r>
        <w:rPr>
          <w:rFonts w:ascii="仿宋_GB2312" w:hAnsi="仿宋_GB2312" w:eastAsia="仿宋_GB2312"/>
          <w:b/>
          <w:sz w:val="32"/>
        </w:rPr>
        <w:t>本年收入6,478.50万元，</w:t>
      </w:r>
      <w:r>
        <w:rPr>
          <w:rFonts w:ascii="仿宋_GB2312" w:hAnsi="仿宋_GB2312" w:eastAsia="仿宋_GB2312"/>
          <w:b w:val="0"/>
          <w:sz w:val="32"/>
        </w:rPr>
        <w:t>其中：财政拨款收入6,462.72万元，占99.76%；上级补助收入0.00万元，占0.00%；事业收入0.00万元，占0.00%；经营收入0.00万元，占0.00%；附属单位上缴收入0.00万元，占0.00%；其他收入15.78万元，占0.24%。</w:t>
      </w:r>
    </w:p>
    <w:p w14:paraId="135ED980">
      <w:pPr>
        <w:spacing w:line="640" w:lineRule="exact"/>
        <w:ind w:firstLine="640"/>
        <w:jc w:val="both"/>
        <w:outlineLvl w:val="2"/>
      </w:pPr>
      <w:r>
        <w:rPr>
          <w:rFonts w:ascii="黑体" w:hAnsi="黑体" w:eastAsia="黑体"/>
          <w:sz w:val="32"/>
        </w:rPr>
        <w:t>三、支出决算情况说明</w:t>
      </w:r>
    </w:p>
    <w:p w14:paraId="7FD80DEE">
      <w:pPr>
        <w:spacing w:line="580" w:lineRule="exact"/>
        <w:ind w:firstLine="640"/>
        <w:jc w:val="both"/>
      </w:pPr>
      <w:r>
        <w:rPr>
          <w:rFonts w:ascii="仿宋_GB2312" w:hAnsi="仿宋_GB2312" w:eastAsia="仿宋_GB2312"/>
          <w:b/>
          <w:sz w:val="32"/>
        </w:rPr>
        <w:t>本年支出6,478.50万元，</w:t>
      </w:r>
      <w:r>
        <w:rPr>
          <w:rFonts w:ascii="仿宋_GB2312" w:hAnsi="仿宋_GB2312" w:eastAsia="仿宋_GB2312"/>
          <w:b w:val="0"/>
          <w:sz w:val="32"/>
        </w:rPr>
        <w:t>其中：基本支出4,793.48万元，占73.99%；项目支出1,685.02万元，占26.01%；上缴上级支出0.00万元，占0.00%；经营支出0.00万元，占0.00%；对附属单位补助支出0.00万元，占0.00%。</w:t>
      </w:r>
    </w:p>
    <w:p w14:paraId="1D3116B8">
      <w:pPr>
        <w:spacing w:line="640" w:lineRule="exact"/>
        <w:ind w:firstLine="640"/>
        <w:jc w:val="both"/>
        <w:outlineLvl w:val="2"/>
      </w:pPr>
      <w:r>
        <w:rPr>
          <w:rFonts w:ascii="黑体" w:hAnsi="黑体" w:eastAsia="黑体"/>
          <w:sz w:val="32"/>
        </w:rPr>
        <w:t>四、财政拨款收入支出决算总体情况说明</w:t>
      </w:r>
    </w:p>
    <w:p w14:paraId="1250DE00">
      <w:pPr>
        <w:spacing w:line="580" w:lineRule="exact"/>
        <w:ind w:firstLine="640"/>
        <w:jc w:val="both"/>
      </w:pPr>
      <w:r>
        <w:rPr>
          <w:rFonts w:ascii="仿宋_GB2312" w:hAnsi="仿宋_GB2312" w:eastAsia="仿宋_GB2312"/>
          <w:b/>
          <w:sz w:val="32"/>
        </w:rPr>
        <w:t>2024年度财政拨款收入总计6,462.72万元，</w:t>
      </w:r>
      <w:r>
        <w:rPr>
          <w:rFonts w:ascii="仿宋_GB2312" w:hAnsi="仿宋_GB2312" w:eastAsia="仿宋_GB2312"/>
          <w:b w:val="0"/>
          <w:sz w:val="32"/>
        </w:rPr>
        <w:t>其中：年初财政拨款结转和结余0.00万元，本年财政拨款收入6,462.72万元。</w:t>
      </w:r>
      <w:r>
        <w:rPr>
          <w:rFonts w:ascii="仿宋_GB2312" w:hAnsi="仿宋_GB2312" w:eastAsia="仿宋_GB2312"/>
          <w:b/>
          <w:sz w:val="32"/>
        </w:rPr>
        <w:t>财政拨款支出总计6,462.72万元，</w:t>
      </w:r>
      <w:r>
        <w:rPr>
          <w:rFonts w:ascii="仿宋_GB2312" w:hAnsi="仿宋_GB2312" w:eastAsia="仿宋_GB2312"/>
          <w:b w:val="0"/>
          <w:sz w:val="32"/>
        </w:rPr>
        <w:t>其中：年末财政拨款结转和结余0.00万元，本年财政拨款支出6,462.72万元。</w:t>
      </w:r>
    </w:p>
    <w:p w14:paraId="13F2ECA7">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增加649.36万元，增长11.17%，主要原因是：本年学生公用经费，学生伙食，营养等项目资金较上年增加。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年初预算数6,557.76万元，决算数6,462.72万元，预决算差异率-1.45%，主要原因是：严格落实中央八项规定精神，厉行节约，减少不必要的开支。</w:t>
      </w:r>
    </w:p>
    <w:p w14:paraId="1F27C8BE">
      <w:pPr>
        <w:spacing w:line="640" w:lineRule="exact"/>
        <w:ind w:firstLine="640"/>
        <w:jc w:val="both"/>
        <w:outlineLvl w:val="2"/>
      </w:pPr>
      <w:r>
        <w:rPr>
          <w:rFonts w:ascii="黑体" w:hAnsi="黑体" w:eastAsia="黑体"/>
          <w:sz w:val="32"/>
        </w:rPr>
        <w:t>五、一般公共预算财政拨款支出决算情况说明</w:t>
      </w:r>
    </w:p>
    <w:p w14:paraId="5C786F57">
      <w:pPr>
        <w:spacing w:line="640" w:lineRule="exact"/>
        <w:ind w:firstLine="640"/>
        <w:jc w:val="both"/>
        <w:outlineLvl w:val="3"/>
      </w:pPr>
      <w:r>
        <w:rPr>
          <w:rFonts w:ascii="楷体_GB2312" w:hAnsi="楷体_GB2312" w:eastAsia="楷体_GB2312"/>
          <w:b/>
          <w:sz w:val="32"/>
        </w:rPr>
        <w:t>（一）一般公共预算财政拨款支出决算总体情况</w:t>
      </w:r>
    </w:p>
    <w:p w14:paraId="4FA14CF2">
      <w:pPr>
        <w:spacing w:line="580" w:lineRule="exact"/>
        <w:ind w:firstLine="640"/>
        <w:jc w:val="both"/>
      </w:pPr>
      <w:r>
        <w:rPr>
          <w:rFonts w:ascii="仿宋_GB2312" w:hAnsi="仿宋_GB2312" w:eastAsia="仿宋_GB2312"/>
          <w:b/>
          <w:sz w:val="32"/>
        </w:rPr>
        <w:t>2024年度一般公共预算财政拨款支出6,461.22万元，</w:t>
      </w:r>
      <w:r>
        <w:rPr>
          <w:rFonts w:ascii="仿宋_GB2312" w:hAnsi="仿宋_GB2312" w:eastAsia="仿宋_GB2312"/>
          <w:b w:val="0"/>
          <w:sz w:val="32"/>
        </w:rPr>
        <w:t>占本年支出合计的99.73%。</w:t>
      </w:r>
      <w:r>
        <w:rPr>
          <w:rFonts w:ascii="仿宋_GB2312" w:hAnsi="仿宋_GB2312" w:eastAsia="仿宋_GB2312"/>
          <w:b/>
          <w:sz w:val="32"/>
        </w:rPr>
        <w:t>与上年相比，</w:t>
      </w:r>
      <w:r>
        <w:rPr>
          <w:rFonts w:ascii="仿宋_GB2312" w:hAnsi="仿宋_GB2312" w:eastAsia="仿宋_GB2312"/>
          <w:b w:val="0"/>
          <w:sz w:val="32"/>
        </w:rPr>
        <w:t>增加651.65万元，增长11.22%，主要原因是：本年学生公用经费，学生伙食，营养等项目资金较上年增加。</w:t>
      </w:r>
      <w:r>
        <w:rPr>
          <w:rFonts w:ascii="仿宋_GB2312" w:hAnsi="仿宋_GB2312" w:eastAsia="仿宋_GB2312"/>
          <w:b/>
          <w:sz w:val="32"/>
        </w:rPr>
        <w:t>与年初预算相比,</w:t>
      </w:r>
      <w:r>
        <w:rPr>
          <w:rFonts w:ascii="仿宋_GB2312" w:hAnsi="仿宋_GB2312" w:eastAsia="仿宋_GB2312"/>
          <w:b w:val="0"/>
          <w:sz w:val="32"/>
        </w:rPr>
        <w:t>年初预算数6,556.26万元，决算数6,461.22万元，预决算差异率-1.45%，主要原因是：严格落实中央八项规定精神，厉行节约，减少不必要的开支。</w:t>
      </w:r>
    </w:p>
    <w:p w14:paraId="6718FBCA">
      <w:pPr>
        <w:spacing w:line="640" w:lineRule="exact"/>
        <w:ind w:firstLine="640"/>
        <w:jc w:val="both"/>
        <w:outlineLvl w:val="3"/>
      </w:pPr>
      <w:r>
        <w:rPr>
          <w:rFonts w:ascii="楷体_GB2312" w:hAnsi="楷体_GB2312" w:eastAsia="楷体_GB2312"/>
          <w:b/>
          <w:sz w:val="32"/>
        </w:rPr>
        <w:t>（二）一般公共预算财政拨款支出决算结构情况</w:t>
      </w:r>
    </w:p>
    <w:p w14:paraId="0EF9FB06">
      <w:pPr>
        <w:spacing w:line="580" w:lineRule="exact"/>
        <w:ind w:firstLine="640"/>
        <w:jc w:val="both"/>
      </w:pPr>
      <w:r>
        <w:rPr>
          <w:rFonts w:ascii="仿宋_GB2312" w:hAnsi="仿宋_GB2312" w:eastAsia="仿宋_GB2312"/>
          <w:b w:val="0"/>
          <w:sz w:val="32"/>
        </w:rPr>
        <w:t>1.教育支出(类)6,461.22万元,占100.00%。</w:t>
      </w:r>
    </w:p>
    <w:p w14:paraId="5CC276D9">
      <w:pPr>
        <w:spacing w:line="640" w:lineRule="exact"/>
        <w:ind w:firstLine="640"/>
        <w:jc w:val="both"/>
        <w:outlineLvl w:val="3"/>
      </w:pPr>
      <w:r>
        <w:rPr>
          <w:rFonts w:ascii="楷体_GB2312" w:hAnsi="楷体_GB2312" w:eastAsia="楷体_GB2312"/>
          <w:b/>
          <w:sz w:val="32"/>
        </w:rPr>
        <w:t>（三）一般公共预算财政拨款支出决算具体情况</w:t>
      </w:r>
    </w:p>
    <w:p w14:paraId="1EC21402">
      <w:pPr>
        <w:spacing w:line="580" w:lineRule="exact"/>
        <w:ind w:firstLine="640"/>
        <w:jc w:val="both"/>
      </w:pPr>
      <w:r>
        <w:rPr>
          <w:rFonts w:ascii="仿宋_GB2312" w:hAnsi="仿宋_GB2312" w:eastAsia="仿宋_GB2312"/>
          <w:b w:val="0"/>
          <w:sz w:val="32"/>
        </w:rPr>
        <w:t>1.教育支出(类)普通教育(款)小学教育(项):支出决算数为6,436.47万元，比上年决算增加647.01万元，增长11.18%,主要原因是：本年学生公用经费，学生伙食，营养等项目资金较上年增加。</w:t>
      </w:r>
    </w:p>
    <w:p w14:paraId="1359324F">
      <w:pPr>
        <w:spacing w:line="580" w:lineRule="exact"/>
        <w:ind w:firstLine="640"/>
        <w:jc w:val="both"/>
      </w:pPr>
      <w:r>
        <w:rPr>
          <w:rFonts w:ascii="仿宋_GB2312" w:hAnsi="仿宋_GB2312" w:eastAsia="仿宋_GB2312"/>
          <w:b w:val="0"/>
          <w:sz w:val="32"/>
        </w:rPr>
        <w:t>2.教育支出(类)特殊教育(款)特殊学校教育(项):支出决算数为24.75万元，比上年决算增加4.64万元，增长23.07%,主要原因是：本年度新增特殊儿童补助经费，相应支出增加。</w:t>
      </w:r>
    </w:p>
    <w:p w14:paraId="42F317C6">
      <w:pPr>
        <w:spacing w:line="640" w:lineRule="exact"/>
        <w:ind w:firstLine="640"/>
        <w:jc w:val="both"/>
        <w:outlineLvl w:val="2"/>
      </w:pPr>
      <w:r>
        <w:rPr>
          <w:rFonts w:ascii="黑体" w:hAnsi="黑体" w:eastAsia="黑体"/>
          <w:sz w:val="32"/>
        </w:rPr>
        <w:t>六、一般公共预算财政拨款基本支出决算情况说明</w:t>
      </w:r>
    </w:p>
    <w:p w14:paraId="3C5A00AE">
      <w:pPr>
        <w:spacing w:line="580" w:lineRule="exact"/>
        <w:ind w:firstLine="640"/>
        <w:jc w:val="both"/>
      </w:pPr>
      <w:r>
        <w:rPr>
          <w:rFonts w:ascii="仿宋_GB2312" w:hAnsi="仿宋_GB2312" w:eastAsia="仿宋_GB2312"/>
          <w:b w:val="0"/>
          <w:sz w:val="32"/>
        </w:rPr>
        <w:t>2024年度一般公共预算财政拨款基本支出4,793.48万元，其中：</w:t>
      </w:r>
      <w:r>
        <w:rPr>
          <w:rFonts w:ascii="仿宋_GB2312" w:hAnsi="仿宋_GB2312" w:eastAsia="仿宋_GB2312"/>
          <w:b/>
          <w:sz w:val="32"/>
        </w:rPr>
        <w:t>人员经费4,793.48万元，</w:t>
      </w:r>
      <w:r>
        <w:rPr>
          <w:rFonts w:ascii="仿宋_GB2312" w:hAnsi="仿宋_GB2312" w:eastAsia="仿宋_GB2312"/>
          <w:b w:val="0"/>
          <w:sz w:val="32"/>
        </w:rPr>
        <w:t>包括：基本工资、津贴补贴、奖金、绩效工资、机关事业单位基本养老保险缴费、职业年金缴费、职工基本医疗保险缴费、其他社会保障缴费、住房公积金、退休费、抚恤金、生活补助。</w:t>
      </w:r>
    </w:p>
    <w:p w14:paraId="5107A746">
      <w:pPr>
        <w:spacing w:line="580" w:lineRule="exact"/>
        <w:ind w:firstLine="640"/>
        <w:jc w:val="both"/>
      </w:pPr>
      <w:r>
        <w:rPr>
          <w:rFonts w:ascii="仿宋_GB2312" w:hAnsi="仿宋_GB2312" w:eastAsia="仿宋_GB2312"/>
          <w:b/>
          <w:sz w:val="32"/>
        </w:rPr>
        <w:t>公用经费0.00万元，</w:t>
      </w:r>
      <w:r>
        <w:rPr>
          <w:rFonts w:ascii="仿宋_GB2312" w:hAnsi="仿宋_GB2312" w:eastAsia="仿宋_GB2312"/>
          <w:b w:val="0"/>
          <w:sz w:val="32"/>
        </w:rPr>
        <w:t>包括：无公用经费。</w:t>
      </w:r>
    </w:p>
    <w:p w14:paraId="50CC9FE0">
      <w:pPr>
        <w:spacing w:line="640" w:lineRule="exact"/>
        <w:ind w:firstLine="640"/>
        <w:jc w:val="both"/>
        <w:outlineLvl w:val="2"/>
      </w:pPr>
      <w:r>
        <w:rPr>
          <w:rFonts w:ascii="黑体" w:hAnsi="黑体" w:eastAsia="黑体"/>
          <w:sz w:val="32"/>
        </w:rPr>
        <w:t>七、政府性基金预算财政拨款收入支出决算情况说明</w:t>
      </w:r>
    </w:p>
    <w:p w14:paraId="084E0D99">
      <w:pPr>
        <w:spacing w:line="580" w:lineRule="exact"/>
        <w:ind w:firstLine="640"/>
        <w:jc w:val="both"/>
      </w:pPr>
      <w:r>
        <w:rPr>
          <w:rFonts w:ascii="仿宋_GB2312" w:hAnsi="仿宋_GB2312" w:eastAsia="仿宋_GB2312"/>
          <w:b/>
          <w:sz w:val="32"/>
        </w:rPr>
        <w:t>2024年度政府性基金预算财政拨款收入总计1.50万元，</w:t>
      </w:r>
      <w:r>
        <w:rPr>
          <w:rFonts w:ascii="仿宋_GB2312" w:hAnsi="仿宋_GB2312" w:eastAsia="仿宋_GB2312"/>
          <w:b w:val="0"/>
          <w:sz w:val="32"/>
        </w:rPr>
        <w:t>其中：年初结转和结余0.00万元，本年收入1.50万元。</w:t>
      </w:r>
      <w:r>
        <w:rPr>
          <w:rFonts w:ascii="仿宋_GB2312" w:hAnsi="仿宋_GB2312" w:eastAsia="仿宋_GB2312"/>
          <w:b/>
          <w:sz w:val="32"/>
        </w:rPr>
        <w:t>政府性基金预算财政拨款支出总计1.50万元，</w:t>
      </w:r>
      <w:r>
        <w:rPr>
          <w:rFonts w:ascii="仿宋_GB2312" w:hAnsi="仿宋_GB2312" w:eastAsia="仿宋_GB2312"/>
          <w:b w:val="0"/>
          <w:sz w:val="32"/>
        </w:rPr>
        <w:t>其中：年末结转和结余0.00万元，本年支出1.50万元。</w:t>
      </w:r>
    </w:p>
    <w:p w14:paraId="01A6BE29">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减少2.29万元，下降60.42%，主要原因是：本年政府性基金少年宫项目资金较上年减少。</w:t>
      </w:r>
      <w:r>
        <w:rPr>
          <w:rFonts w:ascii="仿宋_GB2312" w:hAnsi="仿宋_GB2312" w:eastAsia="仿宋_GB2312"/>
          <w:b/>
          <w:sz w:val="32"/>
        </w:rPr>
        <w:t>与年初预算相比，</w:t>
      </w:r>
      <w:r>
        <w:rPr>
          <w:rFonts w:ascii="仿宋_GB2312" w:hAnsi="仿宋_GB2312" w:eastAsia="仿宋_GB2312"/>
          <w:b w:val="0"/>
          <w:sz w:val="32"/>
        </w:rPr>
        <w:t>年初预算数1.50万元，决算数1.50万元，预决算差异率0.00%，主要原因是：严格按照预算执行，预决算无差异。</w:t>
      </w:r>
    </w:p>
    <w:p w14:paraId="398DDD3C">
      <w:pPr>
        <w:spacing w:line="580" w:lineRule="exact"/>
        <w:ind w:firstLine="640"/>
        <w:jc w:val="both"/>
      </w:pPr>
      <w:r>
        <w:rPr>
          <w:rFonts w:ascii="仿宋_GB2312" w:hAnsi="仿宋_GB2312" w:eastAsia="仿宋_GB2312"/>
          <w:b w:val="0"/>
          <w:sz w:val="32"/>
        </w:rPr>
        <w:t>政府性基金预算财政拨款支出1.50万元。</w:t>
      </w:r>
    </w:p>
    <w:p w14:paraId="135B26E0">
      <w:pPr>
        <w:spacing w:line="580" w:lineRule="exact"/>
        <w:ind w:firstLine="640"/>
        <w:jc w:val="both"/>
      </w:pPr>
      <w:r>
        <w:rPr>
          <w:rFonts w:ascii="仿宋_GB2312" w:hAnsi="仿宋_GB2312" w:eastAsia="仿宋_GB2312"/>
          <w:b w:val="0"/>
          <w:sz w:val="32"/>
        </w:rPr>
        <w:t>1.其他支出(类)彩票公益金安排的支出(款)用于教育事业的彩票公益金支出(项):支出决算数为1.50万元，比上年决算减少2.29万元，下降60.42%,主要原因是：本年政府性基金少年宫项目资金较上年减少。</w:t>
      </w:r>
    </w:p>
    <w:p w14:paraId="5149608B">
      <w:pPr>
        <w:spacing w:line="640" w:lineRule="exact"/>
        <w:ind w:firstLine="640"/>
        <w:jc w:val="both"/>
        <w:outlineLvl w:val="2"/>
      </w:pPr>
      <w:r>
        <w:rPr>
          <w:rFonts w:ascii="黑体" w:hAnsi="黑体" w:eastAsia="黑体"/>
          <w:sz w:val="32"/>
        </w:rPr>
        <w:t>八、国有资本经营预算财政拨款收入支出决算情况说明</w:t>
      </w:r>
    </w:p>
    <w:p w14:paraId="40A570E4">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4571C82">
      <w:pPr>
        <w:spacing w:line="640" w:lineRule="exact"/>
        <w:ind w:firstLine="640"/>
        <w:jc w:val="both"/>
        <w:outlineLvl w:val="2"/>
      </w:pPr>
      <w:r>
        <w:rPr>
          <w:rFonts w:ascii="黑体" w:hAnsi="黑体" w:eastAsia="黑体"/>
          <w:sz w:val="32"/>
        </w:rPr>
        <w:t>九、财政拨款“三公”经费支出决算情况说明</w:t>
      </w:r>
    </w:p>
    <w:p w14:paraId="7D56AB2E">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增加0.00万元，增长0.00%，主要原因是：2023年与2024年均未安排财政拨款“三公”经费支出。其中：因公出国（境）费支出0.00万元，占0.00%，比上年增加0.00万元，增长0.00%，主要原因是：2023年与2024年均未安排因公出国（境）费支出。公务用车购置及运行维护费支出0.00万元，占0.00%，比上年增加0.00万元，增长0.00%，主要原因是：2023年与2024年均未安排公务用车购置及运行维护费支出。公务接待费支出0.00万元，占0.00%，比上年增加0.00万元，增长0.00%，主要原因是：2023年与2024年均未安排公务接待费支出。</w:t>
      </w:r>
    </w:p>
    <w:p w14:paraId="60737F59">
      <w:pPr>
        <w:spacing w:line="580" w:lineRule="exact"/>
        <w:ind w:firstLine="640"/>
        <w:jc w:val="both"/>
      </w:pPr>
      <w:r>
        <w:rPr>
          <w:rFonts w:ascii="仿宋_GB2312" w:hAnsi="仿宋_GB2312" w:eastAsia="仿宋_GB2312"/>
          <w:b/>
          <w:sz w:val="32"/>
        </w:rPr>
        <w:t>具体情况如下：</w:t>
      </w:r>
    </w:p>
    <w:p w14:paraId="32A35B1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CF9CB0E">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0辆，与公务用车保有量差异原因是：本单位无固定资产车辆。</w:t>
      </w:r>
    </w:p>
    <w:p w14:paraId="369C045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F14AEC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支出。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216F124">
      <w:pPr>
        <w:spacing w:line="640" w:lineRule="exact"/>
        <w:ind w:firstLine="640"/>
        <w:jc w:val="both"/>
        <w:outlineLvl w:val="2"/>
      </w:pPr>
      <w:r>
        <w:rPr>
          <w:rFonts w:ascii="黑体" w:hAnsi="黑体" w:eastAsia="黑体"/>
          <w:sz w:val="32"/>
        </w:rPr>
        <w:t>十、其他重要事项的情况说明</w:t>
      </w:r>
    </w:p>
    <w:p w14:paraId="4ADF38F6">
      <w:pPr>
        <w:spacing w:line="640" w:lineRule="exact"/>
        <w:ind w:firstLine="640"/>
        <w:jc w:val="both"/>
        <w:outlineLvl w:val="3"/>
      </w:pPr>
      <w:r>
        <w:rPr>
          <w:rFonts w:ascii="楷体_GB2312" w:hAnsi="楷体_GB2312" w:eastAsia="楷体_GB2312"/>
          <w:b/>
          <w:sz w:val="32"/>
        </w:rPr>
        <w:t>（一）机关运行经费及公用经费支出情况</w:t>
      </w:r>
    </w:p>
    <w:p w14:paraId="24C0328A">
      <w:pPr>
        <w:spacing w:line="580" w:lineRule="exact"/>
        <w:ind w:firstLine="640"/>
        <w:jc w:val="both"/>
      </w:pPr>
      <w:r>
        <w:rPr>
          <w:rFonts w:ascii="仿宋_GB2312" w:hAnsi="仿宋_GB2312" w:eastAsia="仿宋_GB2312"/>
          <w:b w:val="0"/>
          <w:sz w:val="32"/>
        </w:rPr>
        <w:t>2024年度伽师县古勒鲁克乡第一小学（事业单位）公用经费支出0.00万元，比上年增加0.00万元，增长0.00%，主要原因是：2023年与2024年均未安排公用经费支出。</w:t>
      </w:r>
    </w:p>
    <w:p w14:paraId="75BA7A5A">
      <w:pPr>
        <w:spacing w:line="640" w:lineRule="exact"/>
        <w:ind w:firstLine="640"/>
        <w:jc w:val="both"/>
        <w:outlineLvl w:val="3"/>
      </w:pPr>
      <w:r>
        <w:rPr>
          <w:rFonts w:ascii="楷体_GB2312" w:hAnsi="楷体_GB2312" w:eastAsia="楷体_GB2312"/>
          <w:b/>
          <w:sz w:val="32"/>
        </w:rPr>
        <w:t>（二）政府采购情况</w:t>
      </w:r>
    </w:p>
    <w:p w14:paraId="25B35EBA">
      <w:pPr>
        <w:spacing w:line="580" w:lineRule="exact"/>
        <w:ind w:firstLine="640"/>
        <w:jc w:val="both"/>
      </w:pPr>
      <w:r>
        <w:rPr>
          <w:rFonts w:ascii="仿宋_GB2312" w:hAnsi="仿宋_GB2312" w:eastAsia="仿宋_GB2312"/>
          <w:b w:val="0"/>
          <w:sz w:val="32"/>
        </w:rPr>
        <w:t>2024年度政府采购支出总额553.67万元，其中：政府采购货物支出553.67万元、政府采购工程支出0.00万元、政府采购服务支出0.00万元。</w:t>
      </w:r>
    </w:p>
    <w:p w14:paraId="449A7D69">
      <w:pPr>
        <w:spacing w:line="580" w:lineRule="exact"/>
        <w:ind w:firstLine="640"/>
        <w:jc w:val="both"/>
      </w:pPr>
      <w:r>
        <w:rPr>
          <w:rFonts w:ascii="仿宋_GB2312" w:hAnsi="仿宋_GB2312" w:eastAsia="仿宋_GB2312"/>
          <w:b w:val="0"/>
          <w:sz w:val="32"/>
        </w:rPr>
        <w:t>授予中小企业合同金额553.02万元，占政府采购支出总额的99.88%，其中：授予小微企业合同金额492.55万元，占政府采购支出总额的88.96%。</w:t>
      </w:r>
    </w:p>
    <w:p w14:paraId="654F81B5">
      <w:pPr>
        <w:spacing w:line="640" w:lineRule="exact"/>
        <w:ind w:firstLine="640"/>
        <w:jc w:val="both"/>
        <w:outlineLvl w:val="3"/>
      </w:pPr>
      <w:r>
        <w:rPr>
          <w:rFonts w:ascii="楷体_GB2312" w:hAnsi="楷体_GB2312" w:eastAsia="楷体_GB2312"/>
          <w:b/>
          <w:sz w:val="32"/>
        </w:rPr>
        <w:t>（三）国有资产占用情况说明</w:t>
      </w:r>
    </w:p>
    <w:p w14:paraId="1F1F8A51">
      <w:pPr>
        <w:spacing w:line="580" w:lineRule="exact"/>
        <w:ind w:firstLine="640"/>
        <w:jc w:val="both"/>
      </w:pPr>
      <w:r>
        <w:rPr>
          <w:rFonts w:ascii="仿宋_GB2312" w:hAnsi="仿宋_GB2312" w:eastAsia="仿宋_GB2312"/>
          <w:b w:val="0"/>
          <w:sz w:val="32"/>
        </w:rPr>
        <w:t>截至2024年12月31日，房屋37,651.56平方米，价值6,189.24万元。车辆0辆，价值0.00万元，其中：副部（省）级及以上领导用车0辆、主要负责人用车0辆、机要通信用车0辆、应急保障用车0辆、执法执勤用车0辆、特种专业技术用车0辆、离退休干部服务用车0辆、其他用车0辆，其他用车主要是：本单位无其他用车。单价100万元（含）以上设备（不含车辆）3台（套）。</w:t>
      </w:r>
    </w:p>
    <w:p w14:paraId="625EEF2E">
      <w:pPr>
        <w:spacing w:line="640" w:lineRule="exact"/>
        <w:ind w:firstLine="640"/>
        <w:jc w:val="both"/>
        <w:outlineLvl w:val="2"/>
      </w:pPr>
      <w:r>
        <w:rPr>
          <w:rFonts w:ascii="黑体" w:hAnsi="黑体" w:eastAsia="黑体"/>
          <w:sz w:val="32"/>
        </w:rPr>
        <w:t>十一、预算绩效的情况说明</w:t>
      </w:r>
    </w:p>
    <w:p w14:paraId="673853B5">
      <w:pPr>
        <w:spacing w:line="580" w:lineRule="exact"/>
        <w:ind w:firstLine="640"/>
        <w:jc w:val="both"/>
      </w:pPr>
      <w:r>
        <w:rPr>
          <w:rFonts w:ascii="仿宋_GB2312" w:hAnsi="仿宋_GB2312" w:eastAsia="仿宋_GB2312"/>
          <w:b w:val="0"/>
          <w:sz w:val="32"/>
        </w:rPr>
        <w:t>根据预算绩效管理要求，本单位预算绩效评价项目0个，全年预算数0.00万元，全年执行数0.00万元。预算绩效管理取得的成效：本单位无项目绩效自评表。发现的问题及原因：本单位无项目绩效自评表。下一步改进措施：本单位无项目绩效自评表。</w:t>
      </w:r>
    </w:p>
    <w:p w14:paraId="3FFF29F9">
      <w:r>
        <w:br w:type="page"/>
      </w:r>
    </w:p>
    <w:p w14:paraId="35F0AA8F">
      <w:pPr>
        <w:spacing w:line="640" w:lineRule="exact"/>
        <w:ind w:firstLine="640"/>
        <w:jc w:val="both"/>
        <w:outlineLvl w:val="2"/>
      </w:pPr>
      <w:r>
        <w:rPr>
          <w:rFonts w:ascii="黑体" w:hAnsi="黑体" w:eastAsia="黑体"/>
          <w:sz w:val="32"/>
        </w:rPr>
        <w:t>十二、其他需说明的事项</w:t>
      </w:r>
    </w:p>
    <w:p w14:paraId="6524FC56">
      <w:pPr>
        <w:spacing w:line="580" w:lineRule="exact"/>
        <w:ind w:firstLine="640"/>
        <w:jc w:val="both"/>
      </w:pPr>
      <w:r>
        <w:rPr>
          <w:rFonts w:ascii="仿宋_GB2312" w:hAnsi="仿宋_GB2312" w:eastAsia="仿宋_GB2312"/>
          <w:b w:val="0"/>
          <w:sz w:val="32"/>
        </w:rPr>
        <w:t>本年</w:t>
      </w:r>
      <w:bookmarkStart w:id="0" w:name="_GoBack"/>
      <w:r>
        <w:rPr>
          <w:rFonts w:ascii="仿宋_GB2312" w:hAnsi="仿宋_GB2312" w:eastAsia="仿宋_GB2312"/>
          <w:b w:val="0"/>
          <w:sz w:val="32"/>
        </w:rPr>
        <w:t>度本单位整体绩效自评表由伽师县教育局编报并公开。</w:t>
      </w:r>
    </w:p>
    <w:p w14:paraId="4F621E14">
      <w:r>
        <w:br w:type="page"/>
      </w:r>
    </w:p>
    <w:bookmarkEnd w:id="0"/>
    <w:p w14:paraId="5F63A43E">
      <w:pPr>
        <w:spacing w:line="240" w:lineRule="auto"/>
        <w:jc w:val="center"/>
        <w:outlineLvl w:val="1"/>
      </w:pPr>
      <w:r>
        <w:rPr>
          <w:rFonts w:ascii="黑体" w:hAnsi="黑体" w:eastAsia="黑体"/>
          <w:sz w:val="32"/>
        </w:rPr>
        <w:t>第三部分 专业名词解释</w:t>
      </w:r>
    </w:p>
    <w:p w14:paraId="5A7A7A42">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23E47D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EB868FA">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DFEFD9C">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BBAD3B3">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68D67AAF">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5D10F61">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6B40A12B">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C8ACBC7">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23EE285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45B648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2F42E32A">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32064C6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099D145">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D537C88">
      <w:r>
        <w:br w:type="page"/>
      </w:r>
    </w:p>
    <w:p w14:paraId="0529A7CA">
      <w:pPr>
        <w:spacing w:line="240" w:lineRule="auto"/>
        <w:jc w:val="center"/>
        <w:outlineLvl w:val="1"/>
      </w:pPr>
      <w:r>
        <w:rPr>
          <w:rFonts w:ascii="黑体" w:hAnsi="黑体" w:eastAsia="黑体"/>
          <w:sz w:val="32"/>
        </w:rPr>
        <w:t>第四部分 部门决算报表（见附表）</w:t>
      </w:r>
    </w:p>
    <w:p w14:paraId="1631EEF9">
      <w:pPr>
        <w:spacing w:line="240" w:lineRule="auto"/>
        <w:ind w:firstLine="640"/>
        <w:jc w:val="both"/>
      </w:pPr>
      <w:r>
        <w:rPr>
          <w:rFonts w:ascii="仿宋_GB2312" w:hAnsi="仿宋_GB2312" w:eastAsia="仿宋_GB2312"/>
          <w:b w:val="0"/>
          <w:sz w:val="32"/>
        </w:rPr>
        <w:t>一、《收入支出决算总表》</w:t>
      </w:r>
    </w:p>
    <w:p w14:paraId="2AA3F99C">
      <w:pPr>
        <w:spacing w:line="240" w:lineRule="auto"/>
        <w:ind w:firstLine="640"/>
        <w:jc w:val="both"/>
      </w:pPr>
      <w:r>
        <w:rPr>
          <w:rFonts w:ascii="仿宋_GB2312" w:hAnsi="仿宋_GB2312" w:eastAsia="仿宋_GB2312"/>
          <w:b w:val="0"/>
          <w:sz w:val="32"/>
        </w:rPr>
        <w:t>二、《收入决算表》</w:t>
      </w:r>
    </w:p>
    <w:p w14:paraId="39E00EA1">
      <w:pPr>
        <w:spacing w:line="240" w:lineRule="auto"/>
        <w:ind w:firstLine="640"/>
        <w:jc w:val="both"/>
      </w:pPr>
      <w:r>
        <w:rPr>
          <w:rFonts w:ascii="仿宋_GB2312" w:hAnsi="仿宋_GB2312" w:eastAsia="仿宋_GB2312"/>
          <w:b w:val="0"/>
          <w:sz w:val="32"/>
        </w:rPr>
        <w:t>三、《支出决算表》</w:t>
      </w:r>
    </w:p>
    <w:p w14:paraId="2D12D7B9">
      <w:pPr>
        <w:spacing w:line="240" w:lineRule="auto"/>
        <w:ind w:firstLine="640"/>
        <w:jc w:val="both"/>
      </w:pPr>
      <w:r>
        <w:rPr>
          <w:rFonts w:ascii="仿宋_GB2312" w:hAnsi="仿宋_GB2312" w:eastAsia="仿宋_GB2312"/>
          <w:b w:val="0"/>
          <w:sz w:val="32"/>
        </w:rPr>
        <w:t>四、《财政拨款收入支出决算总表》</w:t>
      </w:r>
    </w:p>
    <w:p w14:paraId="7302E524">
      <w:pPr>
        <w:spacing w:line="240" w:lineRule="auto"/>
        <w:ind w:firstLine="640"/>
        <w:jc w:val="both"/>
      </w:pPr>
      <w:r>
        <w:rPr>
          <w:rFonts w:ascii="仿宋_GB2312" w:hAnsi="仿宋_GB2312" w:eastAsia="仿宋_GB2312"/>
          <w:b w:val="0"/>
          <w:sz w:val="32"/>
        </w:rPr>
        <w:t>五、《一般公共预算财政拨款支出决算表》</w:t>
      </w:r>
    </w:p>
    <w:p w14:paraId="3AC56A5E">
      <w:pPr>
        <w:spacing w:line="240" w:lineRule="auto"/>
        <w:ind w:firstLine="640"/>
        <w:jc w:val="both"/>
      </w:pPr>
      <w:r>
        <w:rPr>
          <w:rFonts w:ascii="仿宋_GB2312" w:hAnsi="仿宋_GB2312" w:eastAsia="仿宋_GB2312"/>
          <w:b w:val="0"/>
          <w:sz w:val="32"/>
        </w:rPr>
        <w:t>六、《一般公共预算财政拨款基本支出决算表》</w:t>
      </w:r>
    </w:p>
    <w:p w14:paraId="1FF78540">
      <w:pPr>
        <w:spacing w:line="240" w:lineRule="auto"/>
        <w:ind w:firstLine="640"/>
        <w:jc w:val="both"/>
      </w:pPr>
      <w:r>
        <w:rPr>
          <w:rFonts w:ascii="仿宋_GB2312" w:hAnsi="仿宋_GB2312" w:eastAsia="仿宋_GB2312"/>
          <w:b w:val="0"/>
          <w:sz w:val="32"/>
        </w:rPr>
        <w:t>七、《政府性基金预算财政拨款收入支出决算表》</w:t>
      </w:r>
    </w:p>
    <w:p w14:paraId="67F26F5C">
      <w:pPr>
        <w:spacing w:line="240" w:lineRule="auto"/>
        <w:ind w:firstLine="640"/>
        <w:jc w:val="both"/>
      </w:pPr>
      <w:r>
        <w:rPr>
          <w:rFonts w:ascii="仿宋_GB2312" w:hAnsi="仿宋_GB2312" w:eastAsia="仿宋_GB2312"/>
          <w:b w:val="0"/>
          <w:sz w:val="32"/>
        </w:rPr>
        <w:t>八、《国有资本经营预算财政拨款收入支出决算表》</w:t>
      </w:r>
    </w:p>
    <w:p w14:paraId="43487203">
      <w:pPr>
        <w:spacing w:line="240" w:lineRule="auto"/>
        <w:ind w:firstLine="640"/>
        <w:jc w:val="both"/>
      </w:pPr>
      <w:r>
        <w:rPr>
          <w:rFonts w:ascii="仿宋_GB2312" w:hAnsi="仿宋_GB2312" w:eastAsia="仿宋_GB2312"/>
          <w:b w:val="0"/>
          <w:sz w:val="32"/>
        </w:rPr>
        <w:t>九、《财政拨款“三公”经费支出决算表》</w:t>
      </w:r>
    </w:p>
    <w:p w14:paraId="6D9FA6B8">
      <w:pPr>
        <w:spacing w:line="240" w:lineRule="auto"/>
        <w:ind w:firstLine="640"/>
        <w:jc w:val="both"/>
      </w:pPr>
    </w:p>
    <w:p w14:paraId="115A199F">
      <w:pPr>
        <w:spacing w:line="240" w:lineRule="auto"/>
        <w:ind w:firstLine="640"/>
        <w:jc w:val="both"/>
      </w:pPr>
    </w:p>
    <w:p w14:paraId="03C4EF4D">
      <w:pPr>
        <w:spacing w:line="240" w:lineRule="auto"/>
        <w:ind w:firstLine="640"/>
        <w:jc w:val="both"/>
      </w:pPr>
    </w:p>
    <w:p w14:paraId="1367CE52">
      <w:pPr>
        <w:spacing w:line="240" w:lineRule="auto"/>
        <w:ind w:firstLine="640"/>
        <w:jc w:val="both"/>
      </w:pPr>
    </w:p>
    <w:p w14:paraId="7B528991">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27AC2F2-8874-4DFD-9AA0-68758117B0E8}"/>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4939A684-6049-49DF-B823-195922AE7BF5}"/>
  </w:font>
  <w:font w:name="仿宋_GB2312">
    <w:panose1 w:val="02010609030101010101"/>
    <w:charset w:val="86"/>
    <w:family w:val="modern"/>
    <w:pitch w:val="default"/>
    <w:sig w:usb0="00000001" w:usb1="080E0000" w:usb2="00000000" w:usb3="00000000" w:csb0="00040000" w:csb1="00000000"/>
    <w:embedRegular r:id="rId3" w:fontKey="{488D6571-490F-42A8-86F8-FAC8840E3976}"/>
  </w:font>
  <w:font w:name="楷体_GB2312">
    <w:panose1 w:val="02010609030101010101"/>
    <w:charset w:val="86"/>
    <w:family w:val="auto"/>
    <w:pitch w:val="default"/>
    <w:sig w:usb0="00000001" w:usb1="080E0000" w:usb2="00000000" w:usb3="00000000" w:csb0="00040000" w:csb1="00000000"/>
    <w:embedRegular r:id="rId4" w:fontKey="{1CB6F516-FC1D-4751-958B-7B69DAAEEAB8}"/>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26350C"/>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 w:val="7F335D9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4738</Words>
  <Characters>5380</Characters>
  <Lines>0</Lines>
  <Paragraphs>0</Paragraphs>
  <TotalTime>9</TotalTime>
  <ScaleCrop>false</ScaleCrop>
  <LinksUpToDate>false</LinksUpToDate>
  <CharactersWithSpaces>5390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2025-09-17T11:45:03Z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