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伽师县夏普吐勒镇中学2024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A07AAD1">
      <w:r>
        <w:br w:type="page"/>
      </w:r>
    </w:p>
    <w:p w14:paraId="086A39DA">
      <w:pPr>
        <w:spacing w:line="640" w:lineRule="exact"/>
        <w:jc w:val="center"/>
        <w:outlineLvl w:val="1"/>
      </w:pPr>
      <w:r>
        <w:rPr>
          <w:rFonts w:ascii="黑体" w:hAnsi="黑体" w:eastAsia="黑体"/>
          <w:sz w:val="32"/>
        </w:rPr>
        <w:t>第一部分 单位概况</w:t>
      </w:r>
    </w:p>
    <w:p w14:paraId="4EECF4E3">
      <w:pPr>
        <w:spacing w:line="640" w:lineRule="exact"/>
        <w:ind w:firstLine="640"/>
        <w:jc w:val="both"/>
        <w:outlineLvl w:val="2"/>
      </w:pPr>
      <w:r>
        <w:rPr>
          <w:rFonts w:ascii="黑体" w:hAnsi="黑体" w:eastAsia="黑体"/>
          <w:sz w:val="32"/>
        </w:rPr>
        <w:t>一、主要职能</w:t>
      </w:r>
    </w:p>
    <w:p w14:paraId="232962C6">
      <w:pPr>
        <w:spacing w:line="580" w:lineRule="exact"/>
        <w:ind w:firstLine="640"/>
        <w:jc w:val="both"/>
      </w:pPr>
      <w:r>
        <w:rPr>
          <w:rFonts w:ascii="仿宋_GB2312" w:hAnsi="仿宋_GB2312" w:eastAsia="仿宋_GB2312"/>
          <w:sz w:val="32"/>
        </w:rPr>
        <w:t>(1)负责贯彻执行党的教育方针、政策、法规和规章制度、制定并组织实施学校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3C61975E">
      <w:pPr>
        <w:spacing w:line="580" w:lineRule="exact"/>
        <w:ind w:firstLine="640"/>
        <w:jc w:val="both"/>
      </w:pPr>
      <w:r>
        <w:rPr>
          <w:rFonts w:ascii="仿宋_GB2312" w:hAnsi="仿宋_GB2312" w:eastAsia="仿宋_GB2312"/>
          <w:sz w:val="32"/>
        </w:rPr>
        <w:t>(2)负责学校教职工及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w:t>
      </w:r>
    </w:p>
    <w:p w14:paraId="59F4BF97">
      <w:pPr>
        <w:spacing w:line="580" w:lineRule="exact"/>
        <w:ind w:firstLine="640"/>
        <w:jc w:val="both"/>
      </w:pPr>
      <w:r>
        <w:rPr>
          <w:rFonts w:ascii="仿宋_GB2312" w:hAnsi="仿宋_GB2312" w:eastAsia="仿宋_GB2312"/>
          <w:sz w:val="32"/>
        </w:rPr>
        <w:t>(3)组织教职工进行继续教育，做好教职工的调配、奖惩、工资福利及其他各方面工作。</w:t>
      </w:r>
    </w:p>
    <w:p w14:paraId="4E083749">
      <w:pPr>
        <w:spacing w:line="580" w:lineRule="exact"/>
        <w:ind w:firstLine="640"/>
        <w:jc w:val="both"/>
      </w:pPr>
      <w:r>
        <w:rPr>
          <w:rFonts w:ascii="仿宋_GB2312" w:hAnsi="仿宋_GB2312" w:eastAsia="仿宋_GB2312"/>
          <w:sz w:val="32"/>
        </w:rPr>
        <w:t>(4)负责认真</w:t>
      </w:r>
      <w:bookmarkStart w:id="0" w:name="_GoBack"/>
      <w:r>
        <w:rPr>
          <w:rFonts w:hint="eastAsia" w:ascii="仿宋_GB2312" w:hAnsi="仿宋_GB2312" w:eastAsia="仿宋_GB2312"/>
          <w:sz w:val="32"/>
          <w:lang w:eastAsia="zh-CN"/>
        </w:rPr>
        <w:t>实施</w:t>
      </w:r>
      <w:bookmarkEnd w:id="0"/>
      <w:r>
        <w:rPr>
          <w:rFonts w:ascii="仿宋_GB2312" w:hAnsi="仿宋_GB2312" w:eastAsia="仿宋_GB2312"/>
          <w:sz w:val="32"/>
        </w:rPr>
        <w:t>学生守则，行为规范及有关条例，实施素质教育，锻炼学生的实践能力。</w:t>
      </w:r>
    </w:p>
    <w:p w14:paraId="750C7372">
      <w:pPr>
        <w:spacing w:line="580" w:lineRule="exact"/>
        <w:ind w:firstLine="640"/>
        <w:jc w:val="both"/>
      </w:pPr>
      <w:r>
        <w:rPr>
          <w:rFonts w:ascii="仿宋_GB2312" w:hAnsi="仿宋_GB2312" w:eastAsia="仿宋_GB2312"/>
          <w:sz w:val="32"/>
        </w:rPr>
        <w:t>(5)为社会主义现代化建设培养德、智、体、美、劳全面发展的人才。</w:t>
      </w:r>
    </w:p>
    <w:p w14:paraId="3B5651B9">
      <w:pPr>
        <w:spacing w:line="580" w:lineRule="exact"/>
        <w:ind w:firstLine="640"/>
        <w:jc w:val="both"/>
      </w:pPr>
      <w:r>
        <w:rPr>
          <w:rFonts w:ascii="仿宋_GB2312" w:hAnsi="仿宋_GB2312" w:eastAsia="仿宋_GB2312"/>
          <w:sz w:val="32"/>
        </w:rPr>
        <w:t>(6)定期召开家长会、学生代表会，认真听取家长、学生对学校工作的意见和建议。</w:t>
      </w:r>
    </w:p>
    <w:p w14:paraId="57094C79">
      <w:pPr>
        <w:spacing w:line="640" w:lineRule="exact"/>
        <w:ind w:firstLine="640"/>
        <w:jc w:val="both"/>
        <w:outlineLvl w:val="2"/>
      </w:pPr>
      <w:r>
        <w:rPr>
          <w:rFonts w:ascii="黑体" w:hAnsi="黑体" w:eastAsia="黑体"/>
          <w:sz w:val="32"/>
        </w:rPr>
        <w:t>二、机构设置及人员情况</w:t>
      </w:r>
    </w:p>
    <w:p w14:paraId="7ADA55CC">
      <w:pPr>
        <w:spacing w:line="580" w:lineRule="exact"/>
        <w:ind w:firstLine="640"/>
        <w:jc w:val="both"/>
      </w:pPr>
      <w:r>
        <w:rPr>
          <w:rFonts w:ascii="仿宋_GB2312" w:hAnsi="仿宋_GB2312" w:eastAsia="仿宋_GB2312"/>
          <w:sz w:val="32"/>
        </w:rPr>
        <w:t>伽师县夏普吐勒镇中学2024年度，实有人数262人，其中：在职人员225人，增加3人；离休人员0人，增加0人；退休人员37人,增加5人。</w:t>
      </w:r>
    </w:p>
    <w:p w14:paraId="1D4674E4">
      <w:pPr>
        <w:spacing w:line="580" w:lineRule="exact"/>
        <w:ind w:firstLine="640"/>
        <w:jc w:val="both"/>
      </w:pPr>
      <w:r>
        <w:rPr>
          <w:rFonts w:ascii="仿宋_GB2312" w:hAnsi="仿宋_GB2312" w:eastAsia="仿宋_GB2312"/>
          <w:sz w:val="32"/>
        </w:rPr>
        <w:t>伽师县夏普吐勒镇中学无下属预算单位，下设2个科室，分别是：教务科、音体美办公室。</w:t>
      </w:r>
    </w:p>
    <w:p w14:paraId="666D4E34">
      <w:r>
        <w:br w:type="page"/>
      </w:r>
    </w:p>
    <w:p w14:paraId="6B904496">
      <w:pPr>
        <w:spacing w:line="240" w:lineRule="auto"/>
        <w:jc w:val="center"/>
        <w:outlineLvl w:val="1"/>
      </w:pPr>
      <w:r>
        <w:rPr>
          <w:rFonts w:ascii="黑体" w:hAnsi="黑体" w:eastAsia="黑体"/>
          <w:sz w:val="32"/>
        </w:rPr>
        <w:t>第二部分 部门决算情况说明</w:t>
      </w:r>
    </w:p>
    <w:p w14:paraId="261D457E">
      <w:pPr>
        <w:spacing w:line="640" w:lineRule="exact"/>
        <w:ind w:firstLine="640"/>
        <w:jc w:val="both"/>
        <w:outlineLvl w:val="2"/>
      </w:pPr>
      <w:r>
        <w:rPr>
          <w:rFonts w:ascii="黑体" w:hAnsi="黑体" w:eastAsia="黑体"/>
          <w:sz w:val="32"/>
        </w:rPr>
        <w:t>一、收入支出决算总体情况说明</w:t>
      </w:r>
    </w:p>
    <w:p w14:paraId="160BCC0E">
      <w:pPr>
        <w:spacing w:line="580" w:lineRule="exact"/>
        <w:ind w:firstLine="640"/>
        <w:jc w:val="both"/>
      </w:pPr>
      <w:r>
        <w:rPr>
          <w:rFonts w:ascii="仿宋_GB2312" w:hAnsi="仿宋_GB2312" w:eastAsia="仿宋_GB2312"/>
          <w:b/>
          <w:sz w:val="32"/>
        </w:rPr>
        <w:t>2024年度收入总计5,359.93万元，</w:t>
      </w:r>
      <w:r>
        <w:rPr>
          <w:rFonts w:ascii="仿宋_GB2312" w:hAnsi="仿宋_GB2312" w:eastAsia="仿宋_GB2312"/>
          <w:b w:val="0"/>
          <w:sz w:val="32"/>
        </w:rPr>
        <w:t>其中：本年收入合计5,359.93万元，使用非财政拨款结余（含专用结余）0.00万元，年初结转和结余0.00万元。</w:t>
      </w:r>
    </w:p>
    <w:p w14:paraId="2A2427B6">
      <w:pPr>
        <w:spacing w:line="580" w:lineRule="exact"/>
        <w:ind w:firstLine="640"/>
        <w:jc w:val="both"/>
      </w:pPr>
      <w:r>
        <w:rPr>
          <w:rFonts w:ascii="仿宋_GB2312" w:hAnsi="仿宋_GB2312" w:eastAsia="仿宋_GB2312"/>
          <w:b/>
          <w:sz w:val="32"/>
        </w:rPr>
        <w:t>2024年度支出总计5,359.93万元，</w:t>
      </w:r>
      <w:r>
        <w:rPr>
          <w:rFonts w:ascii="仿宋_GB2312" w:hAnsi="仿宋_GB2312" w:eastAsia="仿宋_GB2312"/>
          <w:b w:val="0"/>
          <w:sz w:val="32"/>
        </w:rPr>
        <w:t>其中：本年支出合计5,359.93万元，结余分配0.00万元，年末结转和结余0.00万元。</w:t>
      </w:r>
    </w:p>
    <w:p w14:paraId="481249D6">
      <w:pPr>
        <w:spacing w:line="580" w:lineRule="exact"/>
        <w:ind w:firstLine="640"/>
        <w:jc w:val="both"/>
      </w:pPr>
      <w:r>
        <w:rPr>
          <w:rFonts w:ascii="仿宋_GB2312" w:hAnsi="仿宋_GB2312" w:eastAsia="仿宋_GB2312"/>
          <w:b w:val="0"/>
          <w:sz w:val="32"/>
        </w:rPr>
        <w:t>收入支出总体与上年相比，增加673.71万元，增长14.38%，主要原因是：本年在职人员增加，相关人员经费增加，学生生均公用经费项目资金较上年增加。</w:t>
      </w:r>
    </w:p>
    <w:p w14:paraId="0B6C2253">
      <w:pPr>
        <w:spacing w:line="640" w:lineRule="exact"/>
        <w:ind w:firstLine="640"/>
        <w:jc w:val="both"/>
        <w:outlineLvl w:val="2"/>
      </w:pPr>
      <w:r>
        <w:rPr>
          <w:rFonts w:ascii="黑体" w:hAnsi="黑体" w:eastAsia="黑体"/>
          <w:sz w:val="32"/>
        </w:rPr>
        <w:t>二、收入决算情况说明</w:t>
      </w:r>
    </w:p>
    <w:p w14:paraId="6A4C2315">
      <w:pPr>
        <w:spacing w:line="580" w:lineRule="exact"/>
        <w:ind w:firstLine="640"/>
        <w:jc w:val="both"/>
      </w:pPr>
      <w:r>
        <w:rPr>
          <w:rFonts w:ascii="仿宋_GB2312" w:hAnsi="仿宋_GB2312" w:eastAsia="仿宋_GB2312"/>
          <w:b/>
          <w:sz w:val="32"/>
        </w:rPr>
        <w:t>本年收入5,359.93万元，</w:t>
      </w:r>
      <w:r>
        <w:rPr>
          <w:rFonts w:ascii="仿宋_GB2312" w:hAnsi="仿宋_GB2312" w:eastAsia="仿宋_GB2312"/>
          <w:b w:val="0"/>
          <w:sz w:val="32"/>
        </w:rPr>
        <w:t>其中：财政拨款收入5,359.93万元，占100.00%；上级补助收入0.00万元，占0.00%；事业收入0.00万元，占0.00%；经营收入0.00万元，占0.00%；附属单位上缴收入0.00万元，占0.00%；其他收入0.00万元，占0.00%。</w:t>
      </w:r>
    </w:p>
    <w:p w14:paraId="1404A26F">
      <w:pPr>
        <w:spacing w:line="640" w:lineRule="exact"/>
        <w:ind w:firstLine="640"/>
        <w:jc w:val="both"/>
        <w:outlineLvl w:val="2"/>
      </w:pPr>
      <w:r>
        <w:rPr>
          <w:rFonts w:ascii="黑体" w:hAnsi="黑体" w:eastAsia="黑体"/>
          <w:sz w:val="32"/>
        </w:rPr>
        <w:t>三、支出决算情况说明</w:t>
      </w:r>
    </w:p>
    <w:p w14:paraId="0F7DE4DE">
      <w:pPr>
        <w:spacing w:line="580" w:lineRule="exact"/>
        <w:ind w:firstLine="640"/>
        <w:jc w:val="both"/>
      </w:pPr>
      <w:r>
        <w:rPr>
          <w:rFonts w:ascii="仿宋_GB2312" w:hAnsi="仿宋_GB2312" w:eastAsia="仿宋_GB2312"/>
          <w:b/>
          <w:sz w:val="32"/>
        </w:rPr>
        <w:t>本年支出5,359.93万元，</w:t>
      </w:r>
      <w:r>
        <w:rPr>
          <w:rFonts w:ascii="仿宋_GB2312" w:hAnsi="仿宋_GB2312" w:eastAsia="仿宋_GB2312"/>
          <w:b w:val="0"/>
          <w:sz w:val="32"/>
        </w:rPr>
        <w:t>其中：基本支出3,924.63万元，占73.22%；项目支出1,435.30万元，占26.78%；上缴上级支出0.00万元，占0.00%；经营支出0.00万元，占0.00%；对附属单位补助支出0.00万元，占0.00%。</w:t>
      </w:r>
    </w:p>
    <w:p w14:paraId="02EA5B56">
      <w:pPr>
        <w:spacing w:line="640" w:lineRule="exact"/>
        <w:ind w:firstLine="640"/>
        <w:jc w:val="both"/>
        <w:outlineLvl w:val="2"/>
      </w:pPr>
      <w:r>
        <w:rPr>
          <w:rFonts w:ascii="黑体" w:hAnsi="黑体" w:eastAsia="黑体"/>
          <w:sz w:val="32"/>
        </w:rPr>
        <w:t>四、财政拨款收入支出决算总体情况说明</w:t>
      </w:r>
    </w:p>
    <w:p w14:paraId="069FBD46">
      <w:pPr>
        <w:spacing w:line="580" w:lineRule="exact"/>
        <w:ind w:firstLine="640"/>
        <w:jc w:val="both"/>
      </w:pPr>
      <w:r>
        <w:rPr>
          <w:rFonts w:ascii="仿宋_GB2312" w:hAnsi="仿宋_GB2312" w:eastAsia="仿宋_GB2312"/>
          <w:b/>
          <w:sz w:val="32"/>
        </w:rPr>
        <w:t>2024年度财政拨款收入总计5,359.93万元，</w:t>
      </w:r>
      <w:r>
        <w:rPr>
          <w:rFonts w:ascii="仿宋_GB2312" w:hAnsi="仿宋_GB2312" w:eastAsia="仿宋_GB2312"/>
          <w:b w:val="0"/>
          <w:sz w:val="32"/>
        </w:rPr>
        <w:t>其中：年初财政拨款结转和结余0.00万元，本年财政拨款收入5,359.93万元。</w:t>
      </w:r>
      <w:r>
        <w:rPr>
          <w:rFonts w:ascii="仿宋_GB2312" w:hAnsi="仿宋_GB2312" w:eastAsia="仿宋_GB2312"/>
          <w:b/>
          <w:sz w:val="32"/>
        </w:rPr>
        <w:t>财政拨款支出总计5,359.93万元，</w:t>
      </w:r>
      <w:r>
        <w:rPr>
          <w:rFonts w:ascii="仿宋_GB2312" w:hAnsi="仿宋_GB2312" w:eastAsia="仿宋_GB2312"/>
          <w:b w:val="0"/>
          <w:sz w:val="32"/>
        </w:rPr>
        <w:t>其中：年末财政拨款结转和结余0.00万元，本年财政拨款支出5,359.93万元。</w:t>
      </w:r>
    </w:p>
    <w:p w14:paraId="318A489C">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增加830.60万元，增长18.34%，主要原因是：本年在职人员增加，相关人员经费增加，学生生均公用经费项目资金较上年增加。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年初预算数5,290.51万元，决算数5,359.93万元，预决算差异率1.31%，主要原因是：本年在职人员增加，年中追加人员经费及人员工资、社保、公积金基数调增部分资金，导致预决算存在差异。</w:t>
      </w:r>
    </w:p>
    <w:p w14:paraId="399D6324">
      <w:pPr>
        <w:spacing w:line="640" w:lineRule="exact"/>
        <w:ind w:firstLine="640"/>
        <w:jc w:val="both"/>
        <w:outlineLvl w:val="2"/>
      </w:pPr>
      <w:r>
        <w:rPr>
          <w:rFonts w:ascii="黑体" w:hAnsi="黑体" w:eastAsia="黑体"/>
          <w:sz w:val="32"/>
        </w:rPr>
        <w:t>五、一般公共预算财政拨款支出决算情况说明</w:t>
      </w:r>
    </w:p>
    <w:p w14:paraId="4138D8DD">
      <w:pPr>
        <w:spacing w:line="640" w:lineRule="exact"/>
        <w:ind w:firstLine="640"/>
        <w:jc w:val="both"/>
        <w:outlineLvl w:val="3"/>
      </w:pPr>
      <w:r>
        <w:rPr>
          <w:rFonts w:ascii="楷体_GB2312" w:hAnsi="楷体_GB2312" w:eastAsia="楷体_GB2312"/>
          <w:b/>
          <w:sz w:val="32"/>
        </w:rPr>
        <w:t>（一）一般公共预算财政拨款支出决算总体情况</w:t>
      </w:r>
    </w:p>
    <w:p w14:paraId="0F75B833">
      <w:pPr>
        <w:spacing w:line="580" w:lineRule="exact"/>
        <w:ind w:firstLine="640"/>
        <w:jc w:val="both"/>
      </w:pPr>
      <w:r>
        <w:rPr>
          <w:rFonts w:ascii="仿宋_GB2312" w:hAnsi="仿宋_GB2312" w:eastAsia="仿宋_GB2312"/>
          <w:b/>
          <w:sz w:val="32"/>
        </w:rPr>
        <w:t>2024年度一般公共预算财政拨款支出5,359.93万元，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增加830.60万元，增长18.34%，主要原因是：本年在职人员增加，相关人员经费增加，学生生均公用经费项目资金较上年增加。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年初预算数5,290.51万元，决算数5,359.93万元，预决算差异率1.31%，主要原因是：本年在职人员增加，年中追加人员经费及人员工资、社保、公积金基数调增部分资金，导致预决算存在差异。</w:t>
      </w:r>
    </w:p>
    <w:p w14:paraId="23CB81BC">
      <w:pPr>
        <w:spacing w:line="640" w:lineRule="exact"/>
        <w:ind w:firstLine="640"/>
        <w:jc w:val="both"/>
        <w:outlineLvl w:val="3"/>
      </w:pPr>
      <w:r>
        <w:rPr>
          <w:rFonts w:ascii="楷体_GB2312" w:hAnsi="楷体_GB2312" w:eastAsia="楷体_GB2312"/>
          <w:b/>
          <w:sz w:val="32"/>
        </w:rPr>
        <w:t>（二）一般公共预算财政拨款支出决算结构情况</w:t>
      </w:r>
    </w:p>
    <w:p w14:paraId="239B816A">
      <w:pPr>
        <w:spacing w:line="580" w:lineRule="exact"/>
        <w:ind w:firstLine="640"/>
        <w:jc w:val="both"/>
      </w:pPr>
      <w:r>
        <w:rPr>
          <w:rFonts w:ascii="仿宋_GB2312" w:hAnsi="仿宋_GB2312" w:eastAsia="仿宋_GB2312"/>
          <w:b w:val="0"/>
          <w:sz w:val="32"/>
        </w:rPr>
        <w:t>1.教育支出(类)5,359.93万元,占100.00%。</w:t>
      </w:r>
    </w:p>
    <w:p w14:paraId="47753A60">
      <w:pPr>
        <w:spacing w:line="640" w:lineRule="exact"/>
        <w:ind w:firstLine="640"/>
        <w:jc w:val="both"/>
        <w:outlineLvl w:val="3"/>
      </w:pPr>
      <w:r>
        <w:rPr>
          <w:rFonts w:ascii="楷体_GB2312" w:hAnsi="楷体_GB2312" w:eastAsia="楷体_GB2312"/>
          <w:b/>
          <w:sz w:val="32"/>
        </w:rPr>
        <w:t>（三）一般公共预算财政拨款支出决算具体情况</w:t>
      </w:r>
    </w:p>
    <w:p w14:paraId="02E13E8D">
      <w:pPr>
        <w:spacing w:line="580" w:lineRule="exact"/>
        <w:ind w:firstLine="640"/>
        <w:jc w:val="both"/>
      </w:pPr>
      <w:r>
        <w:rPr>
          <w:rFonts w:ascii="仿宋_GB2312" w:hAnsi="仿宋_GB2312" w:eastAsia="仿宋_GB2312"/>
          <w:b w:val="0"/>
          <w:sz w:val="32"/>
        </w:rPr>
        <w:t>1.教育支出(类)普通教育(款)初中教育(项):支出决算数为5,336.81万元，比上年决算增加813.92万元，增长18.00%,主要原因是：本年在职人员增加，相关人员经费增加，学生生均公用经费项目资金较上年增加。</w:t>
      </w:r>
    </w:p>
    <w:p w14:paraId="58D55CF5">
      <w:pPr>
        <w:spacing w:line="580" w:lineRule="exact"/>
        <w:ind w:firstLine="640"/>
        <w:jc w:val="both"/>
      </w:pPr>
      <w:r>
        <w:rPr>
          <w:rFonts w:ascii="仿宋_GB2312" w:hAnsi="仿宋_GB2312" w:eastAsia="仿宋_GB2312"/>
          <w:b w:val="0"/>
          <w:sz w:val="32"/>
        </w:rPr>
        <w:t>2.教育支出(类)特殊教育(款)特殊学校教育(项):支出决算数为23.11万元，比上年决算增加16.67万元，增长258.85%,主要原因是：本年度特殊儿童补助经费较上年增加。</w:t>
      </w:r>
    </w:p>
    <w:p w14:paraId="0D36870B">
      <w:pPr>
        <w:spacing w:line="640" w:lineRule="exact"/>
        <w:ind w:firstLine="640"/>
        <w:jc w:val="both"/>
        <w:outlineLvl w:val="2"/>
      </w:pPr>
      <w:r>
        <w:rPr>
          <w:rFonts w:ascii="黑体" w:hAnsi="黑体" w:eastAsia="黑体"/>
          <w:sz w:val="32"/>
        </w:rPr>
        <w:t>六、一般公共预算财政拨款基本支出决算情况说明</w:t>
      </w:r>
    </w:p>
    <w:p w14:paraId="12907F90">
      <w:pPr>
        <w:spacing w:line="580" w:lineRule="exact"/>
        <w:ind w:firstLine="640"/>
        <w:jc w:val="both"/>
      </w:pPr>
      <w:r>
        <w:rPr>
          <w:rFonts w:ascii="仿宋_GB2312" w:hAnsi="仿宋_GB2312" w:eastAsia="仿宋_GB2312"/>
          <w:b w:val="0"/>
          <w:sz w:val="32"/>
        </w:rPr>
        <w:t>2024年度一般公共预算财政拨款基本支出3,924.63万元，其中：</w:t>
      </w:r>
      <w:r>
        <w:rPr>
          <w:rFonts w:ascii="仿宋_GB2312" w:hAnsi="仿宋_GB2312" w:eastAsia="仿宋_GB2312"/>
          <w:b/>
          <w:sz w:val="32"/>
        </w:rPr>
        <w:t>人员经费3,924.63万元，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包括：基本工资、津贴补贴、奖金、绩效工资、机关事业单位基本养老保险缴费、职业年金缴费、职工基本医疗保险缴费、其他社会保障缴费、住房公积金、退休费、生活补助。</w:t>
      </w:r>
    </w:p>
    <w:p w14:paraId="567C40DF">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18F22710">
      <w:pPr>
        <w:spacing w:line="640" w:lineRule="exact"/>
        <w:ind w:firstLine="640"/>
        <w:jc w:val="both"/>
        <w:outlineLvl w:val="2"/>
      </w:pPr>
      <w:r>
        <w:rPr>
          <w:rFonts w:ascii="黑体" w:hAnsi="黑体" w:eastAsia="黑体"/>
          <w:sz w:val="32"/>
        </w:rPr>
        <w:t>七、政府性基金预算财政拨款收入支出决算情况说明</w:t>
      </w:r>
    </w:p>
    <w:p w14:paraId="5C4CD3F5">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025094DF">
      <w:pPr>
        <w:spacing w:line="640" w:lineRule="exact"/>
        <w:ind w:firstLine="640"/>
        <w:jc w:val="both"/>
        <w:outlineLvl w:val="2"/>
      </w:pPr>
      <w:r>
        <w:rPr>
          <w:rFonts w:ascii="黑体" w:hAnsi="黑体" w:eastAsia="黑体"/>
          <w:sz w:val="32"/>
        </w:rPr>
        <w:t>八、国有资本经营预算财政拨款收入支出决算情况说明</w:t>
      </w:r>
    </w:p>
    <w:p w14:paraId="54E6CCB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CE289E6">
      <w:pPr>
        <w:spacing w:line="640" w:lineRule="exact"/>
        <w:ind w:firstLine="640"/>
        <w:jc w:val="both"/>
        <w:outlineLvl w:val="2"/>
      </w:pPr>
      <w:r>
        <w:rPr>
          <w:rFonts w:ascii="黑体" w:hAnsi="黑体" w:eastAsia="黑体"/>
          <w:sz w:val="32"/>
        </w:rPr>
        <w:t>九、财政拨款“三公”经费支出决算情况说明</w:t>
      </w:r>
    </w:p>
    <w:p w14:paraId="7105AF0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15EB565">
      <w:pPr>
        <w:spacing w:line="580" w:lineRule="exact"/>
        <w:ind w:firstLine="640"/>
        <w:jc w:val="both"/>
      </w:pPr>
      <w:r>
        <w:rPr>
          <w:rFonts w:ascii="仿宋_GB2312" w:hAnsi="仿宋_GB2312" w:eastAsia="仿宋_GB2312"/>
          <w:b/>
          <w:sz w:val="32"/>
        </w:rPr>
        <w:t>具体情况如下：</w:t>
      </w:r>
    </w:p>
    <w:p w14:paraId="18A299C9">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169871C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CC6240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5B3C12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07EADD27">
      <w:pPr>
        <w:spacing w:line="640" w:lineRule="exact"/>
        <w:ind w:firstLine="640"/>
        <w:jc w:val="both"/>
        <w:outlineLvl w:val="2"/>
      </w:pPr>
      <w:r>
        <w:rPr>
          <w:rFonts w:ascii="黑体" w:hAnsi="黑体" w:eastAsia="黑体"/>
          <w:sz w:val="32"/>
        </w:rPr>
        <w:t>十、其他重要事项的情况说明</w:t>
      </w:r>
    </w:p>
    <w:p w14:paraId="4CE05BE2">
      <w:pPr>
        <w:spacing w:line="640" w:lineRule="exact"/>
        <w:ind w:firstLine="640"/>
        <w:jc w:val="both"/>
        <w:outlineLvl w:val="3"/>
      </w:pPr>
      <w:r>
        <w:rPr>
          <w:rFonts w:ascii="楷体_GB2312" w:hAnsi="楷体_GB2312" w:eastAsia="楷体_GB2312"/>
          <w:b/>
          <w:sz w:val="32"/>
        </w:rPr>
        <w:t>（一）机关运行经费及公用经费支出情况</w:t>
      </w:r>
    </w:p>
    <w:p w14:paraId="1FE20B65">
      <w:pPr>
        <w:spacing w:line="580" w:lineRule="exact"/>
        <w:ind w:firstLine="640"/>
        <w:jc w:val="both"/>
      </w:pPr>
      <w:r>
        <w:rPr>
          <w:rFonts w:ascii="仿宋_GB2312" w:hAnsi="仿宋_GB2312" w:eastAsia="仿宋_GB2312"/>
          <w:b w:val="0"/>
          <w:sz w:val="32"/>
        </w:rPr>
        <w:t>2024年度伽师县夏普吐勒镇中学（事业单位）公用经费支出0.00万元，比上年增加0.00万元，增长0.00%，主要原因是：2023年与2024年均未安排公用经费支出。</w:t>
      </w:r>
    </w:p>
    <w:p w14:paraId="54621001">
      <w:pPr>
        <w:spacing w:line="640" w:lineRule="exact"/>
        <w:ind w:firstLine="640"/>
        <w:jc w:val="both"/>
        <w:outlineLvl w:val="3"/>
      </w:pPr>
      <w:r>
        <w:rPr>
          <w:rFonts w:ascii="楷体_GB2312" w:hAnsi="楷体_GB2312" w:eastAsia="楷体_GB2312"/>
          <w:b/>
          <w:sz w:val="32"/>
        </w:rPr>
        <w:t>（二）政府采购情况</w:t>
      </w:r>
    </w:p>
    <w:p w14:paraId="2B560026">
      <w:pPr>
        <w:spacing w:line="580" w:lineRule="exact"/>
        <w:ind w:firstLine="640"/>
        <w:jc w:val="both"/>
      </w:pPr>
      <w:r>
        <w:rPr>
          <w:rFonts w:ascii="仿宋_GB2312" w:hAnsi="仿宋_GB2312" w:eastAsia="仿宋_GB2312"/>
          <w:b w:val="0"/>
          <w:sz w:val="32"/>
        </w:rPr>
        <w:t>2024年度政府采购支出总额445.97万元，其中：政府采购货物支出445.97万元、政府采购工程支出0.00万元、政府采购服务支出0.00万元。</w:t>
      </w:r>
    </w:p>
    <w:p w14:paraId="4232E49B">
      <w:pPr>
        <w:spacing w:line="580" w:lineRule="exact"/>
        <w:ind w:firstLine="640"/>
        <w:jc w:val="both"/>
      </w:pPr>
      <w:r>
        <w:rPr>
          <w:rFonts w:ascii="仿宋_GB2312" w:hAnsi="仿宋_GB2312" w:eastAsia="仿宋_GB2312"/>
          <w:b w:val="0"/>
          <w:sz w:val="32"/>
        </w:rPr>
        <w:t>授予中小企业合同金额434.79万元，占政府采购支出总额的97.49%，其中：授予小微企业合同金额412.16万元，占政府采购支出总额的92.42%。</w:t>
      </w:r>
    </w:p>
    <w:p w14:paraId="5AB5E29B">
      <w:pPr>
        <w:spacing w:line="640" w:lineRule="exact"/>
        <w:ind w:firstLine="640"/>
        <w:jc w:val="both"/>
        <w:outlineLvl w:val="3"/>
      </w:pPr>
      <w:r>
        <w:rPr>
          <w:rFonts w:ascii="楷体_GB2312" w:hAnsi="楷体_GB2312" w:eastAsia="楷体_GB2312"/>
          <w:b/>
          <w:sz w:val="32"/>
        </w:rPr>
        <w:t>（三）国有资产占用情况说明</w:t>
      </w:r>
    </w:p>
    <w:p w14:paraId="547B28BD">
      <w:pPr>
        <w:spacing w:line="580" w:lineRule="exact"/>
        <w:ind w:firstLine="640"/>
        <w:jc w:val="both"/>
      </w:pPr>
      <w:r>
        <w:rPr>
          <w:rFonts w:ascii="仿宋_GB2312" w:hAnsi="仿宋_GB2312" w:eastAsia="仿宋_GB2312"/>
          <w:b w:val="0"/>
          <w:sz w:val="32"/>
        </w:rPr>
        <w:t>截至2024年12月31日，房屋25,650.97平方米，价值3,649.10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5台（套）。</w:t>
      </w:r>
    </w:p>
    <w:p w14:paraId="3494A115">
      <w:pPr>
        <w:spacing w:line="640" w:lineRule="exact"/>
        <w:ind w:firstLine="640"/>
        <w:jc w:val="both"/>
        <w:outlineLvl w:val="2"/>
      </w:pPr>
      <w:r>
        <w:rPr>
          <w:rFonts w:ascii="黑体" w:hAnsi="黑体" w:eastAsia="黑体"/>
          <w:sz w:val="32"/>
        </w:rPr>
        <w:t>十一、预算绩效的情况说明</w:t>
      </w:r>
    </w:p>
    <w:p w14:paraId="1BE42F1E">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594CFFDA">
      <w:r>
        <w:br w:type="page"/>
      </w:r>
    </w:p>
    <w:p w14:paraId="42658175">
      <w:pPr>
        <w:spacing w:line="640" w:lineRule="exact"/>
        <w:ind w:firstLine="640"/>
        <w:jc w:val="both"/>
        <w:outlineLvl w:val="2"/>
      </w:pPr>
      <w:r>
        <w:rPr>
          <w:rFonts w:ascii="黑体" w:hAnsi="黑体" w:eastAsia="黑体"/>
          <w:sz w:val="32"/>
        </w:rPr>
        <w:t>十二、其他需说明的事项</w:t>
      </w:r>
    </w:p>
    <w:p w14:paraId="7A614830">
      <w:pPr>
        <w:spacing w:line="580" w:lineRule="exact"/>
        <w:ind w:firstLine="640"/>
        <w:jc w:val="both"/>
      </w:pPr>
      <w:r>
        <w:rPr>
          <w:rFonts w:ascii="仿宋_GB2312" w:hAnsi="仿宋_GB2312" w:eastAsia="仿宋_GB2312"/>
          <w:b w:val="0"/>
          <w:sz w:val="32"/>
        </w:rPr>
        <w:t>本年度本单位整体绩效自评表由伽师县教育局编报并公开。</w:t>
      </w:r>
    </w:p>
    <w:p w14:paraId="6FFEB180">
      <w:r>
        <w:br w:type="page"/>
      </w:r>
    </w:p>
    <w:p w14:paraId="06270946">
      <w:pPr>
        <w:spacing w:line="240" w:lineRule="auto"/>
        <w:jc w:val="center"/>
        <w:outlineLvl w:val="1"/>
      </w:pPr>
      <w:r>
        <w:rPr>
          <w:rFonts w:ascii="黑体" w:hAnsi="黑体" w:eastAsia="黑体"/>
          <w:sz w:val="32"/>
        </w:rPr>
        <w:t>第三部分 专业名词解释</w:t>
      </w:r>
    </w:p>
    <w:p w14:paraId="32B98789">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EE248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46A176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39F8D1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E1FCF2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F4214F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69B898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F0FFA3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7C9BEC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BF23D17">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C770F0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00B4091">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0636A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C46360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A5A2CA9">
      <w:r>
        <w:br w:type="page"/>
      </w:r>
    </w:p>
    <w:p w14:paraId="28D040D4">
      <w:pPr>
        <w:spacing w:line="240" w:lineRule="auto"/>
        <w:jc w:val="center"/>
        <w:outlineLvl w:val="1"/>
      </w:pPr>
      <w:r>
        <w:rPr>
          <w:rFonts w:ascii="黑体" w:hAnsi="黑体" w:eastAsia="黑体"/>
          <w:sz w:val="32"/>
        </w:rPr>
        <w:t>第四部分 部门决算报表（见附表）</w:t>
      </w:r>
    </w:p>
    <w:p w14:paraId="681C5934">
      <w:pPr>
        <w:spacing w:line="240" w:lineRule="auto"/>
        <w:ind w:firstLine="640"/>
        <w:jc w:val="both"/>
      </w:pPr>
      <w:r>
        <w:rPr>
          <w:rFonts w:ascii="仿宋_GB2312" w:hAnsi="仿宋_GB2312" w:eastAsia="仿宋_GB2312"/>
          <w:b w:val="0"/>
          <w:sz w:val="32"/>
        </w:rPr>
        <w:t>一、《收入支出决算总表》</w:t>
      </w:r>
    </w:p>
    <w:p w14:paraId="6771A866">
      <w:pPr>
        <w:spacing w:line="240" w:lineRule="auto"/>
        <w:ind w:firstLine="640"/>
        <w:jc w:val="both"/>
      </w:pPr>
      <w:r>
        <w:rPr>
          <w:rFonts w:ascii="仿宋_GB2312" w:hAnsi="仿宋_GB2312" w:eastAsia="仿宋_GB2312"/>
          <w:b w:val="0"/>
          <w:sz w:val="32"/>
        </w:rPr>
        <w:t>二、《收入决算表》</w:t>
      </w:r>
    </w:p>
    <w:p w14:paraId="088E6DE6">
      <w:pPr>
        <w:spacing w:line="240" w:lineRule="auto"/>
        <w:ind w:firstLine="640"/>
        <w:jc w:val="both"/>
      </w:pPr>
      <w:r>
        <w:rPr>
          <w:rFonts w:ascii="仿宋_GB2312" w:hAnsi="仿宋_GB2312" w:eastAsia="仿宋_GB2312"/>
          <w:b w:val="0"/>
          <w:sz w:val="32"/>
        </w:rPr>
        <w:t>三、《支出决算表》</w:t>
      </w:r>
    </w:p>
    <w:p w14:paraId="0E285DA2">
      <w:pPr>
        <w:spacing w:line="240" w:lineRule="auto"/>
        <w:ind w:firstLine="640"/>
        <w:jc w:val="both"/>
      </w:pPr>
      <w:r>
        <w:rPr>
          <w:rFonts w:ascii="仿宋_GB2312" w:hAnsi="仿宋_GB2312" w:eastAsia="仿宋_GB2312"/>
          <w:b w:val="0"/>
          <w:sz w:val="32"/>
        </w:rPr>
        <w:t>四、《财政拨款收入支出决算总表》</w:t>
      </w:r>
    </w:p>
    <w:p w14:paraId="14534F3C">
      <w:pPr>
        <w:spacing w:line="240" w:lineRule="auto"/>
        <w:ind w:firstLine="640"/>
        <w:jc w:val="both"/>
      </w:pPr>
      <w:r>
        <w:rPr>
          <w:rFonts w:ascii="仿宋_GB2312" w:hAnsi="仿宋_GB2312" w:eastAsia="仿宋_GB2312"/>
          <w:b w:val="0"/>
          <w:sz w:val="32"/>
        </w:rPr>
        <w:t>五、《一般公共预算财政拨款支出决算表》</w:t>
      </w:r>
    </w:p>
    <w:p w14:paraId="1F884A34">
      <w:pPr>
        <w:spacing w:line="240" w:lineRule="auto"/>
        <w:ind w:firstLine="640"/>
        <w:jc w:val="both"/>
      </w:pPr>
      <w:r>
        <w:rPr>
          <w:rFonts w:ascii="仿宋_GB2312" w:hAnsi="仿宋_GB2312" w:eastAsia="仿宋_GB2312"/>
          <w:b w:val="0"/>
          <w:sz w:val="32"/>
        </w:rPr>
        <w:t>六、《一般公共预算财政拨款基本支出决算表》</w:t>
      </w:r>
    </w:p>
    <w:p w14:paraId="1D83B622">
      <w:pPr>
        <w:spacing w:line="240" w:lineRule="auto"/>
        <w:ind w:firstLine="640"/>
        <w:jc w:val="both"/>
      </w:pPr>
      <w:r>
        <w:rPr>
          <w:rFonts w:ascii="仿宋_GB2312" w:hAnsi="仿宋_GB2312" w:eastAsia="仿宋_GB2312"/>
          <w:b w:val="0"/>
          <w:sz w:val="32"/>
        </w:rPr>
        <w:t>七、《政府性基金预算财政拨款收入支出决算表》</w:t>
      </w:r>
    </w:p>
    <w:p w14:paraId="754856FF">
      <w:pPr>
        <w:spacing w:line="240" w:lineRule="auto"/>
        <w:ind w:firstLine="640"/>
        <w:jc w:val="both"/>
      </w:pPr>
      <w:r>
        <w:rPr>
          <w:rFonts w:ascii="仿宋_GB2312" w:hAnsi="仿宋_GB2312" w:eastAsia="仿宋_GB2312"/>
          <w:b w:val="0"/>
          <w:sz w:val="32"/>
        </w:rPr>
        <w:t>八、《国有资本经营预算财政拨款收入支出决算表》</w:t>
      </w:r>
    </w:p>
    <w:p w14:paraId="401C2C0D">
      <w:pPr>
        <w:spacing w:line="240" w:lineRule="auto"/>
        <w:ind w:firstLine="640"/>
        <w:jc w:val="both"/>
      </w:pPr>
      <w:r>
        <w:rPr>
          <w:rFonts w:ascii="仿宋_GB2312" w:hAnsi="仿宋_GB2312" w:eastAsia="仿宋_GB2312"/>
          <w:b w:val="0"/>
          <w:sz w:val="32"/>
        </w:rPr>
        <w:t>九、《财政拨款“三公”经费支出决算表》</w:t>
      </w:r>
    </w:p>
    <w:p w14:paraId="392FD53B">
      <w:pPr>
        <w:spacing w:line="240" w:lineRule="auto"/>
        <w:ind w:firstLine="640"/>
        <w:jc w:val="both"/>
      </w:pPr>
    </w:p>
    <w:p w14:paraId="52D6383F">
      <w:pPr>
        <w:spacing w:line="240" w:lineRule="auto"/>
        <w:ind w:firstLine="640"/>
        <w:jc w:val="both"/>
      </w:pPr>
    </w:p>
    <w:p w14:paraId="18BCE969">
      <w:pPr>
        <w:spacing w:line="240" w:lineRule="auto"/>
        <w:ind w:firstLine="640"/>
        <w:jc w:val="both"/>
      </w:pPr>
    </w:p>
    <w:p w14:paraId="25EE7549">
      <w:pPr>
        <w:spacing w:line="240" w:lineRule="auto"/>
        <w:ind w:firstLine="640"/>
        <w:jc w:val="both"/>
      </w:pPr>
    </w:p>
    <w:p w14:paraId="2714A9FF">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0957642-D6A4-4539-A193-A76F0CE0F79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9D5C98AE-930F-4363-B6D2-474C00F3E047}"/>
  </w:font>
  <w:font w:name="楷体_GB2312">
    <w:panose1 w:val="02010609030101010101"/>
    <w:charset w:val="86"/>
    <w:family w:val="auto"/>
    <w:pitch w:val="default"/>
    <w:sig w:usb0="00000001" w:usb1="080E0000" w:usb2="00000000" w:usb3="00000000" w:csb0="00040000" w:csb1="00000000"/>
    <w:embedRegular r:id="rId3" w:fontKey="{1DC264D1-1543-4A85-BB93-5567240896B8}"/>
  </w:font>
  <w:font w:name="方正小标宋_GBK">
    <w:panose1 w:val="02000000000000000000"/>
    <w:charset w:val="86"/>
    <w:family w:val="script"/>
    <w:pitch w:val="default"/>
    <w:sig w:usb0="A00002BF" w:usb1="38CF7CFA" w:usb2="00082016" w:usb3="00000000" w:csb0="00040001" w:csb1="00000000"/>
    <w:embedRegular r:id="rId4" w:fontKey="{04B25C55-8F37-46FD-B807-DF6C93A241E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486A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4570</Words>
  <Characters>5170</Characters>
  <Lines>0</Lines>
  <Paragraphs>0</Paragraphs>
  <TotalTime>0</TotalTime>
  <ScaleCrop>false</ScaleCrop>
  <LinksUpToDate>false</LinksUpToDate>
  <CharactersWithSpaces>5180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2025-09-16T11:32:02Z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eyJoZGlkIjoiNTBiYjFiYzY0OWM2ODlhYjA1NDAwODJkOGMwZGNkYTMiLCJ1c2VySWQiOiIyNTk4NTcxMjUifQ==</vt:lpwstr>
  </property>
</Properties>
</file>