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伽师县文化馆2024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050A22E">
      <w:r>
        <w:br w:type="page"/>
      </w:r>
    </w:p>
    <w:p w14:paraId="1C834917">
      <w:pPr>
        <w:spacing w:line="640" w:lineRule="exact"/>
        <w:jc w:val="center"/>
        <w:outlineLvl w:val="1"/>
      </w:pPr>
      <w:r>
        <w:rPr>
          <w:rFonts w:ascii="黑体" w:hAnsi="黑体" w:eastAsia="黑体"/>
          <w:sz w:val="32"/>
        </w:rPr>
        <w:t>第一部分 单位概况</w:t>
      </w:r>
    </w:p>
    <w:p w14:paraId="5D59CAE8">
      <w:pPr>
        <w:spacing w:line="640" w:lineRule="exact"/>
        <w:ind w:firstLine="640"/>
        <w:jc w:val="both"/>
        <w:outlineLvl w:val="2"/>
      </w:pPr>
      <w:r>
        <w:rPr>
          <w:rFonts w:ascii="黑体" w:hAnsi="黑体" w:eastAsia="黑体"/>
          <w:sz w:val="32"/>
        </w:rPr>
        <w:t>一、主要职能</w:t>
      </w:r>
    </w:p>
    <w:p w14:paraId="28E12EB9">
      <w:pPr>
        <w:spacing w:line="580" w:lineRule="exact"/>
        <w:ind w:firstLine="640"/>
        <w:jc w:val="both"/>
      </w:pPr>
      <w:r>
        <w:rPr>
          <w:rFonts w:ascii="仿宋_GB2312" w:hAnsi="仿宋_GB2312" w:eastAsia="仿宋_GB2312"/>
          <w:sz w:val="32"/>
        </w:rPr>
        <w:t>（一）组织文艺演出、美术摄影展览等方式、丰富群众的业余文化生活。</w:t>
      </w:r>
    </w:p>
    <w:p w14:paraId="212EE7C7">
      <w:pPr>
        <w:spacing w:line="580" w:lineRule="exact"/>
        <w:ind w:firstLine="640"/>
        <w:jc w:val="both"/>
      </w:pPr>
      <w:r>
        <w:rPr>
          <w:rFonts w:ascii="仿宋_GB2312" w:hAnsi="仿宋_GB2312" w:eastAsia="仿宋_GB2312"/>
          <w:sz w:val="32"/>
        </w:rPr>
        <w:t>（二）加强对民间文化创作团体的管理、指导乡镇综合文化活动中心开展适合当地农牧区文化活动。</w:t>
      </w:r>
    </w:p>
    <w:p w14:paraId="3F2DCDB7">
      <w:pPr>
        <w:spacing w:line="580" w:lineRule="exact"/>
        <w:ind w:firstLine="640"/>
        <w:jc w:val="both"/>
      </w:pPr>
      <w:r>
        <w:rPr>
          <w:rFonts w:ascii="仿宋_GB2312" w:hAnsi="仿宋_GB2312" w:eastAsia="仿宋_GB2312"/>
          <w:sz w:val="32"/>
        </w:rPr>
        <w:t>（三）加强民族民间非物质文化遗产的收集与整理工作、并加强保护。</w:t>
      </w:r>
    </w:p>
    <w:p w14:paraId="23D970BF">
      <w:pPr>
        <w:spacing w:line="580" w:lineRule="exact"/>
        <w:ind w:firstLine="640"/>
        <w:jc w:val="both"/>
      </w:pPr>
      <w:r>
        <w:rPr>
          <w:rFonts w:ascii="仿宋_GB2312" w:hAnsi="仿宋_GB2312" w:eastAsia="仿宋_GB2312"/>
          <w:sz w:val="32"/>
        </w:rPr>
        <w:t>（四）组织文化团队和文化作品进行交流提高。</w:t>
      </w:r>
    </w:p>
    <w:p w14:paraId="13AF31DD">
      <w:pPr>
        <w:spacing w:line="580" w:lineRule="exact"/>
        <w:ind w:firstLine="640"/>
        <w:jc w:val="both"/>
      </w:pPr>
      <w:r>
        <w:rPr>
          <w:rFonts w:ascii="仿宋_GB2312" w:hAnsi="仿宋_GB2312" w:eastAsia="仿宋_GB2312"/>
          <w:sz w:val="32"/>
        </w:rPr>
        <w:t>（五）组织、辅导和培训群众文化业务骨干队伍、开展群众文化创作活动、建立健全群众文艺档案。</w:t>
      </w:r>
    </w:p>
    <w:p w14:paraId="3D4A8F4E">
      <w:pPr>
        <w:spacing w:line="580" w:lineRule="exact"/>
        <w:ind w:firstLine="640"/>
        <w:jc w:val="both"/>
      </w:pPr>
      <w:r>
        <w:rPr>
          <w:rFonts w:ascii="仿宋_GB2312" w:hAnsi="仿宋_GB2312" w:eastAsia="仿宋_GB2312"/>
          <w:sz w:val="32"/>
        </w:rPr>
        <w:t>（六）完成上级和主管部门交办的其他工作。</w:t>
      </w:r>
    </w:p>
    <w:p w14:paraId="7EF0B1BA">
      <w:pPr>
        <w:spacing w:line="640" w:lineRule="exact"/>
        <w:ind w:firstLine="640"/>
        <w:jc w:val="both"/>
        <w:outlineLvl w:val="2"/>
      </w:pPr>
      <w:r>
        <w:rPr>
          <w:rFonts w:ascii="黑体" w:hAnsi="黑体" w:eastAsia="黑体"/>
          <w:sz w:val="32"/>
        </w:rPr>
        <w:t>二、机构设置及人员情况</w:t>
      </w:r>
    </w:p>
    <w:p w14:paraId="4311DFEA">
      <w:pPr>
        <w:spacing w:line="580" w:lineRule="exact"/>
        <w:ind w:firstLine="640"/>
        <w:jc w:val="both"/>
      </w:pPr>
      <w:r>
        <w:rPr>
          <w:rFonts w:ascii="仿宋_GB2312" w:hAnsi="仿宋_GB2312" w:eastAsia="仿宋_GB2312"/>
          <w:sz w:val="32"/>
        </w:rPr>
        <w:t>伽师县文化馆2024年度，实有人数17人，其中：在职人员9人，减少1人；离休人员0人，增加0人；退休人员8人,增加0人。</w:t>
      </w:r>
    </w:p>
    <w:p w14:paraId="7709A9E7">
      <w:pPr>
        <w:spacing w:line="580" w:lineRule="exact"/>
        <w:ind w:firstLine="640"/>
        <w:jc w:val="both"/>
      </w:pPr>
      <w:r>
        <w:rPr>
          <w:rFonts w:ascii="仿宋_GB2312" w:hAnsi="仿宋_GB2312" w:eastAsia="仿宋_GB2312"/>
          <w:sz w:val="32"/>
        </w:rPr>
        <w:t>伽师县文化馆无下属预算单位，下设3个科室，分别是：财务室、办公室、培训室。</w:t>
      </w:r>
    </w:p>
    <w:p w14:paraId="4DF11C9D">
      <w:r>
        <w:br w:type="page"/>
      </w:r>
    </w:p>
    <w:p w14:paraId="42FFABE9">
      <w:pPr>
        <w:spacing w:line="240" w:lineRule="auto"/>
        <w:jc w:val="center"/>
        <w:outlineLvl w:val="1"/>
      </w:pPr>
      <w:r>
        <w:rPr>
          <w:rFonts w:ascii="黑体" w:hAnsi="黑体" w:eastAsia="黑体"/>
          <w:sz w:val="32"/>
        </w:rPr>
        <w:t>第二部分 部门决算情况说明</w:t>
      </w:r>
    </w:p>
    <w:p w14:paraId="3C8317FC">
      <w:pPr>
        <w:spacing w:line="640" w:lineRule="exact"/>
        <w:ind w:firstLine="640"/>
        <w:jc w:val="both"/>
        <w:outlineLvl w:val="2"/>
      </w:pPr>
      <w:r>
        <w:rPr>
          <w:rFonts w:ascii="黑体" w:hAnsi="黑体" w:eastAsia="黑体"/>
          <w:sz w:val="32"/>
        </w:rPr>
        <w:t>一、收入支出决算总体情况说明</w:t>
      </w:r>
    </w:p>
    <w:p w14:paraId="2A7E7E56">
      <w:pPr>
        <w:spacing w:line="580" w:lineRule="exact"/>
        <w:ind w:firstLine="640"/>
        <w:jc w:val="both"/>
      </w:pPr>
      <w:r>
        <w:rPr>
          <w:rFonts w:ascii="仿宋_GB2312" w:hAnsi="仿宋_GB2312" w:eastAsia="仿宋_GB2312"/>
          <w:b/>
          <w:sz w:val="32"/>
        </w:rPr>
        <w:t>2024年度收入总计413.37万元，</w:t>
      </w:r>
      <w:r>
        <w:rPr>
          <w:rFonts w:ascii="仿宋_GB2312" w:hAnsi="仿宋_GB2312" w:eastAsia="仿宋_GB2312"/>
          <w:b w:val="0"/>
          <w:sz w:val="32"/>
        </w:rPr>
        <w:t>其中：本年收入合计413.37万元，使用非财政拨款结余（含专用结余）0.00万元，年初结转和结余0.00万元。</w:t>
      </w:r>
    </w:p>
    <w:p w14:paraId="4DA22C5E">
      <w:pPr>
        <w:spacing w:line="580" w:lineRule="exact"/>
        <w:ind w:firstLine="640"/>
        <w:jc w:val="both"/>
      </w:pPr>
      <w:r>
        <w:rPr>
          <w:rFonts w:ascii="仿宋_GB2312" w:hAnsi="仿宋_GB2312" w:eastAsia="仿宋_GB2312"/>
          <w:b/>
          <w:sz w:val="32"/>
        </w:rPr>
        <w:t>2024年度支出总计413.37万元，</w:t>
      </w:r>
      <w:r>
        <w:rPr>
          <w:rFonts w:ascii="仿宋_GB2312" w:hAnsi="仿宋_GB2312" w:eastAsia="仿宋_GB2312"/>
          <w:b w:val="0"/>
          <w:sz w:val="32"/>
        </w:rPr>
        <w:t>其中：本年支出合计413.37万元，结余分配0.00万元，年末结转和结余0.00万元。</w:t>
      </w:r>
    </w:p>
    <w:p w14:paraId="5EA6B7EB">
      <w:pPr>
        <w:spacing w:line="580" w:lineRule="exact"/>
        <w:ind w:firstLine="640"/>
        <w:jc w:val="both"/>
      </w:pPr>
      <w:r>
        <w:rPr>
          <w:rFonts w:ascii="仿宋_GB2312" w:hAnsi="仿宋_GB2312" w:eastAsia="仿宋_GB2312"/>
          <w:b w:val="0"/>
          <w:sz w:val="32"/>
        </w:rPr>
        <w:t>收入支出总体与上年相比，增加145.28万元，增长54.19%，主要原因是：本年增加2024年中央地方公共文化服务体系建设补助项目，导致经费较上年增加。</w:t>
      </w:r>
    </w:p>
    <w:p w14:paraId="051C0360">
      <w:pPr>
        <w:spacing w:line="640" w:lineRule="exact"/>
        <w:ind w:firstLine="640"/>
        <w:jc w:val="both"/>
        <w:outlineLvl w:val="2"/>
      </w:pPr>
      <w:r>
        <w:rPr>
          <w:rFonts w:ascii="黑体" w:hAnsi="黑体" w:eastAsia="黑体"/>
          <w:sz w:val="32"/>
        </w:rPr>
        <w:t>二、收入决算情况说明</w:t>
      </w:r>
    </w:p>
    <w:p w14:paraId="69B032DE">
      <w:pPr>
        <w:spacing w:line="580" w:lineRule="exact"/>
        <w:ind w:firstLine="640"/>
        <w:jc w:val="both"/>
      </w:pPr>
      <w:r>
        <w:rPr>
          <w:rFonts w:ascii="仿宋_GB2312" w:hAnsi="仿宋_GB2312" w:eastAsia="仿宋_GB2312"/>
          <w:b/>
          <w:sz w:val="32"/>
        </w:rPr>
        <w:t>本年收入413.37万元，</w:t>
      </w:r>
      <w:r>
        <w:rPr>
          <w:rFonts w:ascii="仿宋_GB2312" w:hAnsi="仿宋_GB2312" w:eastAsia="仿宋_GB2312"/>
          <w:b w:val="0"/>
          <w:sz w:val="32"/>
        </w:rPr>
        <w:t>其中：财政拨款收入403.37万元，占97.58%；上级补助收入0.00万元，占0.00%；事业收入0.00万元，占0.00%；经营收入0.00万元，占0.00%；附属单位上缴收入0.00万元，占0.00%；其他收入10.00万元，占2.42%。</w:t>
      </w:r>
    </w:p>
    <w:p w14:paraId="5439B888">
      <w:pPr>
        <w:spacing w:line="640" w:lineRule="exact"/>
        <w:ind w:firstLine="640"/>
        <w:jc w:val="both"/>
        <w:outlineLvl w:val="2"/>
      </w:pPr>
      <w:r>
        <w:rPr>
          <w:rFonts w:ascii="黑体" w:hAnsi="黑体" w:eastAsia="黑体"/>
          <w:sz w:val="32"/>
        </w:rPr>
        <w:t>三、支出决算情况说明</w:t>
      </w:r>
    </w:p>
    <w:p w14:paraId="551099B3">
      <w:pPr>
        <w:spacing w:line="580" w:lineRule="exact"/>
        <w:ind w:firstLine="640"/>
        <w:jc w:val="both"/>
      </w:pPr>
      <w:r>
        <w:rPr>
          <w:rFonts w:ascii="仿宋_GB2312" w:hAnsi="仿宋_GB2312" w:eastAsia="仿宋_GB2312"/>
          <w:b/>
          <w:sz w:val="32"/>
        </w:rPr>
        <w:t>本年支出413.37万元，</w:t>
      </w:r>
      <w:r>
        <w:rPr>
          <w:rFonts w:ascii="仿宋_GB2312" w:hAnsi="仿宋_GB2312" w:eastAsia="仿宋_GB2312"/>
          <w:b w:val="0"/>
          <w:sz w:val="32"/>
        </w:rPr>
        <w:t>其中：基本支出180.53万元，占43.67%；项目支出232.84万元，占56.33%；上缴上级支出0.00万元，占0.00%；经营支出0.00万元，占0.00%；对附属单位补助支出0.00万元，占0.00%。</w:t>
      </w:r>
    </w:p>
    <w:p w14:paraId="609AD4FB">
      <w:pPr>
        <w:spacing w:line="640" w:lineRule="exact"/>
        <w:ind w:firstLine="640"/>
        <w:jc w:val="both"/>
        <w:outlineLvl w:val="2"/>
      </w:pPr>
      <w:r>
        <w:rPr>
          <w:rFonts w:ascii="黑体" w:hAnsi="黑体" w:eastAsia="黑体"/>
          <w:sz w:val="32"/>
        </w:rPr>
        <w:t>四、财政拨款收入支出决算总体情况说明</w:t>
      </w:r>
    </w:p>
    <w:p w14:paraId="070971C4">
      <w:pPr>
        <w:spacing w:line="580" w:lineRule="exact"/>
        <w:ind w:firstLine="640"/>
        <w:jc w:val="both"/>
      </w:pPr>
      <w:r>
        <w:rPr>
          <w:rFonts w:ascii="仿宋_GB2312" w:hAnsi="仿宋_GB2312" w:eastAsia="仿宋_GB2312"/>
          <w:b/>
          <w:sz w:val="32"/>
        </w:rPr>
        <w:t>2024年度财政拨款收入总计403.37万元，</w:t>
      </w:r>
      <w:r>
        <w:rPr>
          <w:rFonts w:ascii="仿宋_GB2312" w:hAnsi="仿宋_GB2312" w:eastAsia="仿宋_GB2312"/>
          <w:b w:val="0"/>
          <w:sz w:val="32"/>
        </w:rPr>
        <w:t>其中：年初财政拨款结转和结余0.00万元，本年财政拨款收入403.37万元。</w:t>
      </w:r>
      <w:r>
        <w:rPr>
          <w:rFonts w:ascii="仿宋_GB2312" w:hAnsi="仿宋_GB2312" w:eastAsia="仿宋_GB2312"/>
          <w:b/>
          <w:sz w:val="32"/>
        </w:rPr>
        <w:t>财政拨款支出总计403.37万元，</w:t>
      </w:r>
      <w:r>
        <w:rPr>
          <w:rFonts w:ascii="仿宋_GB2312" w:hAnsi="仿宋_GB2312" w:eastAsia="仿宋_GB2312"/>
          <w:b w:val="0"/>
          <w:sz w:val="32"/>
        </w:rPr>
        <w:t>其中：年末财政拨款结转和结余0.00万元，本年财政拨款支出403.37万元。</w:t>
      </w:r>
    </w:p>
    <w:p w14:paraId="71414A9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增加170.08万元，增长72.90%，主要原因是：本年增加2024年中央地方公共文化服务体系建设补助项目，导致经费较上年增加。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年初预算数276.63万元，决算数403.37万元，预决算差异率45.82%，主要原因是：本年年中追加2024年中央地方公共文化服务体系建设补助项目、国家非物质文化遗产保护经费项目等项目，导致预决算存在差异。</w:t>
      </w:r>
    </w:p>
    <w:p w14:paraId="1C92E171">
      <w:pPr>
        <w:spacing w:line="640" w:lineRule="exact"/>
        <w:ind w:firstLine="640"/>
        <w:jc w:val="both"/>
        <w:outlineLvl w:val="2"/>
      </w:pPr>
      <w:r>
        <w:rPr>
          <w:rFonts w:ascii="黑体" w:hAnsi="黑体" w:eastAsia="黑体"/>
          <w:sz w:val="32"/>
        </w:rPr>
        <w:t>五、一般公共预算财政拨款支出决算情况说明</w:t>
      </w:r>
    </w:p>
    <w:p w14:paraId="2F85D12B">
      <w:pPr>
        <w:spacing w:line="640" w:lineRule="exact"/>
        <w:ind w:firstLine="640"/>
        <w:jc w:val="both"/>
        <w:outlineLvl w:val="3"/>
      </w:pPr>
      <w:r>
        <w:rPr>
          <w:rFonts w:ascii="楷体_GB2312" w:hAnsi="楷体_GB2312" w:eastAsia="楷体_GB2312"/>
          <w:b/>
          <w:sz w:val="32"/>
        </w:rPr>
        <w:t>（一）一般公共预算财政拨款支出决算总体情况</w:t>
      </w:r>
    </w:p>
    <w:p w14:paraId="768D0212">
      <w:pPr>
        <w:spacing w:line="580" w:lineRule="exact"/>
        <w:ind w:firstLine="640"/>
        <w:jc w:val="both"/>
      </w:pPr>
      <w:r>
        <w:rPr>
          <w:rFonts w:ascii="仿宋_GB2312" w:hAnsi="仿宋_GB2312" w:eastAsia="仿宋_GB2312"/>
          <w:b/>
          <w:sz w:val="32"/>
        </w:rPr>
        <w:t>2024年度一般公共预算财政拨款支出403.37万元，</w:t>
      </w:r>
      <w:r>
        <w:rPr>
          <w:rFonts w:ascii="仿宋_GB2312" w:hAnsi="仿宋_GB2312" w:eastAsia="仿宋_GB2312"/>
          <w:b w:val="0"/>
          <w:sz w:val="32"/>
        </w:rPr>
        <w:t>占本年支出合计的97.58%。</w:t>
      </w:r>
      <w:r>
        <w:rPr>
          <w:rFonts w:ascii="仿宋_GB2312" w:hAnsi="仿宋_GB2312" w:eastAsia="仿宋_GB2312"/>
          <w:b/>
          <w:sz w:val="32"/>
        </w:rPr>
        <w:t>与上年相比，</w:t>
      </w:r>
      <w:r>
        <w:rPr>
          <w:rFonts w:ascii="仿宋_GB2312" w:hAnsi="仿宋_GB2312" w:eastAsia="仿宋_GB2312"/>
          <w:b w:val="0"/>
          <w:sz w:val="32"/>
        </w:rPr>
        <w:t>增加170.08万元，增长72.90%，主要原因是：本年增加2024年中央地方公共文化服务体系建设补助项目，导致经费较上年增加。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年初预算数276.63万元，决算数403.37万元，预决算差异率45.82%，主要原因是：本年年中追加2024年中央地方公共文化服务体系建设补助项目、国家非物质文化遗产保护经费项目等项目，导致预决算存在差异。</w:t>
      </w:r>
    </w:p>
    <w:p w14:paraId="6DC1EC5B">
      <w:pPr>
        <w:spacing w:line="640" w:lineRule="exact"/>
        <w:ind w:firstLine="640"/>
        <w:jc w:val="both"/>
        <w:outlineLvl w:val="3"/>
      </w:pPr>
      <w:r>
        <w:rPr>
          <w:rFonts w:ascii="楷体_GB2312" w:hAnsi="楷体_GB2312" w:eastAsia="楷体_GB2312"/>
          <w:b/>
          <w:sz w:val="32"/>
        </w:rPr>
        <w:t>（二）一般公共预算财政拨款支出决算结构情况</w:t>
      </w:r>
    </w:p>
    <w:p w14:paraId="5DD449F0">
      <w:pPr>
        <w:spacing w:line="580" w:lineRule="exact"/>
        <w:ind w:firstLine="640"/>
        <w:jc w:val="both"/>
      </w:pPr>
      <w:r>
        <w:rPr>
          <w:rFonts w:ascii="仿宋_GB2312" w:hAnsi="仿宋_GB2312" w:eastAsia="仿宋_GB2312"/>
          <w:b w:val="0"/>
          <w:sz w:val="32"/>
        </w:rPr>
        <w:t>1.文化旅游体育与传媒支出(类)403.37万元,占100.00%。</w:t>
      </w:r>
    </w:p>
    <w:p w14:paraId="66FC9271">
      <w:pPr>
        <w:spacing w:line="640" w:lineRule="exact"/>
        <w:ind w:firstLine="640"/>
        <w:jc w:val="both"/>
        <w:outlineLvl w:val="3"/>
      </w:pPr>
      <w:r>
        <w:rPr>
          <w:rFonts w:ascii="楷体_GB2312" w:hAnsi="楷体_GB2312" w:eastAsia="楷体_GB2312"/>
          <w:b/>
          <w:sz w:val="32"/>
        </w:rPr>
        <w:t>（三）一般公共预算财政拨款支出决算具体情况</w:t>
      </w:r>
    </w:p>
    <w:p w14:paraId="45F8FF85">
      <w:pPr>
        <w:spacing w:line="580" w:lineRule="exact"/>
        <w:ind w:firstLine="640"/>
        <w:jc w:val="both"/>
      </w:pPr>
      <w:r>
        <w:rPr>
          <w:rFonts w:ascii="仿宋_GB2312" w:hAnsi="仿宋_GB2312" w:eastAsia="仿宋_GB2312"/>
          <w:b w:val="0"/>
          <w:sz w:val="32"/>
        </w:rPr>
        <w:t>1.文化旅游体育与传媒支出(类)文化和旅游(款)群众文化(项):支出决算数为329.90万元，比上年决算增加137.06万元，增长71.07%,主要原因是：本年增加2024年中央地方公共文化服务体系建设补助项目，导致经费较上年增加。</w:t>
      </w:r>
    </w:p>
    <w:p w14:paraId="29468E26">
      <w:pPr>
        <w:spacing w:line="580" w:lineRule="exact"/>
        <w:ind w:firstLine="640"/>
        <w:jc w:val="both"/>
      </w:pPr>
      <w:r>
        <w:rPr>
          <w:rFonts w:ascii="仿宋_GB2312" w:hAnsi="仿宋_GB2312" w:eastAsia="仿宋_GB2312"/>
          <w:b w:val="0"/>
          <w:sz w:val="32"/>
        </w:rPr>
        <w:t>2.文化旅游体育与传媒支出(类)文化和旅游(款)文化创作与保护(项):支出决算数为17.00万元，比上年决算增加15.00万元，增长750.00%,主要原因是：本年较上年增加国家非物质文化遗产保护经费项目经费。</w:t>
      </w:r>
    </w:p>
    <w:p w14:paraId="7591C562">
      <w:pPr>
        <w:spacing w:line="580" w:lineRule="exact"/>
        <w:ind w:firstLine="640"/>
        <w:jc w:val="both"/>
      </w:pPr>
      <w:r>
        <w:rPr>
          <w:rFonts w:ascii="仿宋_GB2312" w:hAnsi="仿宋_GB2312" w:eastAsia="仿宋_GB2312"/>
          <w:b w:val="0"/>
          <w:sz w:val="32"/>
        </w:rPr>
        <w:t>3.文化旅游体育与传媒支出(类)文化和旅游(款)其他文化和旅游支出(项):支出决算数为56.47万元，比上年决算增加18.02万元，增长46.87%,主要原因是：本年美术馆、公共图书馆、文化馆免费开放补助项目经费较上年增加。</w:t>
      </w:r>
    </w:p>
    <w:p w14:paraId="03C83063">
      <w:pPr>
        <w:spacing w:line="640" w:lineRule="exact"/>
        <w:ind w:firstLine="640"/>
        <w:jc w:val="both"/>
        <w:outlineLvl w:val="2"/>
      </w:pPr>
      <w:r>
        <w:rPr>
          <w:rFonts w:ascii="黑体" w:hAnsi="黑体" w:eastAsia="黑体"/>
          <w:sz w:val="32"/>
        </w:rPr>
        <w:t>六、一般公共预算财政拨款基本支出决算情况说明</w:t>
      </w:r>
    </w:p>
    <w:p w14:paraId="04EFD560">
      <w:pPr>
        <w:spacing w:line="580" w:lineRule="exact"/>
        <w:ind w:firstLine="640"/>
        <w:jc w:val="both"/>
      </w:pPr>
      <w:r>
        <w:rPr>
          <w:rFonts w:ascii="仿宋_GB2312" w:hAnsi="仿宋_GB2312" w:eastAsia="仿宋_GB2312"/>
          <w:b w:val="0"/>
          <w:sz w:val="32"/>
        </w:rPr>
        <w:t>2024年度一般公共预算财政拨款基本支出180.53万元，其中：</w:t>
      </w:r>
      <w:r>
        <w:rPr>
          <w:rFonts w:ascii="仿宋_GB2312" w:hAnsi="仿宋_GB2312" w:eastAsia="仿宋_GB2312"/>
          <w:b/>
          <w:sz w:val="32"/>
        </w:rPr>
        <w:t>人员经费168.95万元，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77F3E462">
      <w:pPr>
        <w:spacing w:line="580" w:lineRule="exact"/>
        <w:ind w:firstLine="640"/>
        <w:jc w:val="both"/>
      </w:pPr>
      <w:r>
        <w:rPr>
          <w:rFonts w:ascii="仿宋_GB2312" w:hAnsi="仿宋_GB2312" w:eastAsia="仿宋_GB2312"/>
          <w:b/>
          <w:sz w:val="32"/>
        </w:rPr>
        <w:t>公用经费11.58万元，</w:t>
      </w:r>
      <w:r>
        <w:rPr>
          <w:rFonts w:ascii="仿宋_GB2312" w:hAnsi="仿宋_GB2312" w:eastAsia="仿宋_GB2312"/>
          <w:b w:val="0"/>
          <w:sz w:val="32"/>
        </w:rPr>
        <w:t>包括：办公费、水费、邮电费、取暖费、差旅费、公务接待费。</w:t>
      </w:r>
    </w:p>
    <w:p w14:paraId="175133EE">
      <w:pPr>
        <w:spacing w:line="640" w:lineRule="exact"/>
        <w:ind w:firstLine="640"/>
        <w:jc w:val="both"/>
        <w:outlineLvl w:val="2"/>
      </w:pPr>
      <w:r>
        <w:rPr>
          <w:rFonts w:ascii="黑体" w:hAnsi="黑体" w:eastAsia="黑体"/>
          <w:sz w:val="32"/>
        </w:rPr>
        <w:t>七、政府性基金预算财政拨款收入支出决算情况说明</w:t>
      </w:r>
    </w:p>
    <w:p w14:paraId="23AED38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855C7E4">
      <w:pPr>
        <w:spacing w:line="640" w:lineRule="exact"/>
        <w:ind w:firstLine="640"/>
        <w:jc w:val="both"/>
        <w:outlineLvl w:val="2"/>
      </w:pPr>
      <w:r>
        <w:rPr>
          <w:rFonts w:ascii="黑体" w:hAnsi="黑体" w:eastAsia="黑体"/>
          <w:sz w:val="32"/>
        </w:rPr>
        <w:t>八、国有资本经营预算财政拨款收入支出决算情况说明</w:t>
      </w:r>
    </w:p>
    <w:p w14:paraId="772575E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132F36">
      <w:pPr>
        <w:spacing w:line="640" w:lineRule="exact"/>
        <w:ind w:firstLine="640"/>
        <w:jc w:val="both"/>
        <w:outlineLvl w:val="2"/>
      </w:pPr>
      <w:r>
        <w:rPr>
          <w:rFonts w:ascii="黑体" w:hAnsi="黑体" w:eastAsia="黑体"/>
          <w:sz w:val="32"/>
        </w:rPr>
        <w:t>九、财政拨款“三公”经费支出决算情况说明</w:t>
      </w:r>
    </w:p>
    <w:p w14:paraId="17C76E0A">
      <w:pPr>
        <w:spacing w:line="580" w:lineRule="exact"/>
        <w:ind w:firstLine="640"/>
        <w:jc w:val="both"/>
      </w:pPr>
      <w:r>
        <w:rPr>
          <w:rFonts w:ascii="仿宋_GB2312" w:hAnsi="仿宋_GB2312" w:eastAsia="仿宋_GB2312"/>
          <w:b/>
          <w:sz w:val="32"/>
        </w:rPr>
        <w:t>2024年度财政拨款“三公”经费支出0.08万元，</w:t>
      </w:r>
      <w:r>
        <w:rPr>
          <w:rFonts w:ascii="仿宋_GB2312" w:hAnsi="仿宋_GB2312" w:eastAsia="仿宋_GB2312"/>
          <w:b w:val="0"/>
          <w:sz w:val="32"/>
        </w:rPr>
        <w:t>比上年增加0.08万元，增长100.00%，主要原因是：本年因业务需求，增加公务接待工作，导致公务接待费较上年增加。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0.08万元，占100.00%，比上年增加0.08万元，增长100.00%，主要原因是：本年因业务需求，增加公务接待工作，导致公务接待费较上年增加。</w:t>
      </w:r>
    </w:p>
    <w:p w14:paraId="53824E80">
      <w:pPr>
        <w:spacing w:line="580" w:lineRule="exact"/>
        <w:ind w:firstLine="640"/>
        <w:jc w:val="both"/>
      </w:pPr>
      <w:r>
        <w:rPr>
          <w:rFonts w:ascii="仿宋_GB2312" w:hAnsi="仿宋_GB2312" w:eastAsia="仿宋_GB2312"/>
          <w:b/>
          <w:sz w:val="32"/>
        </w:rPr>
        <w:t>具体情况如下：</w:t>
      </w:r>
    </w:p>
    <w:p w14:paraId="313299E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7B55E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1C88736">
      <w:pPr>
        <w:spacing w:line="580" w:lineRule="exact"/>
        <w:ind w:firstLine="640"/>
        <w:jc w:val="both"/>
      </w:pPr>
      <w:r>
        <w:rPr>
          <w:rFonts w:ascii="仿宋_GB2312" w:hAnsi="仿宋_GB2312" w:eastAsia="仿宋_GB2312"/>
          <w:b w:val="0"/>
          <w:sz w:val="32"/>
        </w:rPr>
        <w:t>公务接待费0.08万元，开支内容包括接待地区</w:t>
      </w:r>
      <w:bookmarkStart w:id="0" w:name="_GoBack"/>
      <w:r>
        <w:rPr>
          <w:rFonts w:hint="eastAsia" w:ascii="仿宋_GB2312" w:hAnsi="仿宋_GB2312" w:eastAsia="仿宋_GB2312"/>
          <w:b w:val="0"/>
          <w:sz w:val="32"/>
          <w:lang w:eastAsia="zh-CN"/>
        </w:rPr>
        <w:t>公共</w:t>
      </w:r>
      <w:bookmarkEnd w:id="0"/>
      <w:r>
        <w:rPr>
          <w:rFonts w:ascii="仿宋_GB2312" w:hAnsi="仿宋_GB2312" w:eastAsia="仿宋_GB2312"/>
          <w:b w:val="0"/>
          <w:sz w:val="32"/>
        </w:rPr>
        <w:t>文化调研组，产生的人员就餐费。单位全年安排的国内公务接待4批次，20人次。</w:t>
      </w:r>
    </w:p>
    <w:p w14:paraId="57C4697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0.08万元，决算数0.08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0.08万元，决算数0.08万元，预决算差异率0.00%，主要原因是：严格按照预算执行，预决算无差异。</w:t>
      </w:r>
    </w:p>
    <w:p w14:paraId="6D04DEB7">
      <w:pPr>
        <w:spacing w:line="640" w:lineRule="exact"/>
        <w:ind w:firstLine="640"/>
        <w:jc w:val="both"/>
        <w:outlineLvl w:val="2"/>
      </w:pPr>
      <w:r>
        <w:rPr>
          <w:rFonts w:ascii="黑体" w:hAnsi="黑体" w:eastAsia="黑体"/>
          <w:sz w:val="32"/>
        </w:rPr>
        <w:t>十、其他重要事项的情况说明</w:t>
      </w:r>
    </w:p>
    <w:p w14:paraId="31AEFC53">
      <w:pPr>
        <w:spacing w:line="640" w:lineRule="exact"/>
        <w:ind w:firstLine="640"/>
        <w:jc w:val="both"/>
        <w:outlineLvl w:val="3"/>
      </w:pPr>
      <w:r>
        <w:rPr>
          <w:rFonts w:ascii="楷体_GB2312" w:hAnsi="楷体_GB2312" w:eastAsia="楷体_GB2312"/>
          <w:b/>
          <w:sz w:val="32"/>
        </w:rPr>
        <w:t>（一）机关运行经费及公用经费支出情况</w:t>
      </w:r>
    </w:p>
    <w:p w14:paraId="0EFFDA13">
      <w:pPr>
        <w:spacing w:line="580" w:lineRule="exact"/>
        <w:ind w:firstLine="640"/>
        <w:jc w:val="both"/>
      </w:pPr>
      <w:r>
        <w:rPr>
          <w:rFonts w:ascii="仿宋_GB2312" w:hAnsi="仿宋_GB2312" w:eastAsia="仿宋_GB2312"/>
          <w:b w:val="0"/>
          <w:sz w:val="32"/>
        </w:rPr>
        <w:t>2024年度伽师县文化馆（事业单位）公用经费支出11.58万元，比上年增加1.56万元，增长15.57%，主要原因是：本年办公费、公务接待费支出增加，相应经费增加。</w:t>
      </w:r>
    </w:p>
    <w:p w14:paraId="519281FF">
      <w:pPr>
        <w:spacing w:line="640" w:lineRule="exact"/>
        <w:ind w:firstLine="640"/>
        <w:jc w:val="both"/>
        <w:outlineLvl w:val="3"/>
      </w:pPr>
      <w:r>
        <w:rPr>
          <w:rFonts w:ascii="楷体_GB2312" w:hAnsi="楷体_GB2312" w:eastAsia="楷体_GB2312"/>
          <w:b/>
          <w:sz w:val="32"/>
        </w:rPr>
        <w:t>（二）政府采购情况</w:t>
      </w:r>
    </w:p>
    <w:p w14:paraId="6BDBB347">
      <w:pPr>
        <w:spacing w:line="580" w:lineRule="exact"/>
        <w:ind w:firstLine="640"/>
        <w:jc w:val="both"/>
      </w:pPr>
      <w:r>
        <w:rPr>
          <w:rFonts w:ascii="仿宋_GB2312" w:hAnsi="仿宋_GB2312" w:eastAsia="仿宋_GB2312"/>
          <w:b w:val="0"/>
          <w:sz w:val="32"/>
        </w:rPr>
        <w:t>2024年度政府采购支出总额67.93万元，其中：政府采购货物支出67.27万元、政府采购工程支出0.00万元、政府采购服务支出0.67万元。</w:t>
      </w:r>
    </w:p>
    <w:p w14:paraId="3C26FAF2">
      <w:pPr>
        <w:spacing w:line="580" w:lineRule="exact"/>
        <w:ind w:firstLine="640"/>
        <w:jc w:val="both"/>
      </w:pPr>
      <w:r>
        <w:rPr>
          <w:rFonts w:ascii="仿宋_GB2312" w:hAnsi="仿宋_GB2312" w:eastAsia="仿宋_GB2312"/>
          <w:b w:val="0"/>
          <w:sz w:val="32"/>
        </w:rPr>
        <w:t>授予中小企业合同金额67.93万元，占政府采购支出总额的100.00%，其中：授予小微企业合同金额67.93万元，占政府采购支出总额的100.00%。</w:t>
      </w:r>
    </w:p>
    <w:p w14:paraId="3D729CF2">
      <w:pPr>
        <w:spacing w:line="640" w:lineRule="exact"/>
        <w:ind w:firstLine="640"/>
        <w:jc w:val="both"/>
        <w:outlineLvl w:val="3"/>
      </w:pPr>
      <w:r>
        <w:rPr>
          <w:rFonts w:ascii="楷体_GB2312" w:hAnsi="楷体_GB2312" w:eastAsia="楷体_GB2312"/>
          <w:b/>
          <w:sz w:val="32"/>
        </w:rPr>
        <w:t>（三）国有资产占用情况说明</w:t>
      </w:r>
    </w:p>
    <w:p w14:paraId="339C892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CD7258C">
      <w:pPr>
        <w:spacing w:line="640" w:lineRule="exact"/>
        <w:ind w:firstLine="640"/>
        <w:jc w:val="both"/>
        <w:outlineLvl w:val="2"/>
      </w:pPr>
      <w:r>
        <w:rPr>
          <w:rFonts w:ascii="黑体" w:hAnsi="黑体" w:eastAsia="黑体"/>
          <w:sz w:val="32"/>
        </w:rPr>
        <w:t>十一、预算绩效的情况说明</w:t>
      </w:r>
    </w:p>
    <w:p w14:paraId="00FC37E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413.37万元，实际执行总额413.37万元；预算绩效评价项目2个，全年预算数135.00万元，全年执行数135.00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一是对个别项目资金使用方面预算不够细致，出现实际支出数超出了预算申报数或出现项目资金结余数额多的情况，导致调剂频繁，缺乏预算编制的科学性。二是目标设定科学性及评价存在困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地开展提供帮助。三是从源头上强化对专项资金预算管理，实行专项资金预算管理，结合单位实际,按轻重缓急统筹安排编制预算,提高预算编制科学性和合理性，优化资金结构。具体附整体支出绩效自评表，项目支出绩效自评表和评价报告。</w:t>
      </w:r>
    </w:p>
    <w:p w14:paraId="19F01B3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386"/>
        <w:gridCol w:w="580"/>
        <w:gridCol w:w="983"/>
        <w:gridCol w:w="983"/>
        <w:gridCol w:w="983"/>
      </w:tblGrid>
      <w:tr w14:paraId="4D85EF50">
        <w:tblPrEx>
          <w:tblCellMar>
            <w:top w:w="0" w:type="dxa"/>
            <w:left w:w="108" w:type="dxa"/>
            <w:bottom w:w="0" w:type="dxa"/>
            <w:right w:w="108" w:type="dxa"/>
          </w:tblCellMar>
        </w:tblPrEx>
        <w:tc>
          <w:tcPr>
            <w:tcW w:w="8847" w:type="dxa"/>
            <w:gridSpan w:val="9"/>
            <w:vAlign w:val="center"/>
          </w:tcPr>
          <w:p w14:paraId="3FB1353A">
            <w:pPr>
              <w:jc w:val="center"/>
            </w:pPr>
            <w:r>
              <w:rPr>
                <w:rFonts w:ascii="宋体" w:hAnsi="宋体" w:eastAsia="宋体"/>
                <w:sz w:val="24"/>
              </w:rPr>
              <w:t>单位整体支出绩效自评表</w:t>
            </w:r>
          </w:p>
        </w:tc>
      </w:tr>
      <w:tr w14:paraId="6157FDEE">
        <w:tblPrEx>
          <w:tblCellMar>
            <w:top w:w="0" w:type="dxa"/>
            <w:left w:w="108" w:type="dxa"/>
            <w:bottom w:w="0" w:type="dxa"/>
            <w:right w:w="108" w:type="dxa"/>
          </w:tblCellMar>
        </w:tblPrEx>
        <w:tc>
          <w:tcPr>
            <w:tcW w:w="8847" w:type="dxa"/>
            <w:gridSpan w:val="9"/>
            <w:vAlign w:val="center"/>
          </w:tcPr>
          <w:p w14:paraId="5C33F85F">
            <w:pPr>
              <w:jc w:val="center"/>
            </w:pPr>
            <w:r>
              <w:rPr>
                <w:rFonts w:ascii="宋体" w:hAnsi="宋体" w:eastAsia="宋体"/>
                <w:sz w:val="24"/>
              </w:rPr>
              <w:t>（2024年度）</w:t>
            </w:r>
          </w:p>
        </w:tc>
      </w:tr>
      <w:tr w14:paraId="0AD4C1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5952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F4B64A2">
            <w:pPr>
              <w:jc w:val="center"/>
            </w:pPr>
            <w:r>
              <w:rPr>
                <w:rFonts w:ascii="宋体" w:hAnsi="宋体" w:eastAsia="宋体"/>
                <w:sz w:val="16"/>
              </w:rPr>
              <w:t>伽师县文化馆</w:t>
            </w:r>
          </w:p>
        </w:tc>
      </w:tr>
      <w:tr w14:paraId="71C297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54F4AD">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A8E1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F22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8EE57">
            <w:pPr>
              <w:jc w:val="center"/>
            </w:pPr>
            <w:r>
              <w:rPr>
                <w:rFonts w:ascii="宋体" w:hAnsi="宋体" w:eastAsia="宋体"/>
                <w:sz w:val="16"/>
              </w:rPr>
              <w:t>预算数（调整后）</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0D1F5C3C">
            <w:pPr>
              <w:jc w:val="center"/>
            </w:pPr>
            <w:r>
              <w:rPr>
                <w:rFonts w:ascii="宋体" w:hAnsi="宋体" w:eastAsia="宋体"/>
                <w:sz w:val="16"/>
              </w:rPr>
              <w:t>执行数</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6F414B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876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AF051">
            <w:pPr>
              <w:jc w:val="center"/>
            </w:pPr>
            <w:r>
              <w:rPr>
                <w:rFonts w:ascii="宋体" w:hAnsi="宋体" w:eastAsia="宋体"/>
                <w:sz w:val="16"/>
              </w:rPr>
              <w:t>得分</w:t>
            </w:r>
          </w:p>
        </w:tc>
      </w:tr>
      <w:tr w14:paraId="2DDFF1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F0D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74B1C">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DC2B0">
            <w:pPr>
              <w:jc w:val="center"/>
            </w:pPr>
            <w:r>
              <w:rPr>
                <w:rFonts w:ascii="宋体" w:hAnsi="宋体" w:eastAsia="宋体"/>
                <w:sz w:val="16"/>
              </w:rPr>
              <w:t>276.63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1D1FD">
            <w:pPr>
              <w:jc w:val="center"/>
            </w:pPr>
            <w:r>
              <w:rPr>
                <w:rFonts w:ascii="宋体" w:hAnsi="宋体" w:eastAsia="宋体"/>
                <w:sz w:val="16"/>
              </w:rPr>
              <w:t>413.37</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40725006">
            <w:pPr>
              <w:jc w:val="center"/>
            </w:pPr>
            <w:r>
              <w:rPr>
                <w:rFonts w:ascii="宋体" w:hAnsi="宋体" w:eastAsia="宋体"/>
                <w:sz w:val="16"/>
              </w:rPr>
              <w:t>413.37</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048E5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0FB5A">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8B5CA">
            <w:pPr>
              <w:jc w:val="center"/>
            </w:pPr>
            <w:r>
              <w:rPr>
                <w:rFonts w:ascii="宋体" w:hAnsi="宋体" w:eastAsia="宋体"/>
                <w:sz w:val="16"/>
              </w:rPr>
              <w:t>10</w:t>
            </w:r>
          </w:p>
        </w:tc>
      </w:tr>
      <w:tr w14:paraId="0EC5D1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FF7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A81E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5ED50">
            <w:pPr>
              <w:jc w:val="center"/>
            </w:pPr>
            <w:r>
              <w:rPr>
                <w:rFonts w:ascii="宋体" w:hAnsi="宋体" w:eastAsia="宋体"/>
                <w:sz w:val="16"/>
              </w:rPr>
              <w:t>94.55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3C508">
            <w:pPr>
              <w:jc w:val="center"/>
            </w:pPr>
            <w:r>
              <w:rPr>
                <w:rFonts w:ascii="宋体" w:hAnsi="宋体" w:eastAsia="宋体"/>
                <w:sz w:val="16"/>
              </w:rPr>
              <w:t>222.84</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52FDA48C">
            <w:pPr>
              <w:jc w:val="center"/>
            </w:pPr>
            <w:r>
              <w:rPr>
                <w:rFonts w:ascii="宋体" w:hAnsi="宋体" w:eastAsia="宋体"/>
                <w:sz w:val="16"/>
              </w:rPr>
              <w:t>222.84</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7A3AEE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DD99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E05EB">
            <w:pPr>
              <w:jc w:val="center"/>
            </w:pPr>
            <w:r>
              <w:rPr>
                <w:rFonts w:ascii="宋体" w:hAnsi="宋体" w:eastAsia="宋体"/>
                <w:sz w:val="16"/>
              </w:rPr>
              <w:t>—</w:t>
            </w:r>
          </w:p>
        </w:tc>
      </w:tr>
      <w:tr w14:paraId="037480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685D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A907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37E2F">
            <w:pPr>
              <w:jc w:val="center"/>
            </w:pPr>
            <w:r>
              <w:rPr>
                <w:rFonts w:ascii="宋体" w:hAnsi="宋体" w:eastAsia="宋体"/>
                <w:sz w:val="16"/>
              </w:rPr>
              <w:t>182.08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2D65E">
            <w:pPr>
              <w:jc w:val="center"/>
            </w:pPr>
            <w:r>
              <w:rPr>
                <w:rFonts w:ascii="宋体" w:hAnsi="宋体" w:eastAsia="宋体"/>
                <w:sz w:val="16"/>
              </w:rPr>
              <w:t>180.53</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37D71E7F">
            <w:pPr>
              <w:jc w:val="center"/>
            </w:pPr>
            <w:r>
              <w:rPr>
                <w:rFonts w:ascii="宋体" w:hAnsi="宋体" w:eastAsia="宋体"/>
                <w:sz w:val="16"/>
              </w:rPr>
              <w:t>180.53</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EE0B0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CCEE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4B16">
            <w:pPr>
              <w:jc w:val="center"/>
            </w:pPr>
            <w:r>
              <w:rPr>
                <w:rFonts w:ascii="宋体" w:hAnsi="宋体" w:eastAsia="宋体"/>
                <w:sz w:val="16"/>
              </w:rPr>
              <w:t>—</w:t>
            </w:r>
          </w:p>
        </w:tc>
      </w:tr>
      <w:tr w14:paraId="5C1D07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AA2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1E80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F7D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37516">
            <w:pPr>
              <w:jc w:val="center"/>
            </w:pPr>
            <w:r>
              <w:rPr>
                <w:rFonts w:ascii="宋体" w:hAnsi="宋体" w:eastAsia="宋体"/>
                <w:sz w:val="16"/>
              </w:rPr>
              <w:t>10.00</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64FAAB39">
            <w:pPr>
              <w:jc w:val="center"/>
            </w:pPr>
            <w:r>
              <w:rPr>
                <w:rFonts w:ascii="宋体" w:hAnsi="宋体" w:eastAsia="宋体"/>
                <w:sz w:val="16"/>
              </w:rPr>
              <w:t>10.00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FF1F7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469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B90A">
            <w:pPr>
              <w:jc w:val="center"/>
            </w:pPr>
            <w:r>
              <w:rPr>
                <w:rFonts w:ascii="宋体" w:hAnsi="宋体" w:eastAsia="宋体"/>
                <w:sz w:val="16"/>
              </w:rPr>
              <w:t>—</w:t>
            </w:r>
          </w:p>
        </w:tc>
      </w:tr>
      <w:tr w14:paraId="323979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D847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68669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BDDB62">
            <w:pPr>
              <w:jc w:val="center"/>
            </w:pPr>
            <w:r>
              <w:rPr>
                <w:rFonts w:ascii="宋体" w:hAnsi="宋体" w:eastAsia="宋体"/>
                <w:sz w:val="16"/>
              </w:rPr>
              <w:t>实际完成情况</w:t>
            </w:r>
          </w:p>
        </w:tc>
      </w:tr>
      <w:tr w14:paraId="011437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2684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80505F">
            <w:pPr>
              <w:jc w:val="both"/>
            </w:pPr>
            <w:r>
              <w:rPr>
                <w:rFonts w:ascii="宋体" w:hAnsi="宋体" w:eastAsia="宋体"/>
                <w:sz w:val="16"/>
              </w:rPr>
              <w:t>伽师县文化图书馆在上级行业部门和伽师县文化体育广播电视和旅游局的指导下认真学习党的二十大精神、把党的二十大精神结合自己的实际工作2024年工作目标如下：文艺作品创作数量不低于4部；开展非遗代表性传承项目不低于12场；举办非遗传承人培训1次；全年举办培训数量不低于12场；开展展览场次不低于4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02C7FA">
            <w:pPr>
              <w:jc w:val="both"/>
            </w:pPr>
            <w:r>
              <w:rPr>
                <w:rFonts w:ascii="宋体" w:hAnsi="宋体" w:eastAsia="宋体"/>
                <w:sz w:val="16"/>
              </w:rPr>
              <w:t>2024年完成的工作文艺作品创作数量4部；开展非遗代表性传承项目12场；举办了l非遗传承人培训1次；全年举办培训数量12场；开展展览场次4场。增加了观众对文化馆的了解和兴趣。加强了各部门的沟通与协作，提高了整体工作效率。</w:t>
            </w:r>
          </w:p>
        </w:tc>
      </w:tr>
      <w:tr w14:paraId="64658C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01D1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5B1A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0597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7E061">
            <w:pPr>
              <w:jc w:val="center"/>
            </w:pPr>
            <w:r>
              <w:rPr>
                <w:rFonts w:ascii="宋体" w:hAnsi="宋体" w:eastAsia="宋体"/>
                <w:sz w:val="16"/>
              </w:rPr>
              <w:t>指标值</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02643E76">
            <w:pPr>
              <w:jc w:val="center"/>
            </w:pPr>
            <w:r>
              <w:rPr>
                <w:rFonts w:ascii="宋体" w:hAnsi="宋体" w:eastAsia="宋体"/>
                <w:sz w:val="16"/>
              </w:rPr>
              <w:t>指标值设定依据</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CD2AF9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C34E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34C3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3C6B7">
            <w:pPr>
              <w:jc w:val="center"/>
            </w:pPr>
            <w:r>
              <w:rPr>
                <w:rFonts w:ascii="宋体" w:hAnsi="宋体" w:eastAsia="宋体"/>
                <w:sz w:val="16"/>
              </w:rPr>
              <w:t>得分</w:t>
            </w:r>
          </w:p>
        </w:tc>
      </w:tr>
      <w:tr w14:paraId="105A5A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FEFE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EAFB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B7A29">
            <w:pPr>
              <w:jc w:val="center"/>
            </w:pPr>
            <w:r>
              <w:rPr>
                <w:rFonts w:ascii="宋体" w:hAnsi="宋体" w:eastAsia="宋体"/>
                <w:sz w:val="16"/>
              </w:rPr>
              <w:t>文艺作品创作数量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DF853">
            <w:pPr>
              <w:jc w:val="center"/>
            </w:pPr>
            <w:r>
              <w:rPr>
                <w:rFonts w:ascii="宋体" w:hAnsi="宋体" w:eastAsia="宋体"/>
                <w:sz w:val="16"/>
              </w:rPr>
              <w:t>&gt;=4部</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6BDC817C">
            <w:pPr>
              <w:jc w:val="center"/>
            </w:pPr>
            <w:r>
              <w:rPr>
                <w:rFonts w:ascii="宋体" w:hAnsi="宋体" w:eastAsia="宋体"/>
                <w:sz w:val="16"/>
              </w:rPr>
              <w:t>伽师县文化图书馆2024年工作计划</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B0746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11B6A">
            <w:pPr>
              <w:jc w:val="center"/>
            </w:pPr>
            <w:r>
              <w:rPr>
                <w:rFonts w:ascii="宋体" w:hAnsi="宋体" w:eastAsia="宋体"/>
                <w:sz w:val="16"/>
              </w:rPr>
              <w:t>4部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35D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275F6">
            <w:pPr>
              <w:jc w:val="center"/>
            </w:pPr>
            <w:r>
              <w:rPr>
                <w:rFonts w:ascii="宋体" w:hAnsi="宋体" w:eastAsia="宋体"/>
                <w:sz w:val="16"/>
              </w:rPr>
              <w:t>20</w:t>
            </w:r>
          </w:p>
        </w:tc>
      </w:tr>
      <w:tr w14:paraId="7CC528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AD0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7E72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403A4">
            <w:pPr>
              <w:jc w:val="center"/>
            </w:pPr>
            <w:r>
              <w:rPr>
                <w:rFonts w:ascii="宋体" w:hAnsi="宋体" w:eastAsia="宋体"/>
                <w:sz w:val="16"/>
              </w:rPr>
              <w:t>开展非遗代表性传承项目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00CFF">
            <w:pPr>
              <w:jc w:val="center"/>
            </w:pPr>
            <w:r>
              <w:rPr>
                <w:rFonts w:ascii="宋体" w:hAnsi="宋体" w:eastAsia="宋体"/>
                <w:sz w:val="16"/>
              </w:rPr>
              <w:t>&gt;=12场</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7C896EF8">
            <w:pPr>
              <w:jc w:val="center"/>
            </w:pPr>
            <w:r>
              <w:rPr>
                <w:rFonts w:ascii="宋体" w:hAnsi="宋体" w:eastAsia="宋体"/>
                <w:sz w:val="16"/>
              </w:rPr>
              <w:t>伽师县文化图书馆2024年工作计划</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06E3F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87EE8">
            <w:pPr>
              <w:jc w:val="center"/>
            </w:pPr>
            <w:r>
              <w:rPr>
                <w:rFonts w:ascii="宋体" w:hAnsi="宋体" w:eastAsia="宋体"/>
                <w:sz w:val="16"/>
              </w:rPr>
              <w:t>12场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55D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291C5">
            <w:pPr>
              <w:jc w:val="center"/>
            </w:pPr>
            <w:r>
              <w:rPr>
                <w:rFonts w:ascii="宋体" w:hAnsi="宋体" w:eastAsia="宋体"/>
                <w:sz w:val="16"/>
              </w:rPr>
              <w:t>20</w:t>
            </w:r>
          </w:p>
        </w:tc>
      </w:tr>
      <w:tr w14:paraId="00EDDD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140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EEFD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F1C8C">
            <w:pPr>
              <w:jc w:val="center"/>
            </w:pPr>
            <w:r>
              <w:rPr>
                <w:rFonts w:ascii="宋体" w:hAnsi="宋体" w:eastAsia="宋体"/>
                <w:sz w:val="16"/>
              </w:rPr>
              <w:t>举办非遗传承人培训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FC051">
            <w:pPr>
              <w:jc w:val="center"/>
            </w:pPr>
            <w:r>
              <w:rPr>
                <w:rFonts w:ascii="宋体" w:hAnsi="宋体" w:eastAsia="宋体"/>
                <w:sz w:val="16"/>
              </w:rPr>
              <w:t>=1次</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60145DCC">
            <w:pPr>
              <w:jc w:val="center"/>
            </w:pPr>
            <w:r>
              <w:rPr>
                <w:rFonts w:ascii="宋体" w:hAnsi="宋体" w:eastAsia="宋体"/>
                <w:sz w:val="16"/>
              </w:rPr>
              <w:t>伽师县文化图书馆2024年工作计划</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7E1A3C5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4E8EE">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B8A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7EC85">
            <w:pPr>
              <w:jc w:val="center"/>
            </w:pPr>
            <w:r>
              <w:rPr>
                <w:rFonts w:ascii="宋体" w:hAnsi="宋体" w:eastAsia="宋体"/>
                <w:sz w:val="16"/>
              </w:rPr>
              <w:t>20</w:t>
            </w:r>
          </w:p>
        </w:tc>
      </w:tr>
      <w:tr w14:paraId="01233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614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720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D3104">
            <w:pPr>
              <w:jc w:val="center"/>
            </w:pPr>
            <w:r>
              <w:rPr>
                <w:rFonts w:ascii="宋体" w:hAnsi="宋体" w:eastAsia="宋体"/>
                <w:sz w:val="16"/>
              </w:rPr>
              <w:t>举办培训数量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14855">
            <w:pPr>
              <w:jc w:val="center"/>
            </w:pPr>
            <w:r>
              <w:rPr>
                <w:rFonts w:ascii="宋体" w:hAnsi="宋体" w:eastAsia="宋体"/>
                <w:sz w:val="16"/>
              </w:rPr>
              <w:t>&gt;=12场</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38481E1C">
            <w:pPr>
              <w:jc w:val="center"/>
            </w:pPr>
            <w:r>
              <w:rPr>
                <w:rFonts w:ascii="宋体" w:hAnsi="宋体" w:eastAsia="宋体"/>
                <w:sz w:val="16"/>
              </w:rPr>
              <w:t>伽师县文化图书馆2024年工作计划</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2A6F22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7197E">
            <w:pPr>
              <w:jc w:val="center"/>
            </w:pPr>
            <w:r>
              <w:rPr>
                <w:rFonts w:ascii="宋体" w:hAnsi="宋体" w:eastAsia="宋体"/>
                <w:sz w:val="16"/>
              </w:rPr>
              <w:t>12场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0C66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9AF63">
            <w:pPr>
              <w:jc w:val="center"/>
            </w:pPr>
            <w:r>
              <w:rPr>
                <w:rFonts w:ascii="宋体" w:hAnsi="宋体" w:eastAsia="宋体"/>
                <w:sz w:val="16"/>
              </w:rPr>
              <w:t>15</w:t>
            </w:r>
          </w:p>
        </w:tc>
      </w:tr>
      <w:tr w14:paraId="688047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28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3D5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14DDF">
            <w:pPr>
              <w:jc w:val="center"/>
            </w:pPr>
            <w:r>
              <w:rPr>
                <w:rFonts w:ascii="宋体" w:hAnsi="宋体" w:eastAsia="宋体"/>
                <w:sz w:val="16"/>
              </w:rPr>
              <w:t>开展展览场次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1CB56">
            <w:pPr>
              <w:jc w:val="center"/>
            </w:pPr>
            <w:r>
              <w:rPr>
                <w:rFonts w:ascii="宋体" w:hAnsi="宋体" w:eastAsia="宋体"/>
                <w:sz w:val="16"/>
              </w:rPr>
              <w:t>&gt;=4场</w:t>
            </w:r>
          </w:p>
        </w:tc>
        <w:tc>
          <w:tcPr>
            <w:tcW w:w="1386" w:type="dxa"/>
            <w:tcBorders>
              <w:top w:val="single" w:color="auto" w:sz="10" w:space="0"/>
              <w:left w:val="single" w:color="auto" w:sz="10" w:space="0"/>
              <w:bottom w:val="single" w:color="auto" w:sz="10" w:space="0"/>
              <w:right w:val="single" w:color="auto" w:sz="10" w:space="0"/>
              <w:insideV w:val="single" w:sz="10" w:space="0"/>
            </w:tcBorders>
            <w:vAlign w:val="center"/>
          </w:tcPr>
          <w:p w14:paraId="070A67A7">
            <w:pPr>
              <w:jc w:val="center"/>
            </w:pPr>
            <w:r>
              <w:rPr>
                <w:rFonts w:ascii="宋体" w:hAnsi="宋体" w:eastAsia="宋体"/>
                <w:sz w:val="16"/>
              </w:rPr>
              <w:t>伽师县文化图书馆2024年工作计划</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169022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4CD93">
            <w:pPr>
              <w:jc w:val="center"/>
            </w:pPr>
            <w:r>
              <w:rPr>
                <w:rFonts w:ascii="宋体" w:hAnsi="宋体" w:eastAsia="宋体"/>
                <w:sz w:val="16"/>
              </w:rPr>
              <w:t>4场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52E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63139">
            <w:pPr>
              <w:jc w:val="center"/>
            </w:pPr>
            <w:r>
              <w:rPr>
                <w:rFonts w:ascii="宋体" w:hAnsi="宋体" w:eastAsia="宋体"/>
                <w:sz w:val="16"/>
              </w:rPr>
              <w:t>15</w:t>
            </w:r>
          </w:p>
        </w:tc>
      </w:tr>
    </w:tbl>
    <w:p w14:paraId="082742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EED6783">
        <w:tblPrEx>
          <w:tblCellMar>
            <w:top w:w="0" w:type="dxa"/>
            <w:left w:w="108" w:type="dxa"/>
            <w:bottom w:w="0" w:type="dxa"/>
            <w:right w:w="108" w:type="dxa"/>
          </w:tblCellMar>
        </w:tblPrEx>
        <w:tc>
          <w:tcPr>
            <w:tcW w:w="8848" w:type="dxa"/>
            <w:gridSpan w:val="14"/>
            <w:vAlign w:val="center"/>
          </w:tcPr>
          <w:p w14:paraId="465BAE1A">
            <w:pPr>
              <w:jc w:val="center"/>
            </w:pPr>
            <w:r>
              <w:rPr>
                <w:rFonts w:ascii="宋体" w:hAnsi="宋体" w:eastAsia="宋体"/>
                <w:sz w:val="24"/>
              </w:rPr>
              <w:t>项目支出绩效自评表</w:t>
            </w:r>
          </w:p>
        </w:tc>
      </w:tr>
      <w:tr w14:paraId="66290EBC">
        <w:tblPrEx>
          <w:tblCellMar>
            <w:top w:w="0" w:type="dxa"/>
            <w:left w:w="108" w:type="dxa"/>
            <w:bottom w:w="0" w:type="dxa"/>
            <w:right w:w="108" w:type="dxa"/>
          </w:tblCellMar>
        </w:tblPrEx>
        <w:tc>
          <w:tcPr>
            <w:tcW w:w="8848" w:type="dxa"/>
            <w:gridSpan w:val="14"/>
            <w:vAlign w:val="center"/>
          </w:tcPr>
          <w:p w14:paraId="606A0289">
            <w:pPr>
              <w:jc w:val="center"/>
            </w:pPr>
            <w:r>
              <w:rPr>
                <w:rFonts w:ascii="宋体" w:hAnsi="宋体" w:eastAsia="宋体"/>
                <w:sz w:val="24"/>
              </w:rPr>
              <w:t>(2024年度)</w:t>
            </w:r>
          </w:p>
        </w:tc>
      </w:tr>
      <w:tr w14:paraId="3493BA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23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80622E">
            <w:pPr>
              <w:jc w:val="center"/>
            </w:pPr>
            <w:r>
              <w:rPr>
                <w:rFonts w:ascii="宋体" w:hAnsi="宋体" w:eastAsia="宋体"/>
                <w:sz w:val="16"/>
              </w:rPr>
              <w:t>伽师县文化馆2024年国家非物质文化遗产保护经费项目</w:t>
            </w:r>
          </w:p>
        </w:tc>
      </w:tr>
      <w:tr w14:paraId="0D636F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8A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65989">
            <w:pPr>
              <w:jc w:val="center"/>
            </w:pPr>
            <w:r>
              <w:rPr>
                <w:rFonts w:ascii="宋体" w:hAnsi="宋体" w:eastAsia="宋体"/>
                <w:sz w:val="16"/>
              </w:rPr>
              <w:t>伽师县文化馆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CE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F6B57B">
            <w:pPr>
              <w:jc w:val="center"/>
            </w:pPr>
            <w:r>
              <w:rPr>
                <w:rFonts w:ascii="宋体" w:hAnsi="宋体" w:eastAsia="宋体"/>
                <w:sz w:val="16"/>
              </w:rPr>
              <w:t>伽师县文化馆</w:t>
            </w:r>
          </w:p>
        </w:tc>
      </w:tr>
      <w:tr w14:paraId="0BD49A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59D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405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03E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EDB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6AEF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7AA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F8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27C4">
            <w:pPr>
              <w:jc w:val="center"/>
            </w:pPr>
            <w:r>
              <w:rPr>
                <w:rFonts w:ascii="宋体" w:hAnsi="宋体" w:eastAsia="宋体"/>
                <w:sz w:val="16"/>
              </w:rPr>
              <w:t>得分</w:t>
            </w:r>
          </w:p>
        </w:tc>
      </w:tr>
      <w:tr w14:paraId="1AF6B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AE4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CD57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C2EA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90EE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A033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1D0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B2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8DA4">
            <w:pPr>
              <w:jc w:val="center"/>
            </w:pPr>
            <w:r>
              <w:rPr>
                <w:rFonts w:ascii="宋体" w:hAnsi="宋体" w:eastAsia="宋体"/>
                <w:sz w:val="16"/>
              </w:rPr>
              <w:t>10.00分</w:t>
            </w:r>
          </w:p>
        </w:tc>
      </w:tr>
      <w:tr w14:paraId="43A1AE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4C4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786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3EF1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A120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F7D3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35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AEC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055E">
            <w:pPr>
              <w:jc w:val="center"/>
            </w:pPr>
            <w:r>
              <w:rPr>
                <w:rFonts w:ascii="宋体" w:hAnsi="宋体" w:eastAsia="宋体"/>
                <w:sz w:val="16"/>
              </w:rPr>
              <w:t>—</w:t>
            </w:r>
          </w:p>
        </w:tc>
      </w:tr>
      <w:tr w14:paraId="72E62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1D6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671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278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E8B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3EE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8BDD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A3F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1A83">
            <w:pPr>
              <w:jc w:val="center"/>
            </w:pPr>
            <w:r>
              <w:rPr>
                <w:rFonts w:ascii="宋体" w:hAnsi="宋体" w:eastAsia="宋体"/>
                <w:sz w:val="16"/>
              </w:rPr>
              <w:t>—</w:t>
            </w:r>
          </w:p>
        </w:tc>
      </w:tr>
      <w:tr w14:paraId="2C1624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B4D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6030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FC6CF0">
            <w:pPr>
              <w:jc w:val="center"/>
            </w:pPr>
            <w:r>
              <w:rPr>
                <w:rFonts w:ascii="宋体" w:hAnsi="宋体" w:eastAsia="宋体"/>
                <w:sz w:val="16"/>
              </w:rPr>
              <w:t>实际完成情况</w:t>
            </w:r>
          </w:p>
        </w:tc>
      </w:tr>
      <w:tr w14:paraId="52388D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A09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FCD6A">
            <w:pPr>
              <w:jc w:val="both"/>
            </w:pPr>
            <w:r>
              <w:rPr>
                <w:rFonts w:ascii="宋体" w:hAnsi="宋体" w:eastAsia="宋体"/>
                <w:sz w:val="16"/>
              </w:rPr>
              <w:t>伽师县2024年国家级非物质文化遗产保护项目由中央下发资金10万元，主要开展非遗传承人群研修研习培训，保护与发展国家级项目棉纺织艺项目，对传统文化生态保持较完整的乡村进行保护，全面开发利用传统文化资源，普及非物质文化遗产保护知识。通过此项目的实施，加强我县组织开展对非物质文化遗产的现状调查，了解和掌握非物质文化遗产的种类、数量、分类状况，生存环境，保护现状，建立和实行非物质文化遗产分级保护制度，建立非物质文化遗产代表作名录；以建立文化传承人认定和培训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9F50D">
            <w:pPr>
              <w:jc w:val="both"/>
            </w:pPr>
            <w:r>
              <w:rPr>
                <w:rFonts w:hint="eastAsia" w:ascii="宋体" w:hAnsi="宋体"/>
                <w:sz w:val="16"/>
                <w:lang w:eastAsia="zh-CN"/>
              </w:rPr>
              <w:t>截至2024</w:t>
            </w:r>
            <w:r>
              <w:rPr>
                <w:rFonts w:ascii="宋体" w:hAnsi="宋体" w:eastAsia="宋体"/>
                <w:sz w:val="16"/>
              </w:rPr>
              <w:t>年12月31日，该项目支出10万元，执行率100%，完成了非遗传承人群研修研习培训人次25人，非遗传承人群研修研习培训班次1次，拍摄申报片制作2次，非遗推广活动场次1场，实现了普及非物质文化遗产保护知识。通过此项目的实施，加强了我县组织开展对非物质文化遗产的现状调查，了解和掌握了非物质文化遗产的种类、数量、分类状况，生存环境，保护现状，建立和实行非物质文化遗产分级保护制度。</w:t>
            </w:r>
          </w:p>
        </w:tc>
      </w:tr>
      <w:tr w14:paraId="28255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36C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86E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848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D25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3B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68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84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DA76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2CEC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8B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E5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56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2AB74">
            <w:pPr>
              <w:jc w:val="center"/>
            </w:pPr>
            <w:r>
              <w:rPr>
                <w:rFonts w:ascii="宋体" w:hAnsi="宋体" w:eastAsia="宋体"/>
                <w:sz w:val="16"/>
              </w:rPr>
              <w:t>偏差原因分析及改进措施</w:t>
            </w:r>
          </w:p>
        </w:tc>
      </w:tr>
      <w:tr w14:paraId="14243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43D3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C214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20E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CBCE">
            <w:pPr>
              <w:jc w:val="center"/>
            </w:pPr>
            <w:r>
              <w:rPr>
                <w:rFonts w:ascii="宋体" w:hAnsi="宋体" w:eastAsia="宋体"/>
                <w:sz w:val="16"/>
              </w:rPr>
              <w:t>非遗传承人群研修研习培训人次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ED63">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E0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62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CE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C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71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E3536">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1C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68806">
            <w:pPr>
              <w:jc w:val="center"/>
            </w:pPr>
          </w:p>
        </w:tc>
      </w:tr>
      <w:tr w14:paraId="6A78B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AF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26A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229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C409">
            <w:pPr>
              <w:jc w:val="center"/>
            </w:pPr>
            <w:r>
              <w:rPr>
                <w:rFonts w:ascii="宋体" w:hAnsi="宋体" w:eastAsia="宋体"/>
                <w:sz w:val="16"/>
              </w:rPr>
              <w:t>非遗传承人群研修研习培训班次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3738">
            <w:pPr>
              <w:jc w:val="center"/>
            </w:pPr>
            <w:r>
              <w:rPr>
                <w:rFonts w:ascii="宋体" w:hAnsi="宋体" w:eastAsia="宋体"/>
                <w:sz w:val="16"/>
              </w:rPr>
              <w:t>&lt;=1次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B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93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58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4E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37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1C0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99E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CDC58">
            <w:pPr>
              <w:jc w:val="center"/>
            </w:pPr>
          </w:p>
        </w:tc>
      </w:tr>
      <w:tr w14:paraId="2F42A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E8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E7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53F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6ADE">
            <w:pPr>
              <w:jc w:val="center"/>
            </w:pPr>
            <w:r>
              <w:rPr>
                <w:rFonts w:ascii="宋体" w:hAnsi="宋体" w:eastAsia="宋体"/>
                <w:sz w:val="16"/>
              </w:rPr>
              <w:t>拍摄申报片制作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6A7B">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7F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8AF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DD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0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61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D44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F53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4FFD2">
            <w:pPr>
              <w:jc w:val="center"/>
            </w:pPr>
          </w:p>
        </w:tc>
      </w:tr>
      <w:tr w14:paraId="411F1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DC8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F0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8D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D05C">
            <w:pPr>
              <w:jc w:val="center"/>
            </w:pPr>
            <w:r>
              <w:rPr>
                <w:rFonts w:ascii="宋体" w:hAnsi="宋体" w:eastAsia="宋体"/>
                <w:sz w:val="16"/>
              </w:rPr>
              <w:t>非遗推广活动场次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CBA6">
            <w:pPr>
              <w:jc w:val="center"/>
            </w:pPr>
            <w:r>
              <w:rPr>
                <w:rFonts w:ascii="宋体" w:hAnsi="宋体" w:eastAsia="宋体"/>
                <w:sz w:val="16"/>
              </w:rPr>
              <w:t>&gt;=1场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C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77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3C2A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654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57A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4F5A">
            <w:pPr>
              <w:jc w:val="center"/>
            </w:pPr>
            <w:r>
              <w:rPr>
                <w:rFonts w:ascii="宋体" w:hAnsi="宋体" w:eastAsia="宋体"/>
                <w:sz w:val="16"/>
              </w:rPr>
              <w: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BD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3425B">
            <w:pPr>
              <w:jc w:val="center"/>
            </w:pPr>
          </w:p>
        </w:tc>
      </w:tr>
      <w:tr w14:paraId="5E0E2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82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A58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12B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CC2B">
            <w:pPr>
              <w:jc w:val="center"/>
            </w:pPr>
            <w:r>
              <w:rPr>
                <w:rFonts w:ascii="宋体" w:hAnsi="宋体" w:eastAsia="宋体"/>
                <w:sz w:val="16"/>
              </w:rPr>
              <w:t>非遗传承人群研修研习培训合格率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50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3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31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7D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52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B32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B5B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8AD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E0132">
            <w:pPr>
              <w:jc w:val="center"/>
            </w:pPr>
          </w:p>
        </w:tc>
      </w:tr>
      <w:tr w14:paraId="206DF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4B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1F9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92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836C9">
            <w:pPr>
              <w:jc w:val="center"/>
            </w:pPr>
            <w:r>
              <w:rPr>
                <w:rFonts w:ascii="宋体" w:hAnsi="宋体" w:eastAsia="宋体"/>
                <w:sz w:val="16"/>
              </w:rPr>
              <w:t>非遗传承人群研修培训班结业时间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4AA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13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E6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B4F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A3D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2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E03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277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AEA38">
            <w:pPr>
              <w:jc w:val="center"/>
            </w:pPr>
          </w:p>
        </w:tc>
      </w:tr>
      <w:tr w14:paraId="65964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7D2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A1B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B879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AE86">
            <w:pPr>
              <w:jc w:val="center"/>
            </w:pPr>
            <w:r>
              <w:rPr>
                <w:rFonts w:ascii="宋体" w:hAnsi="宋体" w:eastAsia="宋体"/>
                <w:sz w:val="16"/>
              </w:rPr>
              <w:t>举办传承人技能培训费用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AA90">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B8E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50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5B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FA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5EE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4E194">
            <w:pPr>
              <w:jc w:val="center"/>
            </w:pPr>
            <w:r>
              <w:rPr>
                <w:rFonts w:ascii="宋体" w:hAnsi="宋体" w:eastAsia="宋体"/>
                <w:sz w:val="16"/>
              </w:rPr>
              <w:t>=2.945万元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601C">
            <w:pPr>
              <w:jc w:val="center"/>
            </w:pPr>
            <w:r>
              <w:rPr>
                <w:rFonts w:ascii="宋体" w:hAnsi="宋体" w:eastAsia="宋体"/>
                <w:sz w:val="16"/>
              </w:rPr>
              <w:t>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D39C6">
            <w:pPr>
              <w:jc w:val="center"/>
            </w:pPr>
            <w:r>
              <w:rPr>
                <w:rFonts w:ascii="宋体" w:hAnsi="宋体" w:eastAsia="宋体"/>
                <w:sz w:val="16"/>
              </w:rPr>
              <w:t>偏差原因：因预算不够精准导致该指标实际支付比预期低；改进措施：加强预算管理，降低误差。</w:t>
            </w:r>
          </w:p>
        </w:tc>
      </w:tr>
      <w:tr w14:paraId="3EBEDF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7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F09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57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7B27">
            <w:pPr>
              <w:jc w:val="center"/>
            </w:pPr>
            <w:r>
              <w:rPr>
                <w:rFonts w:ascii="宋体" w:hAnsi="宋体" w:eastAsia="宋体"/>
                <w:sz w:val="16"/>
              </w:rPr>
              <w:t>拍摄申报片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5CC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13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20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82D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99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BB0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D67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3C32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CECC">
            <w:pPr>
              <w:jc w:val="center"/>
            </w:pPr>
          </w:p>
        </w:tc>
      </w:tr>
      <w:tr w14:paraId="73D473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46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40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75E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06AC">
            <w:pPr>
              <w:jc w:val="center"/>
            </w:pPr>
            <w:r>
              <w:rPr>
                <w:rFonts w:ascii="宋体" w:hAnsi="宋体" w:eastAsia="宋体"/>
                <w:sz w:val="16"/>
              </w:rPr>
              <w:t>非遗推广活动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5EA6">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CA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6B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B4B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1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9E7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F9B4">
            <w:pPr>
              <w:jc w:val="center"/>
            </w:pPr>
            <w:r>
              <w:rPr>
                <w:rFonts w:ascii="宋体" w:hAnsi="宋体" w:eastAsia="宋体"/>
                <w:sz w:val="16"/>
              </w:rPr>
              <w:t>=5.055万元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B05D">
            <w:pPr>
              <w:jc w:val="center"/>
            </w:pPr>
            <w:r>
              <w:rPr>
                <w:rFonts w:ascii="宋体" w:hAnsi="宋体" w:eastAsia="宋体"/>
                <w:sz w:val="16"/>
              </w:rPr>
              <w:t>7.04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CEFC">
            <w:pPr>
              <w:jc w:val="center"/>
            </w:pPr>
            <w:r>
              <w:rPr>
                <w:rFonts w:ascii="宋体" w:hAnsi="宋体" w:eastAsia="宋体"/>
                <w:sz w:val="16"/>
              </w:rPr>
              <w:t>偏差原因：因预算不够精准导致该指标实际支付比预期高，产生正偏差。</w:t>
            </w:r>
          </w:p>
        </w:tc>
      </w:tr>
      <w:tr w14:paraId="7F466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51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C21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F657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4EE2">
            <w:pPr>
              <w:jc w:val="center"/>
            </w:pPr>
            <w:r>
              <w:rPr>
                <w:rFonts w:ascii="宋体" w:hAnsi="宋体" w:eastAsia="宋体"/>
                <w:sz w:val="16"/>
              </w:rPr>
              <w:t>对增强非遗保护传承氛围的影响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47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55B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18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209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06B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26B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46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6C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D913">
            <w:pPr>
              <w:jc w:val="center"/>
            </w:pPr>
            <w:r>
              <w:rPr>
                <w:rFonts w:ascii="宋体" w:hAnsi="宋体" w:eastAsia="宋体"/>
                <w:sz w:val="16"/>
              </w:rPr>
              <w:t>偏差原因：项目实施后对增强非遗保护传承氛围的影响程度比预期高。</w:t>
            </w:r>
          </w:p>
        </w:tc>
      </w:tr>
      <w:tr w14:paraId="2ACE1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CA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19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28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BAF7">
            <w:pPr>
              <w:jc w:val="center"/>
            </w:pPr>
            <w:r>
              <w:rPr>
                <w:rFonts w:ascii="宋体" w:hAnsi="宋体" w:eastAsia="宋体"/>
                <w:sz w:val="16"/>
              </w:rPr>
              <w:t>参加研修培训的非遗传承人满意度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6C7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579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AB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BF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7A6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7204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DC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4C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F55F8">
            <w:pPr>
              <w:jc w:val="center"/>
            </w:pPr>
          </w:p>
        </w:tc>
      </w:tr>
      <w:tr w14:paraId="55FDC07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207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DC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503E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C4F8">
            <w:pPr>
              <w:jc w:val="center"/>
            </w:pPr>
            <w:r>
              <w:rPr>
                <w:rFonts w:ascii="宋体" w:hAnsi="宋体" w:eastAsia="宋体"/>
                <w:sz w:val="16"/>
              </w:rPr>
              <w:t>96.64分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49F217"/>
        </w:tc>
      </w:tr>
    </w:tbl>
    <w:p w14:paraId="221A74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8B50C38">
        <w:tblPrEx>
          <w:tblCellMar>
            <w:top w:w="0" w:type="dxa"/>
            <w:left w:w="108" w:type="dxa"/>
            <w:bottom w:w="0" w:type="dxa"/>
            <w:right w:w="108" w:type="dxa"/>
          </w:tblCellMar>
        </w:tblPrEx>
        <w:tc>
          <w:tcPr>
            <w:tcW w:w="8848" w:type="dxa"/>
            <w:gridSpan w:val="14"/>
            <w:vAlign w:val="center"/>
          </w:tcPr>
          <w:p w14:paraId="4371E574">
            <w:pPr>
              <w:jc w:val="center"/>
            </w:pPr>
            <w:r>
              <w:rPr>
                <w:rFonts w:ascii="宋体" w:hAnsi="宋体" w:eastAsia="宋体"/>
                <w:sz w:val="24"/>
              </w:rPr>
              <w:t>项目支出绩效自评表</w:t>
            </w:r>
          </w:p>
        </w:tc>
      </w:tr>
      <w:tr w14:paraId="453C3A66">
        <w:tblPrEx>
          <w:tblCellMar>
            <w:top w:w="0" w:type="dxa"/>
            <w:left w:w="108" w:type="dxa"/>
            <w:bottom w:w="0" w:type="dxa"/>
            <w:right w:w="108" w:type="dxa"/>
          </w:tblCellMar>
        </w:tblPrEx>
        <w:tc>
          <w:tcPr>
            <w:tcW w:w="8848" w:type="dxa"/>
            <w:gridSpan w:val="14"/>
            <w:vAlign w:val="center"/>
          </w:tcPr>
          <w:p w14:paraId="62C893DC">
            <w:pPr>
              <w:jc w:val="center"/>
            </w:pPr>
            <w:r>
              <w:rPr>
                <w:rFonts w:ascii="宋体" w:hAnsi="宋体" w:eastAsia="宋体"/>
                <w:sz w:val="24"/>
              </w:rPr>
              <w:t>(2024年度)</w:t>
            </w:r>
          </w:p>
        </w:tc>
      </w:tr>
      <w:tr w14:paraId="09D53A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C5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48ADA5">
            <w:pPr>
              <w:jc w:val="center"/>
            </w:pPr>
            <w:r>
              <w:rPr>
                <w:rFonts w:ascii="宋体" w:hAnsi="宋体" w:eastAsia="宋体"/>
                <w:sz w:val="16"/>
              </w:rPr>
              <w:t>伽师县文化馆2024年美术馆、公共图书馆、文化馆免费开放补助项目</w:t>
            </w:r>
          </w:p>
        </w:tc>
      </w:tr>
      <w:tr w14:paraId="732E3A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00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1FDBDB">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9A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8DA406">
            <w:pPr>
              <w:jc w:val="center"/>
            </w:pPr>
            <w:r>
              <w:rPr>
                <w:rFonts w:ascii="宋体" w:hAnsi="宋体" w:eastAsia="宋体"/>
                <w:sz w:val="16"/>
              </w:rPr>
              <w:t>伽师县文化馆</w:t>
            </w:r>
          </w:p>
        </w:tc>
      </w:tr>
      <w:tr w14:paraId="54C939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857B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D0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FAE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A252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570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5E8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CB8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AD670">
            <w:pPr>
              <w:jc w:val="center"/>
            </w:pPr>
            <w:r>
              <w:rPr>
                <w:rFonts w:ascii="宋体" w:hAnsi="宋体" w:eastAsia="宋体"/>
                <w:sz w:val="16"/>
              </w:rPr>
              <w:t>得分</w:t>
            </w:r>
          </w:p>
        </w:tc>
      </w:tr>
      <w:tr w14:paraId="7A0C7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5D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669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70B48">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ADF1F">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BB71">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AC1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19A5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C51B">
            <w:pPr>
              <w:jc w:val="center"/>
            </w:pPr>
            <w:r>
              <w:rPr>
                <w:rFonts w:ascii="宋体" w:hAnsi="宋体" w:eastAsia="宋体"/>
                <w:sz w:val="16"/>
              </w:rPr>
              <w:t>10.00分</w:t>
            </w:r>
          </w:p>
        </w:tc>
      </w:tr>
      <w:tr w14:paraId="2CC13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7D0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1B6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1BFF5">
            <w:pPr>
              <w:jc w:val="center"/>
            </w:pPr>
            <w:r>
              <w:rPr>
                <w:rFonts w:ascii="宋体" w:hAnsi="宋体" w:eastAsia="宋体"/>
                <w:sz w:val="16"/>
              </w:rPr>
              <w:t>115.00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AB374">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2AC9">
            <w:pPr>
              <w:jc w:val="center"/>
            </w:pPr>
            <w:r>
              <w:rPr>
                <w:rFonts w:ascii="宋体" w:hAnsi="宋体" w:eastAsia="宋体"/>
                <w:sz w:val="16"/>
              </w:rPr>
              <w:t>125.00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930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5F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5B43">
            <w:pPr>
              <w:jc w:val="center"/>
            </w:pPr>
            <w:r>
              <w:rPr>
                <w:rFonts w:ascii="宋体" w:hAnsi="宋体" w:eastAsia="宋体"/>
                <w:sz w:val="16"/>
              </w:rPr>
              <w:t>—</w:t>
            </w:r>
          </w:p>
        </w:tc>
      </w:tr>
      <w:tr w14:paraId="274150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8A2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6C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E2B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719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012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F2E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C01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1C234">
            <w:pPr>
              <w:jc w:val="center"/>
            </w:pPr>
            <w:r>
              <w:rPr>
                <w:rFonts w:ascii="宋体" w:hAnsi="宋体" w:eastAsia="宋体"/>
                <w:sz w:val="16"/>
              </w:rPr>
              <w:t>—</w:t>
            </w:r>
          </w:p>
        </w:tc>
      </w:tr>
      <w:tr w14:paraId="34F11C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4740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A9F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C56565">
            <w:pPr>
              <w:jc w:val="center"/>
            </w:pPr>
            <w:r>
              <w:rPr>
                <w:rFonts w:ascii="宋体" w:hAnsi="宋体" w:eastAsia="宋体"/>
                <w:sz w:val="16"/>
              </w:rPr>
              <w:t>实际完成情况</w:t>
            </w:r>
          </w:p>
        </w:tc>
      </w:tr>
      <w:tr w14:paraId="25DBE6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8CD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99B84D">
            <w:pPr>
              <w:jc w:val="both"/>
            </w:pPr>
            <w:r>
              <w:rPr>
                <w:rFonts w:ascii="宋体" w:hAnsi="宋体" w:eastAsia="宋体"/>
                <w:sz w:val="16"/>
              </w:rPr>
              <w:t>本项目下达资金125万元，主要用于县级公共图书馆、文化馆（站）、美术馆免费开放及乡镇（街道）综合文化站（中心）所需经费。通过本项目的实施，丰富人民群众的精神文化生活需求，充分发挥“三馆”在提高公民鉴赏能力、提高各族群众思想道德和科学文化素质的作用，保障各族群众基本权益，促进社会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43BF8">
            <w:pPr>
              <w:jc w:val="both"/>
            </w:pPr>
            <w:r>
              <w:rPr>
                <w:rFonts w:hint="eastAsia" w:ascii="宋体" w:hAnsi="宋体"/>
                <w:sz w:val="16"/>
                <w:lang w:eastAsia="zh-CN"/>
              </w:rPr>
              <w:t>截至</w:t>
            </w:r>
            <w:r>
              <w:rPr>
                <w:rFonts w:ascii="宋体" w:hAnsi="宋体" w:eastAsia="宋体"/>
                <w:sz w:val="16"/>
              </w:rPr>
              <w:t>2024年12月31日，该项目支出125万元，执行率100%，用于县级公共图书馆、文化馆（站）、美术馆免费开放及乡镇（街道）综合文化站（中心）所需经费。通过本项目的实施提高了各族群众思想道德和科学文化素质的作用，保障了各族群众基本权益，促进了社会和谐稳定。</w:t>
            </w:r>
          </w:p>
        </w:tc>
      </w:tr>
      <w:tr w14:paraId="689782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564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E6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C1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67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10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43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28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64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FAA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C6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C9C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9BB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37597">
            <w:pPr>
              <w:jc w:val="center"/>
            </w:pPr>
            <w:r>
              <w:rPr>
                <w:rFonts w:ascii="宋体" w:hAnsi="宋体" w:eastAsia="宋体"/>
                <w:sz w:val="16"/>
              </w:rPr>
              <w:t>偏差原因分析及改进措施</w:t>
            </w:r>
          </w:p>
        </w:tc>
      </w:tr>
      <w:tr w14:paraId="0EE01C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1A3C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6FF5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991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CEDD">
            <w:pPr>
              <w:jc w:val="center"/>
            </w:pPr>
            <w:r>
              <w:rPr>
                <w:rFonts w:ascii="宋体" w:hAnsi="宋体" w:eastAsia="宋体"/>
                <w:sz w:val="16"/>
              </w:rPr>
              <w:t>县级免费开放公共图书馆数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631B">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E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5E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4A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1A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3A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AD3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D79E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2F887">
            <w:pPr>
              <w:jc w:val="center"/>
            </w:pPr>
          </w:p>
        </w:tc>
      </w:tr>
      <w:tr w14:paraId="4062C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63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802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76F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FBAC6">
            <w:pPr>
              <w:jc w:val="center"/>
            </w:pPr>
            <w:r>
              <w:rPr>
                <w:rFonts w:ascii="宋体" w:hAnsi="宋体" w:eastAsia="宋体"/>
                <w:sz w:val="16"/>
              </w:rPr>
              <w:t>县级免费开放文化馆数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4CA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60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18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0A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3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86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574C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6D6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B4013">
            <w:pPr>
              <w:jc w:val="center"/>
            </w:pPr>
          </w:p>
        </w:tc>
      </w:tr>
      <w:tr w14:paraId="16F96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3F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93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6AD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4E5FE">
            <w:pPr>
              <w:jc w:val="center"/>
            </w:pPr>
            <w:r>
              <w:rPr>
                <w:rFonts w:ascii="宋体" w:hAnsi="宋体" w:eastAsia="宋体"/>
                <w:sz w:val="16"/>
              </w:rPr>
              <w:t>县级免费开放美术馆数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A70F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C5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5D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1E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CA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CB7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C43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970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60B16">
            <w:pPr>
              <w:jc w:val="center"/>
            </w:pPr>
          </w:p>
        </w:tc>
      </w:tr>
      <w:tr w14:paraId="5F0E02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EB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95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BE8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91A5">
            <w:pPr>
              <w:jc w:val="center"/>
            </w:pPr>
            <w:r>
              <w:rPr>
                <w:rFonts w:ascii="宋体" w:hAnsi="宋体" w:eastAsia="宋体"/>
                <w:sz w:val="16"/>
              </w:rPr>
              <w:t>乡镇（街道）综合文化站（中心）免费开放数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34245">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D5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AE8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3B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C0C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B5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1509">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B87D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5DDA">
            <w:pPr>
              <w:jc w:val="center"/>
            </w:pPr>
          </w:p>
        </w:tc>
      </w:tr>
      <w:tr w14:paraId="52E6F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B6C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691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C90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E7101">
            <w:pPr>
              <w:jc w:val="center"/>
            </w:pPr>
            <w:r>
              <w:rPr>
                <w:rFonts w:ascii="宋体" w:hAnsi="宋体" w:eastAsia="宋体"/>
                <w:sz w:val="16"/>
              </w:rPr>
              <w:t>“三馆一站”免费开放覆盖率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CA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4B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3A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7F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3B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C7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5A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D4F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9E7F5">
            <w:pPr>
              <w:jc w:val="center"/>
            </w:pPr>
          </w:p>
        </w:tc>
      </w:tr>
      <w:tr w14:paraId="4A375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79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D9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FF8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7E25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412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47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08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22C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424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7F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D0C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EE9E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F97C3">
            <w:pPr>
              <w:jc w:val="center"/>
            </w:pPr>
          </w:p>
        </w:tc>
      </w:tr>
      <w:tr w14:paraId="34CBA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BA5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BBEE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FC6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DA3B2">
            <w:pPr>
              <w:jc w:val="center"/>
            </w:pPr>
            <w:r>
              <w:rPr>
                <w:rFonts w:ascii="宋体" w:hAnsi="宋体" w:eastAsia="宋体"/>
                <w:sz w:val="16"/>
              </w:rPr>
              <w:t>县级公共图书馆、美术馆、文化馆运转经费数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D072">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81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8D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EF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E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CE6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8F9D">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1EA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29B19">
            <w:pPr>
              <w:jc w:val="center"/>
            </w:pPr>
          </w:p>
        </w:tc>
      </w:tr>
      <w:tr w14:paraId="2FFDC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5F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D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E5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529E">
            <w:pPr>
              <w:jc w:val="center"/>
            </w:pPr>
            <w:r>
              <w:rPr>
                <w:rFonts w:ascii="宋体" w:hAnsi="宋体" w:eastAsia="宋体"/>
                <w:sz w:val="16"/>
              </w:rPr>
              <w:t>乡镇（街道）综合文化站（中心）运转经费数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63AC">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2D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2C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F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BA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DC3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5E0E">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7F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54733">
            <w:pPr>
              <w:jc w:val="center"/>
            </w:pPr>
          </w:p>
        </w:tc>
      </w:tr>
      <w:tr w14:paraId="780A1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BB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95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75D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0137">
            <w:pPr>
              <w:jc w:val="center"/>
            </w:pPr>
            <w:r>
              <w:rPr>
                <w:rFonts w:ascii="宋体" w:hAnsi="宋体" w:eastAsia="宋体"/>
                <w:sz w:val="16"/>
              </w:rPr>
              <w:t>保障群众精神文化需求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7059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DEE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07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7EC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30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55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CFE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F27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0E87">
            <w:pPr>
              <w:jc w:val="center"/>
            </w:pPr>
          </w:p>
        </w:tc>
      </w:tr>
      <w:tr w14:paraId="0A271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D98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8F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99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B06C">
            <w:pPr>
              <w:jc w:val="center"/>
            </w:pPr>
            <w:r>
              <w:rPr>
                <w:rFonts w:ascii="宋体" w:hAnsi="宋体" w:eastAsia="宋体"/>
                <w:sz w:val="16"/>
              </w:rPr>
              <w:t>社会公众对“三馆”公共文化服务满意度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710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940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02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1A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327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8E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4A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87C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F5545">
            <w:pPr>
              <w:jc w:val="center"/>
            </w:pPr>
            <w:r>
              <w:rPr>
                <w:rFonts w:ascii="宋体" w:hAnsi="宋体" w:eastAsia="宋体"/>
                <w:sz w:val="16"/>
              </w:rPr>
              <w:t>社会公众对“三馆”公共文化服务满意度比预期高</w:t>
            </w:r>
          </w:p>
        </w:tc>
      </w:tr>
      <w:tr w14:paraId="00B0E1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3CD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CED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F23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5FD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A7E4A05"/>
        </w:tc>
      </w:tr>
    </w:tbl>
    <w:p w14:paraId="0A69D3BA">
      <w:r>
        <w:br w:type="page"/>
      </w:r>
    </w:p>
    <w:p w14:paraId="5A2720A1">
      <w:pPr>
        <w:spacing w:line="640" w:lineRule="exact"/>
        <w:ind w:firstLine="640"/>
        <w:jc w:val="both"/>
        <w:outlineLvl w:val="2"/>
      </w:pPr>
      <w:r>
        <w:rPr>
          <w:rFonts w:ascii="黑体" w:hAnsi="黑体" w:eastAsia="黑体"/>
          <w:sz w:val="32"/>
        </w:rPr>
        <w:t>十二、其他需说明的事项</w:t>
      </w:r>
    </w:p>
    <w:p w14:paraId="3A82C29A">
      <w:pPr>
        <w:spacing w:line="580" w:lineRule="exact"/>
        <w:ind w:firstLine="640"/>
        <w:jc w:val="both"/>
      </w:pPr>
      <w:r>
        <w:rPr>
          <w:rFonts w:ascii="仿宋_GB2312" w:hAnsi="仿宋_GB2312" w:eastAsia="仿宋_GB2312"/>
          <w:b w:val="0"/>
          <w:sz w:val="32"/>
        </w:rPr>
        <w:t>本单位无其他需说明的事项。</w:t>
      </w:r>
    </w:p>
    <w:p w14:paraId="501D30C4">
      <w:r>
        <w:br w:type="page"/>
      </w:r>
    </w:p>
    <w:p w14:paraId="6E1F3599">
      <w:pPr>
        <w:spacing w:line="240" w:lineRule="auto"/>
        <w:jc w:val="center"/>
        <w:outlineLvl w:val="1"/>
      </w:pPr>
      <w:r>
        <w:rPr>
          <w:rFonts w:ascii="黑体" w:hAnsi="黑体" w:eastAsia="黑体"/>
          <w:sz w:val="32"/>
        </w:rPr>
        <w:t>第三部分 专业名词解释</w:t>
      </w:r>
    </w:p>
    <w:p w14:paraId="53DB61E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64C4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ED4A73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E17F05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81FC9C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DDC4B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674A61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E04F60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A3AF7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40D6D8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A8FCE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FC55F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84804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6A575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A6A6E1">
      <w:r>
        <w:br w:type="page"/>
      </w:r>
    </w:p>
    <w:p w14:paraId="612E5B05">
      <w:pPr>
        <w:spacing w:line="240" w:lineRule="auto"/>
        <w:jc w:val="center"/>
        <w:outlineLvl w:val="1"/>
      </w:pPr>
      <w:r>
        <w:rPr>
          <w:rFonts w:ascii="黑体" w:hAnsi="黑体" w:eastAsia="黑体"/>
          <w:sz w:val="32"/>
        </w:rPr>
        <w:t>第四部分 部门决算报表（见附表）</w:t>
      </w:r>
    </w:p>
    <w:p w14:paraId="5B81B7B1">
      <w:pPr>
        <w:spacing w:line="240" w:lineRule="auto"/>
        <w:ind w:firstLine="640"/>
        <w:jc w:val="both"/>
      </w:pPr>
      <w:r>
        <w:rPr>
          <w:rFonts w:ascii="仿宋_GB2312" w:hAnsi="仿宋_GB2312" w:eastAsia="仿宋_GB2312"/>
          <w:b w:val="0"/>
          <w:sz w:val="32"/>
        </w:rPr>
        <w:t>一、《收入支出决算总表》</w:t>
      </w:r>
    </w:p>
    <w:p w14:paraId="1D874C1A">
      <w:pPr>
        <w:spacing w:line="240" w:lineRule="auto"/>
        <w:ind w:firstLine="640"/>
        <w:jc w:val="both"/>
      </w:pPr>
      <w:r>
        <w:rPr>
          <w:rFonts w:ascii="仿宋_GB2312" w:hAnsi="仿宋_GB2312" w:eastAsia="仿宋_GB2312"/>
          <w:b w:val="0"/>
          <w:sz w:val="32"/>
        </w:rPr>
        <w:t>二、《收入决算表》</w:t>
      </w:r>
    </w:p>
    <w:p w14:paraId="5C2818E0">
      <w:pPr>
        <w:spacing w:line="240" w:lineRule="auto"/>
        <w:ind w:firstLine="640"/>
        <w:jc w:val="both"/>
      </w:pPr>
      <w:r>
        <w:rPr>
          <w:rFonts w:ascii="仿宋_GB2312" w:hAnsi="仿宋_GB2312" w:eastAsia="仿宋_GB2312"/>
          <w:b w:val="0"/>
          <w:sz w:val="32"/>
        </w:rPr>
        <w:t>三、《支出决算表》</w:t>
      </w:r>
    </w:p>
    <w:p w14:paraId="175787F6">
      <w:pPr>
        <w:spacing w:line="240" w:lineRule="auto"/>
        <w:ind w:firstLine="640"/>
        <w:jc w:val="both"/>
      </w:pPr>
      <w:r>
        <w:rPr>
          <w:rFonts w:ascii="仿宋_GB2312" w:hAnsi="仿宋_GB2312" w:eastAsia="仿宋_GB2312"/>
          <w:b w:val="0"/>
          <w:sz w:val="32"/>
        </w:rPr>
        <w:t>四、《财政拨款收入支出决算总表》</w:t>
      </w:r>
    </w:p>
    <w:p w14:paraId="4DD343EB">
      <w:pPr>
        <w:spacing w:line="240" w:lineRule="auto"/>
        <w:ind w:firstLine="640"/>
        <w:jc w:val="both"/>
      </w:pPr>
      <w:r>
        <w:rPr>
          <w:rFonts w:ascii="仿宋_GB2312" w:hAnsi="仿宋_GB2312" w:eastAsia="仿宋_GB2312"/>
          <w:b w:val="0"/>
          <w:sz w:val="32"/>
        </w:rPr>
        <w:t>五、《一般公共预算财政拨款支出决算表》</w:t>
      </w:r>
    </w:p>
    <w:p w14:paraId="261DDE30">
      <w:pPr>
        <w:spacing w:line="240" w:lineRule="auto"/>
        <w:ind w:firstLine="640"/>
        <w:jc w:val="both"/>
      </w:pPr>
      <w:r>
        <w:rPr>
          <w:rFonts w:ascii="仿宋_GB2312" w:hAnsi="仿宋_GB2312" w:eastAsia="仿宋_GB2312"/>
          <w:b w:val="0"/>
          <w:sz w:val="32"/>
        </w:rPr>
        <w:t>六、《一般公共预算财政拨款基本支出决算表》</w:t>
      </w:r>
    </w:p>
    <w:p w14:paraId="2F739C2A">
      <w:pPr>
        <w:spacing w:line="240" w:lineRule="auto"/>
        <w:ind w:firstLine="640"/>
        <w:jc w:val="both"/>
      </w:pPr>
      <w:r>
        <w:rPr>
          <w:rFonts w:ascii="仿宋_GB2312" w:hAnsi="仿宋_GB2312" w:eastAsia="仿宋_GB2312"/>
          <w:b w:val="0"/>
          <w:sz w:val="32"/>
        </w:rPr>
        <w:t>七、《政府性基金预算财政拨款收入支出决算表》</w:t>
      </w:r>
    </w:p>
    <w:p w14:paraId="7CB913C7">
      <w:pPr>
        <w:spacing w:line="240" w:lineRule="auto"/>
        <w:ind w:firstLine="640"/>
        <w:jc w:val="both"/>
      </w:pPr>
      <w:r>
        <w:rPr>
          <w:rFonts w:ascii="仿宋_GB2312" w:hAnsi="仿宋_GB2312" w:eastAsia="仿宋_GB2312"/>
          <w:b w:val="0"/>
          <w:sz w:val="32"/>
        </w:rPr>
        <w:t>八、《国有资本经营预算财政拨款收入支出决算表》</w:t>
      </w:r>
    </w:p>
    <w:p w14:paraId="04E74E20">
      <w:pPr>
        <w:spacing w:line="240" w:lineRule="auto"/>
        <w:ind w:firstLine="640"/>
        <w:jc w:val="both"/>
      </w:pPr>
      <w:r>
        <w:rPr>
          <w:rFonts w:ascii="仿宋_GB2312" w:hAnsi="仿宋_GB2312" w:eastAsia="仿宋_GB2312"/>
          <w:b w:val="0"/>
          <w:sz w:val="32"/>
        </w:rPr>
        <w:t>九、《财政拨款“三公”经费支出决算表》</w:t>
      </w:r>
    </w:p>
    <w:p w14:paraId="3953ECBA">
      <w:pPr>
        <w:spacing w:line="240" w:lineRule="auto"/>
        <w:ind w:firstLine="640"/>
        <w:jc w:val="both"/>
      </w:pPr>
    </w:p>
    <w:p w14:paraId="614FB748">
      <w:pPr>
        <w:spacing w:line="240" w:lineRule="auto"/>
        <w:ind w:firstLine="640"/>
        <w:jc w:val="both"/>
      </w:pPr>
    </w:p>
    <w:p w14:paraId="617D5D09">
      <w:pPr>
        <w:spacing w:line="240" w:lineRule="auto"/>
        <w:ind w:firstLine="640"/>
        <w:jc w:val="both"/>
      </w:pPr>
    </w:p>
    <w:p w14:paraId="52BC0D05">
      <w:pPr>
        <w:spacing w:line="240" w:lineRule="auto"/>
        <w:ind w:firstLine="640"/>
        <w:jc w:val="both"/>
      </w:pPr>
    </w:p>
    <w:p w14:paraId="514526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FA0F66"/>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8819E6"/>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4796</Words>
  <Characters>5534</Characters>
  <Lines>0</Lines>
  <Paragraphs>0</Paragraphs>
  <TotalTime>7</TotalTime>
  <ScaleCrop>false</ScaleCrop>
  <LinksUpToDate>false</LinksUpToDate>
  <CharactersWithSpaces>5543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2025-09-17T10:05:50Z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