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伽师县歌舞剧团2024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1A0D35A">
      <w:r>
        <w:br w:type="page"/>
      </w:r>
    </w:p>
    <w:p w14:paraId="4C3DDDC5">
      <w:pPr>
        <w:spacing w:line="640" w:lineRule="exact"/>
        <w:jc w:val="center"/>
        <w:outlineLvl w:val="1"/>
      </w:pPr>
      <w:r>
        <w:rPr>
          <w:rFonts w:ascii="黑体" w:hAnsi="黑体" w:eastAsia="黑体"/>
          <w:sz w:val="32"/>
        </w:rPr>
        <w:t>第一部分 单位概况</w:t>
      </w:r>
    </w:p>
    <w:p w14:paraId="758A3DCB">
      <w:pPr>
        <w:spacing w:line="640" w:lineRule="exact"/>
        <w:ind w:firstLine="640"/>
        <w:jc w:val="both"/>
        <w:outlineLvl w:val="2"/>
      </w:pPr>
      <w:r>
        <w:rPr>
          <w:rFonts w:ascii="黑体" w:hAnsi="黑体" w:eastAsia="黑体"/>
          <w:sz w:val="32"/>
        </w:rPr>
        <w:t>一、主要职能</w:t>
      </w:r>
    </w:p>
    <w:p w14:paraId="43C36D44">
      <w:pPr>
        <w:spacing w:line="580" w:lineRule="exact"/>
        <w:ind w:firstLine="640"/>
        <w:jc w:val="both"/>
      </w:pPr>
      <w:r>
        <w:rPr>
          <w:rFonts w:ascii="仿宋_GB2312" w:hAnsi="仿宋_GB2312" w:eastAsia="仿宋_GB2312"/>
          <w:sz w:val="32"/>
        </w:rPr>
        <w:t>（一）部门主要职责根据党和国家有关文化娱乐发展的方针，政策，法规，结合本县实际，负责全县文化娱乐普及推广，负责全县文化娱乐，负责全县各种文化娱乐指导等工作。</w:t>
      </w:r>
    </w:p>
    <w:p w14:paraId="07AAF4DD">
      <w:pPr>
        <w:spacing w:line="580" w:lineRule="exact"/>
        <w:ind w:firstLine="640"/>
        <w:jc w:val="both"/>
      </w:pPr>
      <w:r>
        <w:rPr>
          <w:rFonts w:ascii="仿宋_GB2312" w:hAnsi="仿宋_GB2312" w:eastAsia="仿宋_GB2312"/>
          <w:sz w:val="32"/>
        </w:rPr>
        <w:t>（二）加强对民间文化创作团体的管理、指导乡镇综合文化活动中心开展适合当地农牧区文化演出活动。</w:t>
      </w:r>
    </w:p>
    <w:p w14:paraId="11B97186">
      <w:pPr>
        <w:spacing w:line="580" w:lineRule="exact"/>
        <w:ind w:firstLine="640"/>
        <w:jc w:val="both"/>
      </w:pPr>
      <w:r>
        <w:rPr>
          <w:rFonts w:ascii="仿宋_GB2312" w:hAnsi="仿宋_GB2312" w:eastAsia="仿宋_GB2312"/>
          <w:sz w:val="32"/>
        </w:rPr>
        <w:t>（三）组织文化团队和文化作品进行交流提高。</w:t>
      </w:r>
    </w:p>
    <w:p w14:paraId="2BC4F3DD">
      <w:pPr>
        <w:spacing w:line="580" w:lineRule="exact"/>
        <w:ind w:firstLine="640"/>
        <w:jc w:val="both"/>
      </w:pPr>
      <w:r>
        <w:rPr>
          <w:rFonts w:ascii="仿宋_GB2312" w:hAnsi="仿宋_GB2312" w:eastAsia="仿宋_GB2312"/>
          <w:sz w:val="32"/>
        </w:rPr>
        <w:t>（四）组织、辅导和培训群众文化业务骨干队伍、开展群众文化创作活动、演出、建立健全群众文艺档案。</w:t>
      </w:r>
    </w:p>
    <w:p w14:paraId="4D20BF1E">
      <w:pPr>
        <w:spacing w:line="580" w:lineRule="exact"/>
        <w:ind w:firstLine="640"/>
        <w:jc w:val="both"/>
      </w:pPr>
      <w:r>
        <w:rPr>
          <w:rFonts w:ascii="仿宋_GB2312" w:hAnsi="仿宋_GB2312" w:eastAsia="仿宋_GB2312"/>
          <w:sz w:val="32"/>
        </w:rPr>
        <w:t>（五）完成上级和主管部门交办的其他工作。</w:t>
      </w:r>
    </w:p>
    <w:p w14:paraId="10062C65">
      <w:pPr>
        <w:spacing w:line="640" w:lineRule="exact"/>
        <w:ind w:firstLine="640"/>
        <w:jc w:val="both"/>
        <w:outlineLvl w:val="2"/>
      </w:pPr>
      <w:r>
        <w:rPr>
          <w:rFonts w:ascii="黑体" w:hAnsi="黑体" w:eastAsia="黑体"/>
          <w:sz w:val="32"/>
        </w:rPr>
        <w:t>二、机构设置及人员情况</w:t>
      </w:r>
    </w:p>
    <w:p w14:paraId="3447E1D2">
      <w:pPr>
        <w:spacing w:line="580" w:lineRule="exact"/>
        <w:ind w:firstLine="640"/>
        <w:jc w:val="both"/>
      </w:pPr>
      <w:r>
        <w:rPr>
          <w:rFonts w:ascii="仿宋_GB2312" w:hAnsi="仿宋_GB2312" w:eastAsia="仿宋_GB2312"/>
          <w:sz w:val="32"/>
        </w:rPr>
        <w:t>伽师县歌舞剧团2024年度，实有人数19人，其中：在职人员12人，增加0人；离休人员0人，增加0人；退休人员7人,增加0人。</w:t>
      </w:r>
    </w:p>
    <w:p w14:paraId="18C2D4F6">
      <w:pPr>
        <w:spacing w:line="580" w:lineRule="exact"/>
        <w:ind w:firstLine="640"/>
        <w:jc w:val="both"/>
      </w:pPr>
      <w:r>
        <w:rPr>
          <w:rFonts w:ascii="仿宋_GB2312" w:hAnsi="仿宋_GB2312" w:eastAsia="仿宋_GB2312"/>
          <w:sz w:val="32"/>
        </w:rPr>
        <w:t>伽师县歌舞剧团无下属预算单位，下设4个科室，分别是：综合办公室、舞蹈队、音乐表演队、创作室。</w:t>
      </w:r>
    </w:p>
    <w:p w14:paraId="16908227">
      <w:r>
        <w:br w:type="page"/>
      </w:r>
    </w:p>
    <w:p w14:paraId="74B22FCD">
      <w:pPr>
        <w:spacing w:line="240" w:lineRule="auto"/>
        <w:jc w:val="center"/>
        <w:outlineLvl w:val="1"/>
      </w:pPr>
      <w:r>
        <w:rPr>
          <w:rFonts w:ascii="黑体" w:hAnsi="黑体" w:eastAsia="黑体"/>
          <w:sz w:val="32"/>
        </w:rPr>
        <w:t>第二部分 部门决算情况说明</w:t>
      </w:r>
    </w:p>
    <w:p w14:paraId="18D4D864">
      <w:pPr>
        <w:spacing w:line="640" w:lineRule="exact"/>
        <w:ind w:firstLine="640"/>
        <w:jc w:val="both"/>
        <w:outlineLvl w:val="2"/>
      </w:pPr>
      <w:r>
        <w:rPr>
          <w:rFonts w:ascii="黑体" w:hAnsi="黑体" w:eastAsia="黑体"/>
          <w:sz w:val="32"/>
        </w:rPr>
        <w:t>一、收入支出决算总体情况说明</w:t>
      </w:r>
    </w:p>
    <w:p w14:paraId="6C670CA4">
      <w:pPr>
        <w:spacing w:line="580" w:lineRule="exact"/>
        <w:ind w:firstLine="640"/>
        <w:jc w:val="both"/>
      </w:pPr>
      <w:r>
        <w:rPr>
          <w:rFonts w:ascii="仿宋_GB2312" w:hAnsi="仿宋_GB2312" w:eastAsia="仿宋_GB2312"/>
          <w:b/>
          <w:sz w:val="32"/>
        </w:rPr>
        <w:t>2024年度收入总计1,181.42万元，</w:t>
      </w:r>
      <w:r>
        <w:rPr>
          <w:rFonts w:ascii="仿宋_GB2312" w:hAnsi="仿宋_GB2312" w:eastAsia="仿宋_GB2312"/>
          <w:b w:val="0"/>
          <w:sz w:val="32"/>
        </w:rPr>
        <w:t>其中：本年收入合计1,181.42万元，使用非财政拨款结余（含专用结余）0.00万元，年初结转和结余0.00万元。</w:t>
      </w:r>
    </w:p>
    <w:p w14:paraId="0A027058">
      <w:pPr>
        <w:spacing w:line="580" w:lineRule="exact"/>
        <w:ind w:firstLine="640"/>
        <w:jc w:val="both"/>
      </w:pPr>
      <w:r>
        <w:rPr>
          <w:rFonts w:ascii="仿宋_GB2312" w:hAnsi="仿宋_GB2312" w:eastAsia="仿宋_GB2312"/>
          <w:b/>
          <w:sz w:val="32"/>
        </w:rPr>
        <w:t>2024年度支出总计1,181.42万元，</w:t>
      </w:r>
      <w:r>
        <w:rPr>
          <w:rFonts w:ascii="仿宋_GB2312" w:hAnsi="仿宋_GB2312" w:eastAsia="仿宋_GB2312"/>
          <w:b w:val="0"/>
          <w:sz w:val="32"/>
        </w:rPr>
        <w:t>其中：本年支出合计1,181.42万元，结余分配0.00万元，年末结转和结余0.00万元。</w:t>
      </w:r>
    </w:p>
    <w:p w14:paraId="070E046B">
      <w:pPr>
        <w:spacing w:line="580" w:lineRule="exact"/>
        <w:ind w:firstLine="640"/>
        <w:jc w:val="both"/>
      </w:pPr>
      <w:r>
        <w:rPr>
          <w:rFonts w:ascii="仿宋_GB2312" w:hAnsi="仿宋_GB2312" w:eastAsia="仿宋_GB2312"/>
          <w:b w:val="0"/>
          <w:sz w:val="32"/>
        </w:rPr>
        <w:t>收入支出总体与上年相比，增加60.50万元，增长5.40%，主要原因是：增加伽师县歌舞剧团2024年中央地方公共文化服务体系建设补助项目、2024年伽师县文体广旅局交往交流交融项目、伽师县文广旅局2023年度文化交流活动项目、2024年伽师县文体广旅局交往交流交融项目、2024年伽师县文体广旅局交往交流交融项目、2024年伽师县文体广旅局交往交流交融项目。</w:t>
      </w:r>
    </w:p>
    <w:p w14:paraId="201EFCD5">
      <w:pPr>
        <w:spacing w:line="640" w:lineRule="exact"/>
        <w:ind w:firstLine="640"/>
        <w:jc w:val="both"/>
        <w:outlineLvl w:val="2"/>
      </w:pPr>
      <w:r>
        <w:rPr>
          <w:rFonts w:ascii="黑体" w:hAnsi="黑体" w:eastAsia="黑体"/>
          <w:sz w:val="32"/>
        </w:rPr>
        <w:t>二、收入决算情况说明</w:t>
      </w:r>
    </w:p>
    <w:p w14:paraId="30297720">
      <w:pPr>
        <w:spacing w:line="580" w:lineRule="exact"/>
        <w:ind w:firstLine="640"/>
        <w:jc w:val="both"/>
      </w:pPr>
      <w:r>
        <w:rPr>
          <w:rFonts w:ascii="仿宋_GB2312" w:hAnsi="仿宋_GB2312" w:eastAsia="仿宋_GB2312"/>
          <w:b/>
          <w:sz w:val="32"/>
        </w:rPr>
        <w:t>本年收入1,181.42万元，</w:t>
      </w:r>
      <w:r>
        <w:rPr>
          <w:rFonts w:ascii="仿宋_GB2312" w:hAnsi="仿宋_GB2312" w:eastAsia="仿宋_GB2312"/>
          <w:b w:val="0"/>
          <w:sz w:val="32"/>
        </w:rPr>
        <w:t>其中：财政拨款收入967.90万元，占81.93%；上级补助收入0.00万元，占0.00%；事业收入0.00万元，占0.00%；经营收入0.00万元，占0.00%；附属单位上缴收入0.00万元，占0.00%；其他收入213.52万元，占18.07%。</w:t>
      </w:r>
    </w:p>
    <w:p w14:paraId="76E90ACA">
      <w:pPr>
        <w:spacing w:line="640" w:lineRule="exact"/>
        <w:ind w:firstLine="640"/>
        <w:jc w:val="both"/>
        <w:outlineLvl w:val="2"/>
      </w:pPr>
      <w:r>
        <w:rPr>
          <w:rFonts w:ascii="黑体" w:hAnsi="黑体" w:eastAsia="黑体"/>
          <w:sz w:val="32"/>
        </w:rPr>
        <w:t>三、支出决算情况说明</w:t>
      </w:r>
    </w:p>
    <w:p w14:paraId="5CB5F6BA">
      <w:pPr>
        <w:spacing w:line="580" w:lineRule="exact"/>
        <w:ind w:firstLine="640"/>
        <w:jc w:val="both"/>
      </w:pPr>
      <w:r>
        <w:rPr>
          <w:rFonts w:ascii="仿宋_GB2312" w:hAnsi="仿宋_GB2312" w:eastAsia="仿宋_GB2312"/>
          <w:b/>
          <w:sz w:val="32"/>
        </w:rPr>
        <w:t>本年支出1,181.42万元，</w:t>
      </w:r>
      <w:r>
        <w:rPr>
          <w:rFonts w:ascii="仿宋_GB2312" w:hAnsi="仿宋_GB2312" w:eastAsia="仿宋_GB2312"/>
          <w:b w:val="0"/>
          <w:sz w:val="32"/>
        </w:rPr>
        <w:t>其中：基本支出878.51万元，占74.36%；项目支出302.91万元，占25.64%；上缴上级支出0.00万元，占0.00%；经营支出0.00万元，占0.00%；对附属单位补助支出0.00万元，占0.00%。</w:t>
      </w:r>
    </w:p>
    <w:p w14:paraId="77187F8E">
      <w:pPr>
        <w:spacing w:line="640" w:lineRule="exact"/>
        <w:ind w:firstLine="640"/>
        <w:jc w:val="both"/>
        <w:outlineLvl w:val="2"/>
      </w:pPr>
      <w:r>
        <w:rPr>
          <w:rFonts w:ascii="黑体" w:hAnsi="黑体" w:eastAsia="黑体"/>
          <w:sz w:val="32"/>
        </w:rPr>
        <w:t>四、财政拨款收入支出决算总体情况说明</w:t>
      </w:r>
    </w:p>
    <w:p w14:paraId="7B58F90E">
      <w:pPr>
        <w:spacing w:line="580" w:lineRule="exact"/>
        <w:ind w:firstLine="640"/>
        <w:jc w:val="both"/>
      </w:pPr>
      <w:r>
        <w:rPr>
          <w:rFonts w:ascii="仿宋_GB2312" w:hAnsi="仿宋_GB2312" w:eastAsia="仿宋_GB2312"/>
          <w:b/>
          <w:sz w:val="32"/>
        </w:rPr>
        <w:t>2024年度财政拨款收入总计967.90万元，</w:t>
      </w:r>
      <w:r>
        <w:rPr>
          <w:rFonts w:ascii="仿宋_GB2312" w:hAnsi="仿宋_GB2312" w:eastAsia="仿宋_GB2312"/>
          <w:b w:val="0"/>
          <w:sz w:val="32"/>
        </w:rPr>
        <w:t>其中：年初财政拨款结转和结余0.00万元，本年财政拨款收入967.90万元。</w:t>
      </w:r>
      <w:r>
        <w:rPr>
          <w:rFonts w:ascii="仿宋_GB2312" w:hAnsi="仿宋_GB2312" w:eastAsia="仿宋_GB2312"/>
          <w:b/>
          <w:sz w:val="32"/>
        </w:rPr>
        <w:t>财政拨款支出总计967.90万元，</w:t>
      </w:r>
      <w:r>
        <w:rPr>
          <w:rFonts w:ascii="仿宋_GB2312" w:hAnsi="仿宋_GB2312" w:eastAsia="仿宋_GB2312"/>
          <w:b w:val="0"/>
          <w:sz w:val="32"/>
        </w:rPr>
        <w:t>其中：年末财政拨款结转和结余0.00万元，本年财政拨款支出967.90万元。</w:t>
      </w:r>
    </w:p>
    <w:p w14:paraId="6246B3C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减少1.02万元，下降0.11%，主要原因是：1名县聘人员辞职，县聘人员工资调标，经费减少。</w:t>
      </w:r>
      <w:r>
        <w:rPr>
          <w:rFonts w:ascii="仿宋_GB2312" w:hAnsi="仿宋_GB2312" w:eastAsia="仿宋_GB2312"/>
          <w:b/>
          <w:sz w:val="32"/>
        </w:rPr>
        <w:t>与年初预算相比，</w:t>
      </w:r>
      <w:r>
        <w:rPr>
          <w:rFonts w:ascii="仿宋_GB2312" w:hAnsi="仿宋_GB2312" w:eastAsia="仿宋_GB2312"/>
          <w:b w:val="0"/>
          <w:sz w:val="32"/>
        </w:rPr>
        <w:t>年初预算数459.31万元，决算数967.90万元，预决算差异率110.73%，主要原因是：年中追加人员工资、社保、公积金基数调增部分资金，导致预决算存在差异。年中追加文体广旅局交往交流交融项目。</w:t>
      </w:r>
    </w:p>
    <w:p w14:paraId="66C60F4E">
      <w:pPr>
        <w:spacing w:line="640" w:lineRule="exact"/>
        <w:ind w:firstLine="640"/>
        <w:jc w:val="both"/>
        <w:outlineLvl w:val="2"/>
      </w:pPr>
      <w:r>
        <w:rPr>
          <w:rFonts w:ascii="黑体" w:hAnsi="黑体" w:eastAsia="黑体"/>
          <w:sz w:val="32"/>
        </w:rPr>
        <w:t>五、一般公共预算财政拨款支出决算情况说明</w:t>
      </w:r>
    </w:p>
    <w:p w14:paraId="1C5303C3">
      <w:pPr>
        <w:spacing w:line="640" w:lineRule="exact"/>
        <w:ind w:firstLine="640"/>
        <w:jc w:val="both"/>
        <w:outlineLvl w:val="3"/>
      </w:pPr>
      <w:r>
        <w:rPr>
          <w:rFonts w:ascii="楷体_GB2312" w:hAnsi="楷体_GB2312" w:eastAsia="楷体_GB2312"/>
          <w:b/>
          <w:sz w:val="32"/>
        </w:rPr>
        <w:t>（一）一般公共预算财政拨款支出决算总体情况</w:t>
      </w:r>
    </w:p>
    <w:p w14:paraId="008DD3FD">
      <w:pPr>
        <w:spacing w:line="580" w:lineRule="exact"/>
        <w:ind w:firstLine="640"/>
        <w:jc w:val="both"/>
      </w:pPr>
      <w:r>
        <w:rPr>
          <w:rFonts w:ascii="仿宋_GB2312" w:hAnsi="仿宋_GB2312" w:eastAsia="仿宋_GB2312"/>
          <w:b/>
          <w:sz w:val="32"/>
        </w:rPr>
        <w:t>2024年度一般公共预算财政拨款支出967.90万元，</w:t>
      </w:r>
      <w:r>
        <w:rPr>
          <w:rFonts w:ascii="仿宋_GB2312" w:hAnsi="仿宋_GB2312" w:eastAsia="仿宋_GB2312"/>
          <w:b w:val="0"/>
          <w:sz w:val="32"/>
        </w:rPr>
        <w:t>占本年支出合计的81.93%。</w:t>
      </w:r>
      <w:r>
        <w:rPr>
          <w:rFonts w:ascii="仿宋_GB2312" w:hAnsi="仿宋_GB2312" w:eastAsia="仿宋_GB2312"/>
          <w:b/>
          <w:sz w:val="32"/>
        </w:rPr>
        <w:t>与上年相比，</w:t>
      </w:r>
      <w:r>
        <w:rPr>
          <w:rFonts w:ascii="仿宋_GB2312" w:hAnsi="仿宋_GB2312" w:eastAsia="仿宋_GB2312"/>
          <w:b w:val="0"/>
          <w:sz w:val="32"/>
        </w:rPr>
        <w:t>减少1.02万元，下降0.11%，主要原因是：1名县聘人员辞职，县聘人员工资调标，经费减少。</w:t>
      </w:r>
      <w:r>
        <w:rPr>
          <w:rFonts w:ascii="仿宋_GB2312" w:hAnsi="仿宋_GB2312" w:eastAsia="仿宋_GB2312"/>
          <w:b/>
          <w:sz w:val="32"/>
        </w:rPr>
        <w:t>与年初预算相比,</w:t>
      </w:r>
      <w:r>
        <w:rPr>
          <w:rFonts w:ascii="仿宋_GB2312" w:hAnsi="仿宋_GB2312" w:eastAsia="仿宋_GB2312"/>
          <w:b w:val="0"/>
          <w:sz w:val="32"/>
        </w:rPr>
        <w:t>年初预算数459.31万元，决算数967.90万元，预决算差异率110.73%，主要原因是：年中追加人员工资、社保、公积金基数调增部分资金，导致预决算存在差异。年中追加文体广旅局交往交流交融项目。</w:t>
      </w:r>
    </w:p>
    <w:p w14:paraId="56F52CEB">
      <w:pPr>
        <w:spacing w:line="640" w:lineRule="exact"/>
        <w:ind w:firstLine="640"/>
        <w:jc w:val="both"/>
        <w:outlineLvl w:val="3"/>
      </w:pPr>
      <w:r>
        <w:rPr>
          <w:rFonts w:ascii="楷体_GB2312" w:hAnsi="楷体_GB2312" w:eastAsia="楷体_GB2312"/>
          <w:b/>
          <w:sz w:val="32"/>
        </w:rPr>
        <w:t>（二）一般公共预算财政拨款支出决算结构情况</w:t>
      </w:r>
    </w:p>
    <w:p w14:paraId="2013DE04">
      <w:pPr>
        <w:spacing w:line="580" w:lineRule="exact"/>
        <w:ind w:firstLine="640"/>
        <w:jc w:val="both"/>
      </w:pPr>
      <w:r>
        <w:rPr>
          <w:rFonts w:ascii="仿宋_GB2312" w:hAnsi="仿宋_GB2312" w:eastAsia="仿宋_GB2312"/>
          <w:b w:val="0"/>
          <w:sz w:val="32"/>
        </w:rPr>
        <w:t>1.文化旅游体育与传媒支出(类)960.99万元,占99.29%。</w:t>
      </w:r>
    </w:p>
    <w:p w14:paraId="16689B0B">
      <w:pPr>
        <w:spacing w:line="580" w:lineRule="exact"/>
        <w:ind w:firstLine="640"/>
        <w:jc w:val="both"/>
      </w:pPr>
      <w:r>
        <w:rPr>
          <w:rFonts w:ascii="仿宋_GB2312" w:hAnsi="仿宋_GB2312" w:eastAsia="仿宋_GB2312"/>
          <w:b w:val="0"/>
          <w:sz w:val="32"/>
        </w:rPr>
        <w:t>2.社会保障和就业支出(类)6.91万元,占0.71%。</w:t>
      </w:r>
    </w:p>
    <w:p w14:paraId="768F5900">
      <w:pPr>
        <w:spacing w:line="640" w:lineRule="exact"/>
        <w:ind w:firstLine="640"/>
        <w:jc w:val="both"/>
        <w:outlineLvl w:val="3"/>
      </w:pPr>
      <w:r>
        <w:rPr>
          <w:rFonts w:ascii="楷体_GB2312" w:hAnsi="楷体_GB2312" w:eastAsia="楷体_GB2312"/>
          <w:b/>
          <w:sz w:val="32"/>
        </w:rPr>
        <w:t>（三）一般公共预算财政拨款支出决算具体情况</w:t>
      </w:r>
    </w:p>
    <w:p w14:paraId="68C3E063">
      <w:pPr>
        <w:spacing w:line="580" w:lineRule="exact"/>
        <w:ind w:firstLine="640"/>
        <w:jc w:val="both"/>
      </w:pPr>
      <w:r>
        <w:rPr>
          <w:rFonts w:ascii="仿宋_GB2312" w:hAnsi="仿宋_GB2312" w:eastAsia="仿宋_GB2312"/>
          <w:b w:val="0"/>
          <w:sz w:val="32"/>
        </w:rPr>
        <w:t>1.文化旅游体育与传媒支出(类)文化和旅游(款)艺术表演团体(项):支出决算数为960.99万元，比上年决算减少4.93万元，下降0.51%,主要原因是：1名县聘人员辞职，县聘人员工资调标，经费减少。</w:t>
      </w:r>
    </w:p>
    <w:p w14:paraId="285CA21B">
      <w:pPr>
        <w:spacing w:line="580" w:lineRule="exact"/>
        <w:ind w:firstLine="640"/>
        <w:jc w:val="both"/>
      </w:pPr>
      <w:r>
        <w:rPr>
          <w:rFonts w:ascii="仿宋_GB2312" w:hAnsi="仿宋_GB2312" w:eastAsia="仿宋_GB2312"/>
          <w:b w:val="0"/>
          <w:sz w:val="32"/>
        </w:rPr>
        <w:t>2.文化旅游体育与传媒支出(类)文化和旅游(款)文化创作与保护(项):支出决算数为0.00万元，比上年决算减少3.00万元，下降100.00%,主要原因是：减少自治区文艺扶持激励项目。</w:t>
      </w:r>
    </w:p>
    <w:p w14:paraId="3E9F0A68">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6.91万元，比上年决算增加6.91万元，增长100.00%,主要原因是：本年功能科目调整，机关事业单位职业年金缴费上年度在主科目列支，本年单独列支，导致经费较上年增加。</w:t>
      </w:r>
    </w:p>
    <w:p w14:paraId="0972E23B">
      <w:pPr>
        <w:spacing w:line="640" w:lineRule="exact"/>
        <w:ind w:firstLine="640"/>
        <w:jc w:val="both"/>
        <w:outlineLvl w:val="2"/>
      </w:pPr>
      <w:r>
        <w:rPr>
          <w:rFonts w:ascii="黑体" w:hAnsi="黑体" w:eastAsia="黑体"/>
          <w:sz w:val="32"/>
        </w:rPr>
        <w:t>六、一般公共预算财政拨款基本支出决算情况说明</w:t>
      </w:r>
    </w:p>
    <w:p w14:paraId="6F6B3F78">
      <w:pPr>
        <w:spacing w:line="580" w:lineRule="exact"/>
        <w:ind w:firstLine="640"/>
        <w:jc w:val="both"/>
      </w:pPr>
      <w:r>
        <w:rPr>
          <w:rFonts w:ascii="仿宋_GB2312" w:hAnsi="仿宋_GB2312" w:eastAsia="仿宋_GB2312"/>
          <w:b w:val="0"/>
          <w:sz w:val="32"/>
        </w:rPr>
        <w:t>2024年度一般公共预算财政拨款基本支出878.51万元，其中：</w:t>
      </w:r>
      <w:r>
        <w:rPr>
          <w:rFonts w:ascii="仿宋_GB2312" w:hAnsi="仿宋_GB2312" w:eastAsia="仿宋_GB2312"/>
          <w:b/>
          <w:sz w:val="32"/>
        </w:rPr>
        <w:t>人员经费864.07万元，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w:t>
      </w:r>
    </w:p>
    <w:p w14:paraId="6D9A21A2">
      <w:pPr>
        <w:spacing w:line="580" w:lineRule="exact"/>
        <w:ind w:firstLine="640"/>
        <w:jc w:val="both"/>
      </w:pPr>
      <w:r>
        <w:rPr>
          <w:rFonts w:ascii="仿宋_GB2312" w:hAnsi="仿宋_GB2312" w:eastAsia="仿宋_GB2312"/>
          <w:b/>
          <w:sz w:val="32"/>
        </w:rPr>
        <w:t>公用经费14.44万元，</w:t>
      </w:r>
      <w:r>
        <w:rPr>
          <w:rFonts w:ascii="仿宋_GB2312" w:hAnsi="仿宋_GB2312" w:eastAsia="仿宋_GB2312"/>
          <w:b w:val="0"/>
          <w:sz w:val="32"/>
        </w:rPr>
        <w:t>包括：办公费、水费、邮电费、取暖费、差旅费、公务接待费、公务用车运行维护费。</w:t>
      </w:r>
    </w:p>
    <w:p w14:paraId="17AF2622">
      <w:pPr>
        <w:spacing w:line="640" w:lineRule="exact"/>
        <w:ind w:firstLine="640"/>
        <w:jc w:val="both"/>
        <w:outlineLvl w:val="2"/>
      </w:pPr>
      <w:r>
        <w:rPr>
          <w:rFonts w:ascii="黑体" w:hAnsi="黑体" w:eastAsia="黑体"/>
          <w:sz w:val="32"/>
        </w:rPr>
        <w:t>七、政府性基金预算财政拨款收入支出决算情况说明</w:t>
      </w:r>
    </w:p>
    <w:p w14:paraId="077B6A7A">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0ED5548">
      <w:pPr>
        <w:spacing w:line="640" w:lineRule="exact"/>
        <w:ind w:firstLine="640"/>
        <w:jc w:val="both"/>
        <w:outlineLvl w:val="2"/>
      </w:pPr>
      <w:r>
        <w:rPr>
          <w:rFonts w:ascii="黑体" w:hAnsi="黑体" w:eastAsia="黑体"/>
          <w:sz w:val="32"/>
        </w:rPr>
        <w:t>八、国有资本经营预算财政拨款收入支出决算情况说明</w:t>
      </w:r>
    </w:p>
    <w:p w14:paraId="40DCC8D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8921012">
      <w:pPr>
        <w:spacing w:line="640" w:lineRule="exact"/>
        <w:ind w:firstLine="640"/>
        <w:jc w:val="both"/>
        <w:outlineLvl w:val="2"/>
      </w:pPr>
      <w:r>
        <w:rPr>
          <w:rFonts w:ascii="黑体" w:hAnsi="黑体" w:eastAsia="黑体"/>
          <w:sz w:val="32"/>
        </w:rPr>
        <w:t>九、财政拨款“三公”经费支出决算情况说明</w:t>
      </w:r>
    </w:p>
    <w:p w14:paraId="5A4D97AE">
      <w:pPr>
        <w:spacing w:line="580" w:lineRule="exact"/>
        <w:ind w:firstLine="640"/>
        <w:jc w:val="both"/>
      </w:pPr>
      <w:r>
        <w:rPr>
          <w:rFonts w:ascii="仿宋_GB2312" w:hAnsi="仿宋_GB2312" w:eastAsia="仿宋_GB2312"/>
          <w:b/>
          <w:sz w:val="32"/>
        </w:rPr>
        <w:t>2024年度财政拨款“三公”经费支出1.90万元，</w:t>
      </w:r>
      <w:r>
        <w:rPr>
          <w:rFonts w:ascii="仿宋_GB2312" w:hAnsi="仿宋_GB2312" w:eastAsia="仿宋_GB2312"/>
          <w:b w:val="0"/>
          <w:sz w:val="32"/>
        </w:rPr>
        <w:t>比上年增加0.48万元，增长33.80%，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1.80万元，占94.74%，比上年增加0.38万元，增长26.76%，主要原因是：本单位公务用车日渐老化，维修维护成本增加，导致公务用车运行维护费较上年增加。公务接待费支出0.10万元，占5.26%，比上年增加0.10万元，增长100.00%，主要原因是：本年因业务需求，增加公务接待工作，导致公务接待费较上年增加。</w:t>
      </w:r>
    </w:p>
    <w:p w14:paraId="2A4E871A">
      <w:pPr>
        <w:spacing w:line="580" w:lineRule="exact"/>
        <w:ind w:firstLine="640"/>
        <w:jc w:val="both"/>
      </w:pPr>
      <w:r>
        <w:rPr>
          <w:rFonts w:ascii="仿宋_GB2312" w:hAnsi="仿宋_GB2312" w:eastAsia="仿宋_GB2312"/>
          <w:b/>
          <w:sz w:val="32"/>
        </w:rPr>
        <w:t>具体情况如下：</w:t>
      </w:r>
    </w:p>
    <w:p w14:paraId="3FC2858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FBDE44A">
      <w:pPr>
        <w:spacing w:line="580" w:lineRule="exact"/>
        <w:ind w:firstLine="640"/>
        <w:jc w:val="both"/>
      </w:pPr>
      <w:r>
        <w:rPr>
          <w:rFonts w:ascii="仿宋_GB2312" w:hAnsi="仿宋_GB2312" w:eastAsia="仿宋_GB2312"/>
          <w:b w:val="0"/>
          <w:sz w:val="32"/>
        </w:rPr>
        <w:t>公务用车购置及运行维护费1.80万元，其中：公务用车购置费0.00万元，公务用车运行维护费1.80万元。公务用车运行维护费开支内容包括车辆加油费、维修费、保险费、审车费、过路费等。公务用车购置数0辆，公务用车保有量5辆。国有资产占用情况中固定资产车辆5辆，与公务用车保有量差异原因是：本单位固定资产车辆与公务用车保有量一致无差异。</w:t>
      </w:r>
    </w:p>
    <w:p w14:paraId="2EC79116">
      <w:pPr>
        <w:spacing w:line="580" w:lineRule="exact"/>
        <w:ind w:firstLine="640"/>
        <w:jc w:val="both"/>
      </w:pPr>
      <w:r>
        <w:rPr>
          <w:rFonts w:ascii="仿宋_GB2312" w:hAnsi="仿宋_GB2312" w:eastAsia="仿宋_GB2312"/>
          <w:b w:val="0"/>
          <w:sz w:val="32"/>
        </w:rPr>
        <w:t>公务接待费0.10万元，开支内容包括接待上级领导检查产生的就餐费。单位全年安排的国内公务接待3批次，15人次。</w:t>
      </w:r>
    </w:p>
    <w:p w14:paraId="575C4F5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1.90万元，决算数1.90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1.80万元，决算数1.80万元，预决算差异率0.00%，主要原因是：严格按照预算执行，预决算无差异。公务接待费全年预算数0.10万元，决算数0.10万元，预决算差异率0.00%，主要原因是：严格按照预算执行，预决算无差异。</w:t>
      </w:r>
    </w:p>
    <w:p w14:paraId="2612F0D9">
      <w:pPr>
        <w:spacing w:line="640" w:lineRule="exact"/>
        <w:ind w:firstLine="640"/>
        <w:jc w:val="both"/>
        <w:outlineLvl w:val="2"/>
      </w:pPr>
      <w:r>
        <w:rPr>
          <w:rFonts w:ascii="黑体" w:hAnsi="黑体" w:eastAsia="黑体"/>
          <w:sz w:val="32"/>
        </w:rPr>
        <w:t>十、其他重要事项的情况说明</w:t>
      </w:r>
    </w:p>
    <w:p w14:paraId="27926BC8">
      <w:pPr>
        <w:spacing w:line="640" w:lineRule="exact"/>
        <w:ind w:firstLine="640"/>
        <w:jc w:val="both"/>
        <w:outlineLvl w:val="3"/>
      </w:pPr>
      <w:r>
        <w:rPr>
          <w:rFonts w:ascii="楷体_GB2312" w:hAnsi="楷体_GB2312" w:eastAsia="楷体_GB2312"/>
          <w:b/>
          <w:sz w:val="32"/>
        </w:rPr>
        <w:t>（一）机关运行经费及公用经费支出情况</w:t>
      </w:r>
    </w:p>
    <w:p w14:paraId="0C4CB2FC">
      <w:pPr>
        <w:spacing w:line="580" w:lineRule="exact"/>
        <w:ind w:firstLine="640"/>
        <w:jc w:val="both"/>
      </w:pPr>
      <w:r>
        <w:rPr>
          <w:rFonts w:ascii="仿宋_GB2312" w:hAnsi="仿宋_GB2312" w:eastAsia="仿宋_GB2312"/>
          <w:b w:val="0"/>
          <w:sz w:val="32"/>
        </w:rPr>
        <w:t>2024年度伽师县歌舞剧团（事业单位）公用经费支出14.44万元，比上年增加1.75万元，增长13.79%，主要原因是：本年更新、维护补充办公用品，导致公用经费较上年增加。</w:t>
      </w:r>
    </w:p>
    <w:p w14:paraId="6F5DF9FB">
      <w:pPr>
        <w:spacing w:line="640" w:lineRule="exact"/>
        <w:ind w:firstLine="640"/>
        <w:jc w:val="both"/>
        <w:outlineLvl w:val="3"/>
      </w:pPr>
      <w:r>
        <w:rPr>
          <w:rFonts w:ascii="楷体_GB2312" w:hAnsi="楷体_GB2312" w:eastAsia="楷体_GB2312"/>
          <w:b/>
          <w:sz w:val="32"/>
        </w:rPr>
        <w:t>（二）政府采购情况</w:t>
      </w:r>
    </w:p>
    <w:p w14:paraId="20A0D3A6">
      <w:pPr>
        <w:spacing w:line="580" w:lineRule="exact"/>
        <w:ind w:firstLine="640"/>
        <w:jc w:val="both"/>
      </w:pPr>
      <w:r>
        <w:rPr>
          <w:rFonts w:ascii="仿宋_GB2312" w:hAnsi="仿宋_GB2312" w:eastAsia="仿宋_GB2312"/>
          <w:b w:val="0"/>
          <w:sz w:val="32"/>
        </w:rPr>
        <w:t>2024年度政府采购支出总额85.12万元，其中：政府采购货物支出0.44万元、政府采购工程支出0.00万元、政府采购服务支出84.68万元。</w:t>
      </w:r>
    </w:p>
    <w:p w14:paraId="4915D7D0">
      <w:pPr>
        <w:spacing w:line="580" w:lineRule="exact"/>
        <w:ind w:firstLine="640"/>
        <w:jc w:val="both"/>
      </w:pPr>
      <w:r>
        <w:rPr>
          <w:rFonts w:ascii="仿宋_GB2312" w:hAnsi="仿宋_GB2312" w:eastAsia="仿宋_GB2312"/>
          <w:b w:val="0"/>
          <w:sz w:val="32"/>
        </w:rPr>
        <w:t>授予中小企业合同金额84.68万元，占政府采购支出总额的99.48%，其中：授予小微企业合同金额4.76万元，占政府采购支出总额的5.59%。</w:t>
      </w:r>
    </w:p>
    <w:p w14:paraId="08EC9E87">
      <w:pPr>
        <w:spacing w:line="640" w:lineRule="exact"/>
        <w:ind w:firstLine="640"/>
        <w:jc w:val="both"/>
        <w:outlineLvl w:val="3"/>
      </w:pPr>
      <w:r>
        <w:rPr>
          <w:rFonts w:ascii="楷体_GB2312" w:hAnsi="楷体_GB2312" w:eastAsia="楷体_GB2312"/>
          <w:b/>
          <w:sz w:val="32"/>
        </w:rPr>
        <w:t>（三）国有资产占用情况说明</w:t>
      </w:r>
    </w:p>
    <w:p w14:paraId="6F200A75">
      <w:pPr>
        <w:spacing w:line="580" w:lineRule="exact"/>
        <w:ind w:firstLine="640"/>
        <w:jc w:val="both"/>
      </w:pPr>
      <w:r>
        <w:rPr>
          <w:rFonts w:ascii="仿宋_GB2312" w:hAnsi="仿宋_GB2312" w:eastAsia="仿宋_GB2312"/>
          <w:b w:val="0"/>
          <w:sz w:val="32"/>
        </w:rPr>
        <w:t>截至2024年12月31日，房屋0.00平方米，价值0.00万元。车辆5辆，价值140.80万元，其中：副部（省）级及以上领导用车0辆、主要负责人用车0辆、机要通信用车0辆、应急保障用车0辆、执法执勤用车0辆、特种专业技术用车0辆、离退休干部服务用车0辆、其他用车5辆，其他用车主要是：一般公务用车。单价100万元（含）以上设备（不含车辆）0台（套）。</w:t>
      </w:r>
    </w:p>
    <w:p w14:paraId="4CF30180">
      <w:pPr>
        <w:spacing w:line="640" w:lineRule="exact"/>
        <w:ind w:firstLine="640"/>
        <w:jc w:val="both"/>
        <w:outlineLvl w:val="2"/>
      </w:pPr>
      <w:r>
        <w:rPr>
          <w:rFonts w:ascii="黑体" w:hAnsi="黑体" w:eastAsia="黑体"/>
          <w:sz w:val="32"/>
        </w:rPr>
        <w:t>十一、预算绩效的情况说明</w:t>
      </w:r>
    </w:p>
    <w:p w14:paraId="0ED58E7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1,181.42万元，实际执行总额1,181.42万元；预算绩效评价项目1个，全年预算数32.50万元，全年执行数32.50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作用。二是严格按照工作职责和相关文件依据，确保专款专用。三是严格控制资金的流出方向，确保资金的合规性。发现的问题及原因：项目细化管理工作不足。各项资金的使用没有做到细致地预算，造成项目遇到各种不确定因素，财政资金无法发挥最大使用效益。下一步改进措施：一是加强新行政单位会计制度和新预算法学习培训、规范账务处理，加强新《中华人民共和国预算法》《行政单位会计制度》《</w:t>
      </w:r>
      <w:r>
        <w:rPr>
          <w:rFonts w:hint="eastAsia" w:ascii="仿宋_GB2312" w:hAnsi="仿宋_GB2312" w:eastAsia="仿宋_GB2312"/>
          <w:b w:val="0"/>
          <w:sz w:val="32"/>
          <w:lang w:eastAsia="zh-CN"/>
        </w:rPr>
        <w:t>中华人民共和国会计法</w:t>
      </w:r>
      <w:r>
        <w:rPr>
          <w:rFonts w:ascii="仿宋_GB2312" w:hAnsi="仿宋_GB2312" w:eastAsia="仿宋_GB2312"/>
          <w:b w:val="0"/>
          <w:sz w:val="32"/>
        </w:rPr>
        <w:t>》《行政单位财务规则》等学习培训,规范部门预算收支核算。二是加强学习。进一步明确如何参照考核体系，科学合理设定绩效目标，充分发挥预算绩效管理工作效用。具体附整体支出绩效自评表，项目支出绩效自评表和评价报告。</w:t>
      </w:r>
    </w:p>
    <w:p w14:paraId="26E6BBE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FF389FE">
        <w:tblPrEx>
          <w:tblCellMar>
            <w:top w:w="0" w:type="dxa"/>
            <w:left w:w="108" w:type="dxa"/>
            <w:bottom w:w="0" w:type="dxa"/>
            <w:right w:w="108" w:type="dxa"/>
          </w:tblCellMar>
        </w:tblPrEx>
        <w:tc>
          <w:tcPr>
            <w:tcW w:w="8847" w:type="dxa"/>
            <w:gridSpan w:val="9"/>
            <w:vAlign w:val="center"/>
          </w:tcPr>
          <w:p w14:paraId="0970AE1B">
            <w:pPr>
              <w:jc w:val="center"/>
            </w:pPr>
            <w:r>
              <w:rPr>
                <w:rFonts w:ascii="宋体" w:hAnsi="宋体" w:eastAsia="宋体"/>
                <w:sz w:val="24"/>
              </w:rPr>
              <w:t>单位整体支出绩效自评表</w:t>
            </w:r>
          </w:p>
        </w:tc>
      </w:tr>
      <w:tr w14:paraId="4F6611BC">
        <w:tblPrEx>
          <w:tblCellMar>
            <w:top w:w="0" w:type="dxa"/>
            <w:left w:w="108" w:type="dxa"/>
            <w:bottom w:w="0" w:type="dxa"/>
            <w:right w:w="108" w:type="dxa"/>
          </w:tblCellMar>
        </w:tblPrEx>
        <w:tc>
          <w:tcPr>
            <w:tcW w:w="8847" w:type="dxa"/>
            <w:gridSpan w:val="9"/>
            <w:vAlign w:val="center"/>
          </w:tcPr>
          <w:p w14:paraId="3766A37A">
            <w:pPr>
              <w:jc w:val="center"/>
            </w:pPr>
            <w:r>
              <w:rPr>
                <w:rFonts w:ascii="宋体" w:hAnsi="宋体" w:eastAsia="宋体"/>
                <w:sz w:val="24"/>
              </w:rPr>
              <w:t>（2024年度）</w:t>
            </w:r>
          </w:p>
        </w:tc>
      </w:tr>
      <w:tr w14:paraId="7CC6EFE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2EDE1">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DA69D12">
            <w:pPr>
              <w:jc w:val="center"/>
            </w:pPr>
            <w:r>
              <w:rPr>
                <w:rFonts w:ascii="宋体" w:hAnsi="宋体" w:eastAsia="宋体"/>
                <w:sz w:val="16"/>
              </w:rPr>
              <w:t>伽师县歌舞剧团</w:t>
            </w:r>
          </w:p>
        </w:tc>
      </w:tr>
      <w:tr w14:paraId="252171B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56D972">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AACDE">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8ED1B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D9056">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2CD30">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6456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86422">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927C2">
            <w:pPr>
              <w:jc w:val="center"/>
            </w:pPr>
            <w:r>
              <w:rPr>
                <w:rFonts w:ascii="宋体" w:hAnsi="宋体" w:eastAsia="宋体"/>
                <w:sz w:val="16"/>
              </w:rPr>
              <w:t>得分</w:t>
            </w:r>
          </w:p>
        </w:tc>
      </w:tr>
      <w:tr w14:paraId="7C42BBC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64234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CA328">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1B7A8">
            <w:pPr>
              <w:jc w:val="center"/>
            </w:pPr>
            <w:r>
              <w:rPr>
                <w:rFonts w:ascii="宋体" w:hAnsi="宋体" w:eastAsia="宋体"/>
                <w:sz w:val="16"/>
              </w:rPr>
              <w:t>459.31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86D49">
            <w:pPr>
              <w:jc w:val="center"/>
            </w:pPr>
            <w:r>
              <w:rPr>
                <w:rFonts w:ascii="宋体" w:hAnsi="宋体" w:eastAsia="宋体"/>
                <w:sz w:val="16"/>
              </w:rPr>
              <w:t>1,181.42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5409C6">
            <w:pPr>
              <w:jc w:val="center"/>
            </w:pPr>
            <w:r>
              <w:rPr>
                <w:rFonts w:ascii="宋体" w:hAnsi="宋体" w:eastAsia="宋体"/>
                <w:sz w:val="16"/>
              </w:rPr>
              <w:t>1,181.42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365C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82479">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C2265">
            <w:pPr>
              <w:jc w:val="center"/>
            </w:pPr>
            <w:r>
              <w:rPr>
                <w:rFonts w:ascii="宋体" w:hAnsi="宋体" w:eastAsia="宋体"/>
                <w:sz w:val="16"/>
              </w:rPr>
              <w:t>10</w:t>
            </w:r>
          </w:p>
        </w:tc>
      </w:tr>
      <w:tr w14:paraId="2E6CE7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90D01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976DE">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AC0DC">
            <w:pPr>
              <w:jc w:val="center"/>
            </w:pPr>
            <w:r>
              <w:rPr>
                <w:rFonts w:ascii="宋体" w:hAnsi="宋体" w:eastAsia="宋体"/>
                <w:sz w:val="16"/>
              </w:rPr>
              <w:t>41.39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FF376">
            <w:pPr>
              <w:jc w:val="center"/>
            </w:pPr>
            <w:r>
              <w:rPr>
                <w:rFonts w:ascii="宋体" w:hAnsi="宋体" w:eastAsia="宋体"/>
                <w:sz w:val="16"/>
              </w:rPr>
              <w:t>41.39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2D60D8">
            <w:pPr>
              <w:jc w:val="center"/>
            </w:pPr>
            <w:r>
              <w:rPr>
                <w:rFonts w:ascii="宋体" w:hAnsi="宋体" w:eastAsia="宋体"/>
                <w:sz w:val="16"/>
              </w:rPr>
              <w:t>41.39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52A8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F4A3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BBE14">
            <w:pPr>
              <w:jc w:val="center"/>
            </w:pPr>
            <w:r>
              <w:rPr>
                <w:rFonts w:ascii="宋体" w:hAnsi="宋体" w:eastAsia="宋体"/>
                <w:sz w:val="16"/>
              </w:rPr>
              <w:t>—</w:t>
            </w:r>
          </w:p>
        </w:tc>
      </w:tr>
      <w:tr w14:paraId="69C936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C67BD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BBDA4">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C4EE8">
            <w:pPr>
              <w:jc w:val="center"/>
            </w:pPr>
            <w:r>
              <w:rPr>
                <w:rFonts w:ascii="宋体" w:hAnsi="宋体" w:eastAsia="宋体"/>
                <w:sz w:val="16"/>
              </w:rPr>
              <w:t>417.92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61829">
            <w:pPr>
              <w:jc w:val="center"/>
            </w:pPr>
            <w:r>
              <w:rPr>
                <w:rFonts w:ascii="宋体" w:hAnsi="宋体" w:eastAsia="宋体"/>
                <w:sz w:val="16"/>
              </w:rPr>
              <w:t>926.51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2DA42">
            <w:pPr>
              <w:jc w:val="center"/>
            </w:pPr>
            <w:r>
              <w:rPr>
                <w:rFonts w:ascii="宋体" w:hAnsi="宋体" w:eastAsia="宋体"/>
                <w:sz w:val="16"/>
              </w:rPr>
              <w:t>926.51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60F9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0E73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1B0C6">
            <w:pPr>
              <w:jc w:val="center"/>
            </w:pPr>
            <w:r>
              <w:rPr>
                <w:rFonts w:ascii="宋体" w:hAnsi="宋体" w:eastAsia="宋体"/>
                <w:sz w:val="16"/>
              </w:rPr>
              <w:t>—</w:t>
            </w:r>
          </w:p>
        </w:tc>
      </w:tr>
      <w:tr w14:paraId="00FE66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6406D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229F63">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B57B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27A9F">
            <w:pPr>
              <w:jc w:val="center"/>
            </w:pPr>
            <w:r>
              <w:rPr>
                <w:rFonts w:ascii="宋体" w:hAnsi="宋体" w:eastAsia="宋体"/>
                <w:sz w:val="16"/>
              </w:rPr>
              <w:t>213.52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47045">
            <w:pPr>
              <w:jc w:val="center"/>
            </w:pPr>
            <w:r>
              <w:rPr>
                <w:rFonts w:ascii="宋体" w:hAnsi="宋体" w:eastAsia="宋体"/>
                <w:sz w:val="16"/>
              </w:rPr>
              <w:t>213.52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9D47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0A73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51DDA">
            <w:pPr>
              <w:jc w:val="center"/>
            </w:pPr>
            <w:r>
              <w:rPr>
                <w:rFonts w:ascii="宋体" w:hAnsi="宋体" w:eastAsia="宋体"/>
                <w:sz w:val="16"/>
              </w:rPr>
              <w:t>—</w:t>
            </w:r>
          </w:p>
        </w:tc>
      </w:tr>
      <w:tr w14:paraId="1CDD9E6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98A29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75F571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47AF68">
            <w:pPr>
              <w:jc w:val="center"/>
            </w:pPr>
            <w:r>
              <w:rPr>
                <w:rFonts w:ascii="宋体" w:hAnsi="宋体" w:eastAsia="宋体"/>
                <w:sz w:val="16"/>
              </w:rPr>
              <w:t>实际完成情况</w:t>
            </w:r>
          </w:p>
        </w:tc>
      </w:tr>
      <w:tr w14:paraId="1E2782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4EF34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FB2EB6E">
            <w:pPr>
              <w:jc w:val="both"/>
            </w:pPr>
            <w:r>
              <w:rPr>
                <w:rFonts w:ascii="宋体" w:hAnsi="宋体" w:eastAsia="宋体"/>
                <w:sz w:val="16"/>
              </w:rPr>
              <w:t>伽师县歌舞剧团在文化体育广播电视和旅游局的正确领导下，坚持以习近平新时代中国特色社会主义思想为指导，认真贯彻落实以习近平同志为核心的党中央治疆方略，特别是社会稳定和长治久安总目标，2024年春季、夏季、冬季，按照县委、县政府的部署开展送戏下乡的文化三项活动，把党和政府的温暖、把中央惠农政策和精神用一台台精彩纷呈的“民族团结一家亲文化惠民”文艺节目送到农户家门口，在全县唱响“民族团结一家亲”的主旋律。2024年计划完成：创作文艺作品数量不低于6部；举办文化惠民活动场次不低于400场；公益演出送戏下乡活动不低于325场；演出覆盖乡镇13个；每场参演节目个数不低于12个。</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7505A5">
            <w:pPr>
              <w:jc w:val="both"/>
            </w:pPr>
            <w:r>
              <w:rPr>
                <w:rFonts w:ascii="宋体" w:hAnsi="宋体" w:eastAsia="宋体"/>
                <w:sz w:val="16"/>
              </w:rPr>
              <w:t>伽师县歌舞剧团在文化体育广播电视和旅游局的正确领导下，坚持以习近平新时代中国特色社会主义思想为指导，认真贯彻落实以习近平同志为核心的党中央治疆方略，特别是社会稳定和长治久安总目标，2024年春季、夏季、冬季，按照县委、县政府的部署开展送戏下乡的文化三项活动，把党和政府的温暖、把中央惠农政策和精神用一台台精彩纷呈的“民族团结一家亲文化惠民”文艺节目送到农户家门口，在全县唱响“民族团结一家亲”的主旋律。2024年完成创作文艺作品数量6部；举办文化惠民活动场次400场；公益演出送戏下乡活动325场；演出覆盖乡镇13个；每场参演节目个数12个。</w:t>
            </w:r>
          </w:p>
        </w:tc>
      </w:tr>
      <w:tr w14:paraId="6FD728B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2805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1E83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A607E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D8DF8">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897EF">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A8D8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548A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262FB2">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A07DB">
            <w:pPr>
              <w:jc w:val="center"/>
            </w:pPr>
            <w:r>
              <w:rPr>
                <w:rFonts w:ascii="宋体" w:hAnsi="宋体" w:eastAsia="宋体"/>
                <w:sz w:val="16"/>
              </w:rPr>
              <w:t>得分</w:t>
            </w:r>
          </w:p>
        </w:tc>
      </w:tr>
      <w:tr w14:paraId="28C7A02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612EE9">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6EACB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C9BF3">
            <w:pPr>
              <w:jc w:val="center"/>
            </w:pPr>
            <w:r>
              <w:rPr>
                <w:rFonts w:ascii="宋体" w:hAnsi="宋体" w:eastAsia="宋体"/>
                <w:sz w:val="16"/>
              </w:rPr>
              <w:t>文艺作品创作数量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C118F">
            <w:pPr>
              <w:jc w:val="center"/>
            </w:pPr>
            <w:r>
              <w:rPr>
                <w:rFonts w:ascii="宋体" w:hAnsi="宋体" w:eastAsia="宋体"/>
                <w:sz w:val="16"/>
              </w:rPr>
              <w:t>&gt;=6部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52828">
            <w:pPr>
              <w:jc w:val="center"/>
            </w:pPr>
            <w:r>
              <w:rPr>
                <w:rFonts w:ascii="宋体" w:hAnsi="宋体" w:eastAsia="宋体"/>
                <w:sz w:val="16"/>
              </w:rPr>
              <w:t>伽师县歌舞剧团2024年工作计划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D98EF">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0ED9B">
            <w:pPr>
              <w:jc w:val="center"/>
            </w:pPr>
            <w:r>
              <w:rPr>
                <w:rFonts w:ascii="宋体" w:hAnsi="宋体" w:eastAsia="宋体"/>
                <w:sz w:val="16"/>
              </w:rPr>
              <w:t>6部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AB08B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FF4D9">
            <w:pPr>
              <w:jc w:val="center"/>
            </w:pPr>
            <w:r>
              <w:rPr>
                <w:rFonts w:ascii="宋体" w:hAnsi="宋体" w:eastAsia="宋体"/>
                <w:sz w:val="16"/>
              </w:rPr>
              <w:t>18</w:t>
            </w:r>
          </w:p>
        </w:tc>
      </w:tr>
      <w:tr w14:paraId="1EE173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1ADEF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AF08A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C3295">
            <w:pPr>
              <w:jc w:val="center"/>
            </w:pPr>
            <w:r>
              <w:rPr>
                <w:rFonts w:ascii="宋体" w:hAnsi="宋体" w:eastAsia="宋体"/>
                <w:sz w:val="16"/>
              </w:rPr>
              <w:t>文化惠民活动场次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522F6">
            <w:pPr>
              <w:jc w:val="center"/>
            </w:pPr>
            <w:r>
              <w:rPr>
                <w:rFonts w:ascii="宋体" w:hAnsi="宋体" w:eastAsia="宋体"/>
                <w:sz w:val="16"/>
              </w:rPr>
              <w:t>&gt;=400场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757B5">
            <w:pPr>
              <w:jc w:val="center"/>
            </w:pPr>
            <w:r>
              <w:rPr>
                <w:rFonts w:ascii="宋体" w:hAnsi="宋体" w:eastAsia="宋体"/>
                <w:sz w:val="16"/>
              </w:rPr>
              <w:t>伽师县歌舞剧团2024年工作计划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6C56A">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5BF6F">
            <w:pPr>
              <w:jc w:val="center"/>
            </w:pPr>
            <w:r>
              <w:rPr>
                <w:rFonts w:ascii="宋体" w:hAnsi="宋体" w:eastAsia="宋体"/>
                <w:sz w:val="16"/>
              </w:rPr>
              <w:t>400场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21A3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D79DC">
            <w:pPr>
              <w:jc w:val="center"/>
            </w:pPr>
            <w:r>
              <w:rPr>
                <w:rFonts w:ascii="宋体" w:hAnsi="宋体" w:eastAsia="宋体"/>
                <w:sz w:val="16"/>
              </w:rPr>
              <w:t>18</w:t>
            </w:r>
          </w:p>
        </w:tc>
      </w:tr>
      <w:tr w14:paraId="3B0467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53F6B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05036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B337AB">
            <w:pPr>
              <w:jc w:val="center"/>
            </w:pPr>
            <w:r>
              <w:rPr>
                <w:rFonts w:ascii="宋体" w:hAnsi="宋体" w:eastAsia="宋体"/>
                <w:sz w:val="16"/>
              </w:rPr>
              <w:t>公益演出送戏下乡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7441C">
            <w:pPr>
              <w:jc w:val="center"/>
            </w:pPr>
            <w:r>
              <w:rPr>
                <w:rFonts w:ascii="宋体" w:hAnsi="宋体" w:eastAsia="宋体"/>
                <w:sz w:val="16"/>
              </w:rPr>
              <w:t>&gt;=325场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8A3DE">
            <w:pPr>
              <w:jc w:val="center"/>
            </w:pPr>
            <w:r>
              <w:rPr>
                <w:rFonts w:ascii="宋体" w:hAnsi="宋体" w:eastAsia="宋体"/>
                <w:sz w:val="16"/>
              </w:rPr>
              <w:t>伽师县歌舞剧团2024年工作计划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933F3">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396BE">
            <w:pPr>
              <w:jc w:val="center"/>
            </w:pPr>
            <w:r>
              <w:rPr>
                <w:rFonts w:ascii="宋体" w:hAnsi="宋体" w:eastAsia="宋体"/>
                <w:sz w:val="16"/>
              </w:rPr>
              <w:t>325场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FB16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8894B">
            <w:pPr>
              <w:jc w:val="center"/>
            </w:pPr>
            <w:r>
              <w:rPr>
                <w:rFonts w:ascii="宋体" w:hAnsi="宋体" w:eastAsia="宋体"/>
                <w:sz w:val="16"/>
              </w:rPr>
              <w:t>18</w:t>
            </w:r>
          </w:p>
        </w:tc>
      </w:tr>
      <w:tr w14:paraId="452BD5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D8051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3CCF5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3A9A9">
            <w:pPr>
              <w:jc w:val="center"/>
            </w:pPr>
            <w:r>
              <w:rPr>
                <w:rFonts w:ascii="宋体" w:hAnsi="宋体" w:eastAsia="宋体"/>
                <w:sz w:val="16"/>
              </w:rPr>
              <w:t>演出覆盖乡镇个数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6E5E1">
            <w:pPr>
              <w:jc w:val="center"/>
            </w:pPr>
            <w:r>
              <w:rPr>
                <w:rFonts w:ascii="宋体" w:hAnsi="宋体" w:eastAsia="宋体"/>
                <w:sz w:val="16"/>
              </w:rPr>
              <w:t>=13个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121A0">
            <w:pPr>
              <w:jc w:val="center"/>
            </w:pPr>
            <w:r>
              <w:rPr>
                <w:rFonts w:ascii="宋体" w:hAnsi="宋体" w:eastAsia="宋体"/>
                <w:sz w:val="16"/>
              </w:rPr>
              <w:t>伽师县歌舞剧团2024年工作计划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86400">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BE9BC">
            <w:pPr>
              <w:jc w:val="center"/>
            </w:pPr>
            <w:r>
              <w:rPr>
                <w:rFonts w:ascii="宋体" w:hAnsi="宋体" w:eastAsia="宋体"/>
                <w:sz w:val="16"/>
              </w:rPr>
              <w:t>13个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FB48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8ED07D">
            <w:pPr>
              <w:jc w:val="center"/>
            </w:pPr>
            <w:r>
              <w:rPr>
                <w:rFonts w:ascii="宋体" w:hAnsi="宋体" w:eastAsia="宋体"/>
                <w:sz w:val="16"/>
              </w:rPr>
              <w:t>18</w:t>
            </w:r>
          </w:p>
        </w:tc>
      </w:tr>
      <w:tr w14:paraId="0C2EFD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AAE11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B71B7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07241">
            <w:pPr>
              <w:jc w:val="center"/>
            </w:pPr>
            <w:r>
              <w:rPr>
                <w:rFonts w:ascii="宋体" w:hAnsi="宋体" w:eastAsia="宋体"/>
                <w:sz w:val="16"/>
              </w:rPr>
              <w:t>每场参演节目个数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F1F6F">
            <w:pPr>
              <w:jc w:val="center"/>
            </w:pPr>
            <w:r>
              <w:rPr>
                <w:rFonts w:ascii="宋体" w:hAnsi="宋体" w:eastAsia="宋体"/>
                <w:sz w:val="16"/>
              </w:rPr>
              <w:t>&gt;=12个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88B46E">
            <w:pPr>
              <w:jc w:val="center"/>
            </w:pPr>
            <w:r>
              <w:rPr>
                <w:rFonts w:ascii="宋体" w:hAnsi="宋体" w:eastAsia="宋体"/>
                <w:sz w:val="16"/>
              </w:rPr>
              <w:t>伽师县歌舞剧团2024年工作计划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CFBE8">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25BD1">
            <w:pPr>
              <w:jc w:val="center"/>
            </w:pPr>
            <w:r>
              <w:rPr>
                <w:rFonts w:ascii="宋体" w:hAnsi="宋体" w:eastAsia="宋体"/>
                <w:sz w:val="16"/>
              </w:rPr>
              <w:t>12个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9A5E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2BB52">
            <w:pPr>
              <w:jc w:val="center"/>
            </w:pPr>
            <w:r>
              <w:rPr>
                <w:rFonts w:ascii="宋体" w:hAnsi="宋体" w:eastAsia="宋体"/>
                <w:sz w:val="16"/>
              </w:rPr>
              <w:t>18</w:t>
            </w:r>
          </w:p>
        </w:tc>
      </w:tr>
    </w:tbl>
    <w:p w14:paraId="79F9EC37">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26"/>
        <w:gridCol w:w="856"/>
        <w:gridCol w:w="615"/>
        <w:gridCol w:w="615"/>
        <w:gridCol w:w="621"/>
        <w:gridCol w:w="615"/>
        <w:gridCol w:w="621"/>
        <w:gridCol w:w="776"/>
        <w:gridCol w:w="632"/>
        <w:gridCol w:w="595"/>
        <w:gridCol w:w="632"/>
      </w:tblGrid>
      <w:tr w14:paraId="2C92698F">
        <w:tblPrEx>
          <w:tblCellMar>
            <w:top w:w="0" w:type="dxa"/>
            <w:left w:w="108" w:type="dxa"/>
            <w:bottom w:w="0" w:type="dxa"/>
            <w:right w:w="108" w:type="dxa"/>
          </w:tblCellMar>
        </w:tblPrEx>
        <w:tc>
          <w:tcPr>
            <w:tcW w:w="8848" w:type="dxa"/>
            <w:gridSpan w:val="14"/>
            <w:vAlign w:val="center"/>
          </w:tcPr>
          <w:p w14:paraId="2A30E4D1">
            <w:pPr>
              <w:jc w:val="center"/>
            </w:pPr>
            <w:r>
              <w:rPr>
                <w:rFonts w:ascii="宋体" w:hAnsi="宋体" w:eastAsia="宋体"/>
                <w:sz w:val="24"/>
              </w:rPr>
              <w:t>项目支出绩效自评表</w:t>
            </w:r>
          </w:p>
        </w:tc>
      </w:tr>
      <w:tr w14:paraId="47A961B9">
        <w:tblPrEx>
          <w:tblCellMar>
            <w:top w:w="0" w:type="dxa"/>
            <w:left w:w="108" w:type="dxa"/>
            <w:bottom w:w="0" w:type="dxa"/>
            <w:right w:w="108" w:type="dxa"/>
          </w:tblCellMar>
        </w:tblPrEx>
        <w:tc>
          <w:tcPr>
            <w:tcW w:w="8848" w:type="dxa"/>
            <w:gridSpan w:val="14"/>
            <w:vAlign w:val="center"/>
          </w:tcPr>
          <w:p w14:paraId="30B6ADD0">
            <w:pPr>
              <w:jc w:val="center"/>
            </w:pPr>
            <w:r>
              <w:rPr>
                <w:rFonts w:ascii="宋体" w:hAnsi="宋体" w:eastAsia="宋体"/>
                <w:sz w:val="24"/>
              </w:rPr>
              <w:t>(2024年度)</w:t>
            </w:r>
          </w:p>
        </w:tc>
      </w:tr>
      <w:tr w14:paraId="37C3BC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7E32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CBFC5B0">
            <w:pPr>
              <w:jc w:val="center"/>
            </w:pPr>
            <w:r>
              <w:rPr>
                <w:rFonts w:ascii="宋体" w:hAnsi="宋体" w:eastAsia="宋体"/>
                <w:sz w:val="16"/>
              </w:rPr>
              <w:t>伽师县歌舞剧团2024年下乡演出活动经费项目</w:t>
            </w:r>
          </w:p>
        </w:tc>
      </w:tr>
      <w:tr w14:paraId="789CFF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DF71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899BF6">
            <w:pPr>
              <w:jc w:val="center"/>
            </w:pPr>
            <w:r>
              <w:rPr>
                <w:rFonts w:ascii="宋体" w:hAnsi="宋体" w:eastAsia="宋体"/>
                <w:sz w:val="16"/>
              </w:rPr>
              <w:t>伽师县文化体育广播电视和旅游局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F7A1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CDDD2F">
            <w:pPr>
              <w:jc w:val="center"/>
            </w:pPr>
            <w:r>
              <w:rPr>
                <w:rFonts w:ascii="宋体" w:hAnsi="宋体" w:eastAsia="宋体"/>
                <w:sz w:val="16"/>
              </w:rPr>
              <w:t>伽师县歌舞剧团</w:t>
            </w:r>
          </w:p>
        </w:tc>
      </w:tr>
      <w:tr w14:paraId="3D2BCD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00B88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BE6A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FD4B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DA3F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7A2B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CBD1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59C4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83641">
            <w:pPr>
              <w:jc w:val="center"/>
            </w:pPr>
            <w:r>
              <w:rPr>
                <w:rFonts w:ascii="宋体" w:hAnsi="宋体" w:eastAsia="宋体"/>
                <w:sz w:val="16"/>
              </w:rPr>
              <w:t>得分</w:t>
            </w:r>
          </w:p>
        </w:tc>
      </w:tr>
      <w:tr w14:paraId="74143A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AA2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3227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78637">
            <w:pPr>
              <w:jc w:val="center"/>
            </w:pPr>
            <w:r>
              <w:rPr>
                <w:rFonts w:ascii="宋体" w:hAnsi="宋体" w:eastAsia="宋体"/>
                <w:sz w:val="16"/>
              </w:rPr>
              <w:t>32.50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56C6F">
            <w:pPr>
              <w:jc w:val="center"/>
            </w:pPr>
            <w:r>
              <w:rPr>
                <w:rFonts w:ascii="宋体" w:hAnsi="宋体" w:eastAsia="宋体"/>
                <w:sz w:val="16"/>
              </w:rPr>
              <w:t>32.50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1291D">
            <w:pPr>
              <w:jc w:val="center"/>
            </w:pPr>
            <w:r>
              <w:rPr>
                <w:rFonts w:ascii="宋体" w:hAnsi="宋体" w:eastAsia="宋体"/>
                <w:sz w:val="16"/>
              </w:rPr>
              <w:t>32.50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5C9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21F2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53401">
            <w:pPr>
              <w:jc w:val="center"/>
            </w:pPr>
            <w:r>
              <w:rPr>
                <w:rFonts w:ascii="宋体" w:hAnsi="宋体" w:eastAsia="宋体"/>
                <w:sz w:val="16"/>
              </w:rPr>
              <w:t>10.00分</w:t>
            </w:r>
          </w:p>
        </w:tc>
      </w:tr>
      <w:tr w14:paraId="2D339C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174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9415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F1D0F">
            <w:pPr>
              <w:jc w:val="center"/>
            </w:pPr>
            <w:r>
              <w:rPr>
                <w:rFonts w:ascii="宋体" w:hAnsi="宋体" w:eastAsia="宋体"/>
                <w:sz w:val="16"/>
              </w:rPr>
              <w:t>32.50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B831A">
            <w:pPr>
              <w:jc w:val="center"/>
            </w:pPr>
            <w:r>
              <w:rPr>
                <w:rFonts w:ascii="宋体" w:hAnsi="宋体" w:eastAsia="宋体"/>
                <w:sz w:val="16"/>
              </w:rPr>
              <w:t>32.50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30D7B">
            <w:pPr>
              <w:jc w:val="center"/>
            </w:pPr>
            <w:r>
              <w:rPr>
                <w:rFonts w:ascii="宋体" w:hAnsi="宋体" w:eastAsia="宋体"/>
                <w:sz w:val="16"/>
              </w:rPr>
              <w:t>32.50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2BAD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911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2478C">
            <w:pPr>
              <w:jc w:val="center"/>
            </w:pPr>
            <w:r>
              <w:rPr>
                <w:rFonts w:ascii="宋体" w:hAnsi="宋体" w:eastAsia="宋体"/>
                <w:sz w:val="16"/>
              </w:rPr>
              <w:t>—</w:t>
            </w:r>
          </w:p>
        </w:tc>
      </w:tr>
      <w:tr w14:paraId="4115D8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E2F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10A5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D69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44D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AEF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EB37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7E6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1D8DC">
            <w:pPr>
              <w:jc w:val="center"/>
            </w:pPr>
            <w:r>
              <w:rPr>
                <w:rFonts w:ascii="宋体" w:hAnsi="宋体" w:eastAsia="宋体"/>
                <w:sz w:val="16"/>
              </w:rPr>
              <w:t>—</w:t>
            </w:r>
          </w:p>
        </w:tc>
      </w:tr>
      <w:tr w14:paraId="797FB3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D904B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573AA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7CB512">
            <w:pPr>
              <w:jc w:val="center"/>
            </w:pPr>
            <w:r>
              <w:rPr>
                <w:rFonts w:ascii="宋体" w:hAnsi="宋体" w:eastAsia="宋体"/>
                <w:sz w:val="16"/>
              </w:rPr>
              <w:t>实际完成情况</w:t>
            </w:r>
          </w:p>
        </w:tc>
      </w:tr>
      <w:tr w14:paraId="3FBE36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20997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E61B04">
            <w:pPr>
              <w:jc w:val="both"/>
            </w:pPr>
            <w:r>
              <w:rPr>
                <w:rFonts w:ascii="宋体" w:hAnsi="宋体" w:eastAsia="宋体"/>
                <w:sz w:val="16"/>
              </w:rPr>
              <w:t>该项目根据喀地财教</w:t>
            </w:r>
            <w:bookmarkStart w:id="0" w:name="_GoBack"/>
            <w:r>
              <w:rPr>
                <w:rFonts w:hint="eastAsia" w:ascii="宋体" w:hAnsi="宋体"/>
                <w:sz w:val="16"/>
                <w:lang w:eastAsia="zh-CN"/>
              </w:rPr>
              <w:t>〔2023〕58号</w:t>
            </w:r>
            <w:bookmarkEnd w:id="0"/>
            <w:r>
              <w:rPr>
                <w:rFonts w:ascii="宋体" w:hAnsi="宋体" w:eastAsia="宋体"/>
                <w:sz w:val="16"/>
              </w:rPr>
              <w:t>下达预算资金32.5万元，用于在伽师县 325个村社区(上半年完成150个村社区，下半年完成175个村社区）的演出，通过演出，广泛宣传党和国家惠民政策，提高人民群众精神文化生活。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92B90F">
            <w:pPr>
              <w:jc w:val="both"/>
            </w:pPr>
            <w:r>
              <w:rPr>
                <w:rFonts w:ascii="宋体" w:hAnsi="宋体" w:eastAsia="宋体"/>
                <w:sz w:val="16"/>
              </w:rPr>
              <w:t>该项目预算资金32.5万元，截至2024年12月31日，本项目已支出32.5万元，主要用于伽师县13个乡镇325个村社区(上半年完成150个村社区，下半年完成175个村社区）的演出，年度完成送戏下乡演出65场，每场参演节目12个。演员下乡演出补助8万元、演出车辆加油维修维护费用7万元、演出设备、演员培训及节目创作费用17.50万元。通过公益性演出支持濒危剧种1种。通过演出，广泛宣传党和国家惠民政策，提高人民群众精神文化生活。</w:t>
            </w:r>
          </w:p>
        </w:tc>
      </w:tr>
      <w:tr w14:paraId="5FBFED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A315E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FB4C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B02F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4E32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D3C7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47F2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E78C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87B8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577F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6EC2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2E35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6AAC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462F7">
            <w:pPr>
              <w:jc w:val="center"/>
            </w:pPr>
            <w:r>
              <w:rPr>
                <w:rFonts w:ascii="宋体" w:hAnsi="宋体" w:eastAsia="宋体"/>
                <w:sz w:val="16"/>
              </w:rPr>
              <w:t>偏差原因分析及改进措施</w:t>
            </w:r>
          </w:p>
        </w:tc>
      </w:tr>
      <w:tr w14:paraId="33CC46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2F812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5470D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ADA89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616CE">
            <w:pPr>
              <w:jc w:val="center"/>
            </w:pPr>
            <w:r>
              <w:rPr>
                <w:rFonts w:ascii="宋体" w:hAnsi="宋体" w:eastAsia="宋体"/>
                <w:sz w:val="16"/>
              </w:rPr>
              <w:t>年度完成送戏下乡演出数量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6D1D9">
            <w:pPr>
              <w:jc w:val="center"/>
            </w:pPr>
            <w:r>
              <w:rPr>
                <w:rFonts w:ascii="宋体" w:hAnsi="宋体" w:eastAsia="宋体"/>
                <w:sz w:val="16"/>
              </w:rPr>
              <w:t>&gt;=65场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0AA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86C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EE89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947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D90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8D2A5">
            <w:pPr>
              <w:jc w:val="center"/>
            </w:pPr>
            <w:r>
              <w:rPr>
                <w:rFonts w:ascii="宋体" w:hAnsi="宋体" w:eastAsia="宋体"/>
                <w:sz w:val="16"/>
              </w:rPr>
              <w:t>=65场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810A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B0EAA">
            <w:pPr>
              <w:jc w:val="center"/>
            </w:pPr>
          </w:p>
        </w:tc>
      </w:tr>
      <w:tr w14:paraId="32EA29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4D0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0E2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09E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E3E35">
            <w:pPr>
              <w:jc w:val="center"/>
            </w:pPr>
            <w:r>
              <w:rPr>
                <w:rFonts w:ascii="宋体" w:hAnsi="宋体" w:eastAsia="宋体"/>
                <w:sz w:val="16"/>
              </w:rPr>
              <w:t>每场参演节目个数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B6448">
            <w:pPr>
              <w:jc w:val="center"/>
            </w:pPr>
            <w:r>
              <w:rPr>
                <w:rFonts w:ascii="宋体" w:hAnsi="宋体" w:eastAsia="宋体"/>
                <w:sz w:val="16"/>
              </w:rPr>
              <w:t>&gt;=12个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57D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646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BBBB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33F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49C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14758">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CB4C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8B018">
            <w:pPr>
              <w:jc w:val="center"/>
            </w:pPr>
          </w:p>
        </w:tc>
      </w:tr>
      <w:tr w14:paraId="773354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2DCA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C48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837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C2259">
            <w:pPr>
              <w:jc w:val="center"/>
            </w:pPr>
            <w:r>
              <w:rPr>
                <w:rFonts w:ascii="宋体" w:hAnsi="宋体" w:eastAsia="宋体"/>
                <w:sz w:val="16"/>
              </w:rPr>
              <w:t>通过公益性演出支持濒危剧种数量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5FAD8">
            <w:pPr>
              <w:jc w:val="center"/>
            </w:pPr>
            <w:r>
              <w:rPr>
                <w:rFonts w:ascii="宋体" w:hAnsi="宋体" w:eastAsia="宋体"/>
                <w:sz w:val="16"/>
              </w:rPr>
              <w:t>&gt;=1种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1F9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9D8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B8C6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CF2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4B3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68E5E">
            <w:pPr>
              <w:jc w:val="center"/>
            </w:pPr>
            <w:r>
              <w:rPr>
                <w:rFonts w:ascii="宋体" w:hAnsi="宋体" w:eastAsia="宋体"/>
                <w:sz w:val="16"/>
              </w:rPr>
              <w:t>=1种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2B40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94845">
            <w:pPr>
              <w:jc w:val="center"/>
            </w:pPr>
          </w:p>
        </w:tc>
      </w:tr>
      <w:tr w14:paraId="07D27D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C1E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C0E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4D1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A5C4B">
            <w:pPr>
              <w:jc w:val="center"/>
            </w:pPr>
            <w:r>
              <w:rPr>
                <w:rFonts w:ascii="宋体" w:hAnsi="宋体" w:eastAsia="宋体"/>
                <w:sz w:val="16"/>
              </w:rPr>
              <w:t>戏曲进乡村覆盖的脱贫乡镇数量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D186D">
            <w:pPr>
              <w:jc w:val="center"/>
            </w:pPr>
            <w:r>
              <w:rPr>
                <w:rFonts w:ascii="宋体" w:hAnsi="宋体" w:eastAsia="宋体"/>
                <w:sz w:val="16"/>
              </w:rPr>
              <w:t>&gt;=13个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29D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8FC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4693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EA2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885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4B7FE">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A4E6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078F6">
            <w:pPr>
              <w:jc w:val="center"/>
            </w:pPr>
          </w:p>
        </w:tc>
      </w:tr>
      <w:tr w14:paraId="6F54A2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955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78D1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29BB7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728A8">
            <w:pPr>
              <w:jc w:val="center"/>
            </w:pPr>
            <w:r>
              <w:rPr>
                <w:rFonts w:ascii="宋体" w:hAnsi="宋体" w:eastAsia="宋体"/>
                <w:sz w:val="16"/>
              </w:rPr>
              <w:t>濒危剧种演出传统经典作品场次占比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A13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684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86E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9B12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F22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655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F47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46DA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3460E">
            <w:pPr>
              <w:jc w:val="center"/>
            </w:pPr>
          </w:p>
        </w:tc>
      </w:tr>
      <w:tr w14:paraId="117C3B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1780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27CA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A18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509D7">
            <w:pPr>
              <w:jc w:val="center"/>
            </w:pPr>
            <w:r>
              <w:rPr>
                <w:rFonts w:ascii="宋体" w:hAnsi="宋体" w:eastAsia="宋体"/>
                <w:sz w:val="16"/>
              </w:rPr>
              <w:t>戏曲进乡村演出节目中地方戏曲曲目占比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5EFE4">
            <w:pPr>
              <w:jc w:val="center"/>
            </w:pPr>
            <w:r>
              <w:rPr>
                <w:rFonts w:ascii="宋体" w:hAnsi="宋体" w:eastAsia="宋体"/>
                <w:sz w:val="16"/>
              </w:rPr>
              <w:t>&gt;=91.67%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D6A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19D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D48A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628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4E9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BF8D5">
            <w:pPr>
              <w:jc w:val="center"/>
            </w:pPr>
            <w:r>
              <w:rPr>
                <w:rFonts w:ascii="宋体" w:hAnsi="宋体" w:eastAsia="宋体"/>
                <w:sz w:val="16"/>
              </w:rPr>
              <w:t>=91.67%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6B82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5D0F7">
            <w:pPr>
              <w:jc w:val="center"/>
            </w:pPr>
          </w:p>
        </w:tc>
      </w:tr>
      <w:tr w14:paraId="0DDBF1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65C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086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96B2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48E2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9EF7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978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3BF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7CE7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C32A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1A1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FC79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1877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C85FA">
            <w:pPr>
              <w:jc w:val="center"/>
            </w:pPr>
          </w:p>
        </w:tc>
      </w:tr>
      <w:tr w14:paraId="59E25F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55E7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BF316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5245F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02740">
            <w:pPr>
              <w:jc w:val="center"/>
            </w:pPr>
            <w:r>
              <w:rPr>
                <w:rFonts w:ascii="宋体" w:hAnsi="宋体" w:eastAsia="宋体"/>
                <w:sz w:val="16"/>
              </w:rPr>
              <w:t>演员下乡演出补助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AF880">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87E6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5A9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629F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41D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88F5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18D7B">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8295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62018">
            <w:pPr>
              <w:jc w:val="center"/>
            </w:pPr>
          </w:p>
        </w:tc>
      </w:tr>
      <w:tr w14:paraId="01EC54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608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B24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F64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1CB91">
            <w:pPr>
              <w:jc w:val="center"/>
            </w:pPr>
            <w:r>
              <w:rPr>
                <w:rFonts w:ascii="宋体" w:hAnsi="宋体" w:eastAsia="宋体"/>
                <w:sz w:val="16"/>
              </w:rPr>
              <w:t>演出车辆加油维修维护费用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B6C24">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D4A7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5BB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B9B1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A2C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15805">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9BAAE">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7DE99">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C6A5C">
            <w:pPr>
              <w:jc w:val="center"/>
            </w:pPr>
          </w:p>
        </w:tc>
      </w:tr>
      <w:tr w14:paraId="2345C6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F69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2A8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277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9BD0C">
            <w:pPr>
              <w:jc w:val="center"/>
            </w:pPr>
            <w:r>
              <w:rPr>
                <w:rFonts w:ascii="宋体" w:hAnsi="宋体" w:eastAsia="宋体"/>
                <w:sz w:val="16"/>
              </w:rPr>
              <w:t>演出设备、演员培训及节目创作费用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49A80">
            <w:pPr>
              <w:jc w:val="center"/>
            </w:pPr>
            <w:r>
              <w:rPr>
                <w:rFonts w:ascii="宋体" w:hAnsi="宋体" w:eastAsia="宋体"/>
                <w:sz w:val="16"/>
              </w:rPr>
              <w:t>&lt;=17.50万元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5190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31B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739A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2C1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E779F">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8FC31">
            <w:pPr>
              <w:jc w:val="center"/>
            </w:pPr>
            <w:r>
              <w:rPr>
                <w:rFonts w:ascii="宋体" w:hAnsi="宋体" w:eastAsia="宋体"/>
                <w:sz w:val="16"/>
              </w:rPr>
              <w:t>=17.5万元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A22C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EA10E">
            <w:pPr>
              <w:jc w:val="center"/>
            </w:pPr>
          </w:p>
        </w:tc>
      </w:tr>
      <w:tr w14:paraId="6B234D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2B4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6FD2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4FE6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3472A">
            <w:pPr>
              <w:jc w:val="center"/>
            </w:pPr>
            <w:r>
              <w:rPr>
                <w:rFonts w:ascii="宋体" w:hAnsi="宋体" w:eastAsia="宋体"/>
                <w:sz w:val="16"/>
              </w:rPr>
              <w:t>提高人民群众精神文化生活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F75C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7885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FFC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C39E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B380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154C4">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B13F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8DCA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EA6C6">
            <w:pPr>
              <w:jc w:val="center"/>
            </w:pPr>
          </w:p>
        </w:tc>
      </w:tr>
      <w:tr w14:paraId="7870D0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D5D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6313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F803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359F7">
            <w:pPr>
              <w:jc w:val="center"/>
            </w:pPr>
            <w:r>
              <w:rPr>
                <w:rFonts w:ascii="宋体" w:hAnsi="宋体" w:eastAsia="宋体"/>
                <w:sz w:val="16"/>
              </w:rPr>
              <w:t>观众观看满意度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DEDC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CF1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E76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753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6F73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A2C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10A2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3AA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747F4">
            <w:pPr>
              <w:jc w:val="center"/>
            </w:pPr>
          </w:p>
        </w:tc>
      </w:tr>
      <w:tr w14:paraId="35F8001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3082C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23FA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82110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1246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57D3D18"/>
        </w:tc>
      </w:tr>
    </w:tbl>
    <w:p w14:paraId="1E900FEB">
      <w:r>
        <w:br w:type="page"/>
      </w:r>
    </w:p>
    <w:p w14:paraId="5EB0FB4B">
      <w:pPr>
        <w:spacing w:line="640" w:lineRule="exact"/>
        <w:ind w:firstLine="640"/>
        <w:jc w:val="both"/>
        <w:outlineLvl w:val="2"/>
      </w:pPr>
      <w:r>
        <w:rPr>
          <w:rFonts w:ascii="黑体" w:hAnsi="黑体" w:eastAsia="黑体"/>
          <w:sz w:val="32"/>
        </w:rPr>
        <w:t>十二、其他需说明的事项</w:t>
      </w:r>
    </w:p>
    <w:p w14:paraId="05B201C6">
      <w:pPr>
        <w:spacing w:line="580" w:lineRule="exact"/>
        <w:ind w:firstLine="640"/>
        <w:jc w:val="both"/>
      </w:pPr>
      <w:r>
        <w:rPr>
          <w:rFonts w:ascii="仿宋_GB2312" w:hAnsi="仿宋_GB2312" w:eastAsia="仿宋_GB2312"/>
          <w:b w:val="0"/>
          <w:sz w:val="32"/>
        </w:rPr>
        <w:t>本单位无其他需说明的事项。</w:t>
      </w:r>
    </w:p>
    <w:p w14:paraId="09AB15BC">
      <w:r>
        <w:br w:type="page"/>
      </w:r>
    </w:p>
    <w:p w14:paraId="3F76A543">
      <w:pPr>
        <w:spacing w:line="240" w:lineRule="auto"/>
        <w:jc w:val="center"/>
        <w:outlineLvl w:val="1"/>
      </w:pPr>
      <w:r>
        <w:rPr>
          <w:rFonts w:ascii="黑体" w:hAnsi="黑体" w:eastAsia="黑体"/>
          <w:sz w:val="32"/>
        </w:rPr>
        <w:t>第三部分 专业名词解释</w:t>
      </w:r>
    </w:p>
    <w:p w14:paraId="0E83916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27F949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C79698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33D1CB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38BB1D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BEF072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FC0F95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962A59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6B3CA2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15D49A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31CC26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EAE966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D659D8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D61C78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5EC59C1">
      <w:r>
        <w:br w:type="page"/>
      </w:r>
    </w:p>
    <w:p w14:paraId="50CD1B8F">
      <w:pPr>
        <w:spacing w:line="240" w:lineRule="auto"/>
        <w:jc w:val="center"/>
        <w:outlineLvl w:val="1"/>
      </w:pPr>
      <w:r>
        <w:rPr>
          <w:rFonts w:ascii="黑体" w:hAnsi="黑体" w:eastAsia="黑体"/>
          <w:sz w:val="32"/>
        </w:rPr>
        <w:t>第四部分 部门决算报表（见附表）</w:t>
      </w:r>
    </w:p>
    <w:p w14:paraId="3017B8B5">
      <w:pPr>
        <w:spacing w:line="240" w:lineRule="auto"/>
        <w:ind w:firstLine="640"/>
        <w:jc w:val="both"/>
      </w:pPr>
      <w:r>
        <w:rPr>
          <w:rFonts w:ascii="仿宋_GB2312" w:hAnsi="仿宋_GB2312" w:eastAsia="仿宋_GB2312"/>
          <w:b w:val="0"/>
          <w:sz w:val="32"/>
        </w:rPr>
        <w:t>一、《收入支出决算总表》</w:t>
      </w:r>
    </w:p>
    <w:p w14:paraId="58895CF7">
      <w:pPr>
        <w:spacing w:line="240" w:lineRule="auto"/>
        <w:ind w:firstLine="640"/>
        <w:jc w:val="both"/>
      </w:pPr>
      <w:r>
        <w:rPr>
          <w:rFonts w:ascii="仿宋_GB2312" w:hAnsi="仿宋_GB2312" w:eastAsia="仿宋_GB2312"/>
          <w:b w:val="0"/>
          <w:sz w:val="32"/>
        </w:rPr>
        <w:t>二、《收入决算表》</w:t>
      </w:r>
    </w:p>
    <w:p w14:paraId="643D145D">
      <w:pPr>
        <w:spacing w:line="240" w:lineRule="auto"/>
        <w:ind w:firstLine="640"/>
        <w:jc w:val="both"/>
      </w:pPr>
      <w:r>
        <w:rPr>
          <w:rFonts w:ascii="仿宋_GB2312" w:hAnsi="仿宋_GB2312" w:eastAsia="仿宋_GB2312"/>
          <w:b w:val="0"/>
          <w:sz w:val="32"/>
        </w:rPr>
        <w:t>三、《支出决算表》</w:t>
      </w:r>
    </w:p>
    <w:p w14:paraId="2FCFCB33">
      <w:pPr>
        <w:spacing w:line="240" w:lineRule="auto"/>
        <w:ind w:firstLine="640"/>
        <w:jc w:val="both"/>
      </w:pPr>
      <w:r>
        <w:rPr>
          <w:rFonts w:ascii="仿宋_GB2312" w:hAnsi="仿宋_GB2312" w:eastAsia="仿宋_GB2312"/>
          <w:b w:val="0"/>
          <w:sz w:val="32"/>
        </w:rPr>
        <w:t>四、《财政拨款收入支出决算总表》</w:t>
      </w:r>
    </w:p>
    <w:p w14:paraId="0BEE9A23">
      <w:pPr>
        <w:spacing w:line="240" w:lineRule="auto"/>
        <w:ind w:firstLine="640"/>
        <w:jc w:val="both"/>
      </w:pPr>
      <w:r>
        <w:rPr>
          <w:rFonts w:ascii="仿宋_GB2312" w:hAnsi="仿宋_GB2312" w:eastAsia="仿宋_GB2312"/>
          <w:b w:val="0"/>
          <w:sz w:val="32"/>
        </w:rPr>
        <w:t>五、《一般公共预算财政拨款支出决算表》</w:t>
      </w:r>
    </w:p>
    <w:p w14:paraId="0DCBE30A">
      <w:pPr>
        <w:spacing w:line="240" w:lineRule="auto"/>
        <w:ind w:firstLine="640"/>
        <w:jc w:val="both"/>
      </w:pPr>
      <w:r>
        <w:rPr>
          <w:rFonts w:ascii="仿宋_GB2312" w:hAnsi="仿宋_GB2312" w:eastAsia="仿宋_GB2312"/>
          <w:b w:val="0"/>
          <w:sz w:val="32"/>
        </w:rPr>
        <w:t>六、《一般公共预算财政拨款基本支出决算表》</w:t>
      </w:r>
    </w:p>
    <w:p w14:paraId="26A306F3">
      <w:pPr>
        <w:spacing w:line="240" w:lineRule="auto"/>
        <w:ind w:firstLine="640"/>
        <w:jc w:val="both"/>
      </w:pPr>
      <w:r>
        <w:rPr>
          <w:rFonts w:ascii="仿宋_GB2312" w:hAnsi="仿宋_GB2312" w:eastAsia="仿宋_GB2312"/>
          <w:b w:val="0"/>
          <w:sz w:val="32"/>
        </w:rPr>
        <w:t>七、《政府性基金预算财政拨款收入支出决算表》</w:t>
      </w:r>
    </w:p>
    <w:p w14:paraId="204C2AA0">
      <w:pPr>
        <w:spacing w:line="240" w:lineRule="auto"/>
        <w:ind w:firstLine="640"/>
        <w:jc w:val="both"/>
      </w:pPr>
      <w:r>
        <w:rPr>
          <w:rFonts w:ascii="仿宋_GB2312" w:hAnsi="仿宋_GB2312" w:eastAsia="仿宋_GB2312"/>
          <w:b w:val="0"/>
          <w:sz w:val="32"/>
        </w:rPr>
        <w:t>八、《国有资本经营预算财政拨款收入支出决算表》</w:t>
      </w:r>
    </w:p>
    <w:p w14:paraId="4037F10D">
      <w:pPr>
        <w:spacing w:line="240" w:lineRule="auto"/>
        <w:ind w:firstLine="640"/>
        <w:jc w:val="both"/>
      </w:pPr>
      <w:r>
        <w:rPr>
          <w:rFonts w:ascii="仿宋_GB2312" w:hAnsi="仿宋_GB2312" w:eastAsia="仿宋_GB2312"/>
          <w:b w:val="0"/>
          <w:sz w:val="32"/>
        </w:rPr>
        <w:t>九、《财政拨款“三公”经费支出决算表》</w:t>
      </w:r>
    </w:p>
    <w:p w14:paraId="7A67B128">
      <w:pPr>
        <w:spacing w:line="240" w:lineRule="auto"/>
        <w:ind w:firstLine="640"/>
        <w:jc w:val="both"/>
      </w:pPr>
    </w:p>
    <w:p w14:paraId="4CD315D3">
      <w:pPr>
        <w:spacing w:line="240" w:lineRule="auto"/>
        <w:ind w:firstLine="640"/>
        <w:jc w:val="both"/>
      </w:pPr>
    </w:p>
    <w:p w14:paraId="7C43D360">
      <w:pPr>
        <w:spacing w:line="240" w:lineRule="auto"/>
        <w:ind w:firstLine="640"/>
        <w:jc w:val="both"/>
      </w:pPr>
    </w:p>
    <w:p w14:paraId="777F4D22">
      <w:pPr>
        <w:spacing w:line="240" w:lineRule="auto"/>
        <w:ind w:firstLine="640"/>
        <w:jc w:val="both"/>
      </w:pPr>
    </w:p>
    <w:p w14:paraId="5881C0C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228437A-4D16-4C74-9394-E18D55CF79D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3C37BD28-AD4E-4120-B04B-F4A9158F8180}"/>
  </w:font>
  <w:font w:name="楷体_GB2312">
    <w:panose1 w:val="02010609030101010101"/>
    <w:charset w:val="86"/>
    <w:family w:val="auto"/>
    <w:pitch w:val="default"/>
    <w:sig w:usb0="00000001" w:usb1="080E0000" w:usb2="00000000" w:usb3="00000000" w:csb0="00040000" w:csb1="00000000"/>
    <w:embedRegular r:id="rId3" w:fontKey="{AF5D5032-1F49-4AA6-97B5-5FDFA35EAC87}"/>
  </w:font>
  <w:font w:name="方正小标宋_GBK">
    <w:panose1 w:val="02000000000000000000"/>
    <w:charset w:val="86"/>
    <w:family w:val="script"/>
    <w:pitch w:val="default"/>
    <w:sig w:usb0="A00002BF" w:usb1="38CF7CFA" w:usb2="00082016" w:usb3="00000000" w:csb0="00040001" w:csb1="00000000"/>
    <w:embedRegular r:id="rId4" w:fontKey="{56C4929E-BFB1-4340-B04A-7028D27EE45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DD07C04"/>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4210</Words>
  <Characters>4790</Characters>
  <Lines>0</Lines>
  <Paragraphs>0</Paragraphs>
  <TotalTime>11</TotalTime>
  <ScaleCrop>false</ScaleCrop>
  <LinksUpToDate>false</LinksUpToDate>
  <CharactersWithSpaces>4798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2025-09-17T04:06:56Z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