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伽师县特殊教育学校2024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39B19AA">
      <w:r>
        <w:br w:type="page"/>
      </w:r>
    </w:p>
    <w:p w14:paraId="013F3EA9">
      <w:pPr>
        <w:spacing w:line="640" w:lineRule="exact"/>
        <w:jc w:val="center"/>
        <w:outlineLvl w:val="1"/>
      </w:pPr>
      <w:r>
        <w:rPr>
          <w:rFonts w:ascii="黑体" w:hAnsi="黑体" w:eastAsia="黑体"/>
          <w:sz w:val="32"/>
        </w:rPr>
        <w:t>第一部分 单位概况</w:t>
      </w:r>
    </w:p>
    <w:p w14:paraId="76F1B5EF">
      <w:pPr>
        <w:spacing w:line="640" w:lineRule="exact"/>
        <w:ind w:firstLine="640"/>
        <w:jc w:val="both"/>
        <w:outlineLvl w:val="2"/>
      </w:pPr>
      <w:r>
        <w:rPr>
          <w:rFonts w:ascii="黑体" w:hAnsi="黑体" w:eastAsia="黑体"/>
          <w:sz w:val="32"/>
        </w:rPr>
        <w:t>一、主要职能</w:t>
      </w:r>
    </w:p>
    <w:p w14:paraId="795348A6">
      <w:pPr>
        <w:spacing w:line="580" w:lineRule="exact"/>
        <w:ind w:firstLine="640"/>
        <w:jc w:val="both"/>
      </w:pPr>
      <w:r>
        <w:rPr>
          <w:rFonts w:ascii="仿宋_GB2312" w:hAnsi="仿宋_GB2312" w:eastAsia="仿宋_GB2312"/>
          <w:sz w:val="32"/>
        </w:rPr>
        <w:t>（1）负责贯彻党的教育方针，坚持社会主义办学方向，对学生进行德育、智育、体育、美育和劳动教育等方面的教育。</w:t>
      </w:r>
    </w:p>
    <w:p w14:paraId="1BC33A94">
      <w:pPr>
        <w:spacing w:line="580" w:lineRule="exact"/>
        <w:ind w:firstLine="640"/>
        <w:jc w:val="both"/>
      </w:pPr>
      <w:r>
        <w:rPr>
          <w:rFonts w:ascii="仿宋_GB2312" w:hAnsi="仿宋_GB2312" w:eastAsia="仿宋_GB2312"/>
          <w:sz w:val="32"/>
        </w:rPr>
        <w:t>（2）负责配合各级人民政府依法动员适龄儿童、少年入学，严格控制学生辍学，依法保证适龄儿童、少年接受九年义务教育。</w:t>
      </w:r>
    </w:p>
    <w:p w14:paraId="5338E9B2">
      <w:pPr>
        <w:spacing w:line="580" w:lineRule="exact"/>
        <w:ind w:firstLine="640"/>
        <w:jc w:val="both"/>
      </w:pPr>
      <w:r>
        <w:rPr>
          <w:rFonts w:ascii="仿宋_GB2312" w:hAnsi="仿宋_GB2312" w:eastAsia="仿宋_GB2312"/>
          <w:sz w:val="32"/>
        </w:rPr>
        <w:t>（3）负责制定学校教育发展规划，并抓好组织实施和落实工作。</w:t>
      </w:r>
    </w:p>
    <w:p w14:paraId="789D0F99">
      <w:pPr>
        <w:spacing w:line="580" w:lineRule="exact"/>
        <w:ind w:firstLine="640"/>
        <w:jc w:val="both"/>
      </w:pPr>
      <w:r>
        <w:rPr>
          <w:rFonts w:ascii="仿宋_GB2312" w:hAnsi="仿宋_GB2312" w:eastAsia="仿宋_GB2312"/>
          <w:sz w:val="32"/>
        </w:rPr>
        <w:t>（4）负责按照教育主管部门发布的指导性教学计划、教学大纲，组织实施教育教学活动。</w:t>
      </w:r>
    </w:p>
    <w:p w14:paraId="60A18B20">
      <w:pPr>
        <w:spacing w:line="580" w:lineRule="exact"/>
        <w:ind w:firstLine="640"/>
        <w:jc w:val="both"/>
      </w:pPr>
      <w:r>
        <w:rPr>
          <w:rFonts w:ascii="仿宋_GB2312" w:hAnsi="仿宋_GB2312" w:eastAsia="仿宋_GB2312"/>
          <w:sz w:val="32"/>
        </w:rPr>
        <w:t>（5）负责依据国家主管部门有关教学计划、课程设置等方面的规定，决定和实施本校的教学计划，组织教学评比、集体备课，对学生进行考核、考试等。</w:t>
      </w:r>
    </w:p>
    <w:p w14:paraId="4B36D10E">
      <w:pPr>
        <w:spacing w:line="580" w:lineRule="exact"/>
        <w:ind w:firstLine="640"/>
        <w:jc w:val="both"/>
      </w:pPr>
      <w:r>
        <w:rPr>
          <w:rFonts w:ascii="仿宋_GB2312" w:hAnsi="仿宋_GB2312" w:eastAsia="仿宋_GB2312"/>
          <w:sz w:val="32"/>
        </w:rPr>
        <w:t>（6）负责学籍管理。</w:t>
      </w:r>
    </w:p>
    <w:p w14:paraId="25BE7972">
      <w:pPr>
        <w:spacing w:line="580" w:lineRule="exact"/>
        <w:ind w:firstLine="640"/>
        <w:jc w:val="both"/>
      </w:pPr>
      <w:r>
        <w:rPr>
          <w:rFonts w:ascii="仿宋_GB2312" w:hAnsi="仿宋_GB2312" w:eastAsia="仿宋_GB2312"/>
          <w:sz w:val="32"/>
        </w:rPr>
        <w:t>（7）负责聘任、培训、考核教师，依法奖励或处分有关教师和职工。</w:t>
      </w:r>
    </w:p>
    <w:p w14:paraId="7F75EF48">
      <w:pPr>
        <w:spacing w:line="580" w:lineRule="exact"/>
        <w:ind w:firstLine="640"/>
        <w:jc w:val="both"/>
      </w:pPr>
      <w:r>
        <w:rPr>
          <w:rFonts w:ascii="仿宋_GB2312" w:hAnsi="仿宋_GB2312" w:eastAsia="仿宋_GB2312"/>
          <w:sz w:val="32"/>
        </w:rPr>
        <w:t>（8）负责科学管理、合理使用学校的设施和经费，并积极筹措资金，改善办学条件。</w:t>
      </w:r>
    </w:p>
    <w:p w14:paraId="0C5DB4B6">
      <w:pPr>
        <w:spacing w:line="580" w:lineRule="exact"/>
        <w:ind w:firstLine="640"/>
        <w:jc w:val="both"/>
      </w:pPr>
      <w:r>
        <w:rPr>
          <w:rFonts w:ascii="仿宋_GB2312" w:hAnsi="仿宋_GB2312" w:eastAsia="仿宋_GB2312"/>
          <w:sz w:val="32"/>
        </w:rPr>
        <w:t>（9）负责维护学校、师生的合法权益，有权拒绝任何组织和个人对教育教学活动进行非法干涉。</w:t>
      </w:r>
    </w:p>
    <w:p w14:paraId="06DF6B68">
      <w:pPr>
        <w:spacing w:line="580" w:lineRule="exact"/>
        <w:ind w:firstLine="640"/>
        <w:jc w:val="both"/>
      </w:pPr>
      <w:r>
        <w:rPr>
          <w:rFonts w:ascii="仿宋_GB2312" w:hAnsi="仿宋_GB2312" w:eastAsia="仿宋_GB2312"/>
          <w:sz w:val="32"/>
        </w:rPr>
        <w:t>（10）依法接受各级教育行政部门的检查指导和人民群众的监督。</w:t>
      </w:r>
    </w:p>
    <w:p w14:paraId="12F1376B">
      <w:pPr>
        <w:spacing w:line="640" w:lineRule="exact"/>
        <w:ind w:firstLine="640"/>
        <w:jc w:val="both"/>
        <w:outlineLvl w:val="2"/>
      </w:pPr>
      <w:r>
        <w:rPr>
          <w:rFonts w:ascii="黑体" w:hAnsi="黑体" w:eastAsia="黑体"/>
          <w:sz w:val="32"/>
        </w:rPr>
        <w:t>二、机构设置及人员情况</w:t>
      </w:r>
    </w:p>
    <w:p w14:paraId="10D1A761">
      <w:pPr>
        <w:spacing w:line="580" w:lineRule="exact"/>
        <w:ind w:firstLine="640"/>
        <w:jc w:val="both"/>
      </w:pPr>
      <w:r>
        <w:rPr>
          <w:rFonts w:ascii="仿宋_GB2312" w:hAnsi="仿宋_GB2312" w:eastAsia="仿宋_GB2312"/>
          <w:sz w:val="32"/>
        </w:rPr>
        <w:t>伽师县特殊教育学校2024年度，实有人数15人，其中：在职人员15人，增加0人；离休人员0人，增加0人；退休人员0人,增加0人。</w:t>
      </w:r>
    </w:p>
    <w:p w14:paraId="3C0D79C2">
      <w:pPr>
        <w:spacing w:line="580" w:lineRule="exact"/>
        <w:ind w:firstLine="640"/>
        <w:jc w:val="both"/>
      </w:pPr>
      <w:r>
        <w:rPr>
          <w:rFonts w:ascii="仿宋_GB2312" w:hAnsi="仿宋_GB2312" w:eastAsia="仿宋_GB2312"/>
          <w:sz w:val="32"/>
        </w:rPr>
        <w:t>伽师县特殊教育学校无下属预算单位，下设8个科室，分别是：德育办公室、总务办公室、教务办公室、医务室、工会妇联办公室、财务室、群众办公室、少先大队活动室。</w:t>
      </w:r>
    </w:p>
    <w:p w14:paraId="72CD5B76">
      <w:r>
        <w:br w:type="page"/>
      </w:r>
    </w:p>
    <w:p w14:paraId="4856E0AE">
      <w:pPr>
        <w:spacing w:line="240" w:lineRule="auto"/>
        <w:jc w:val="center"/>
        <w:outlineLvl w:val="1"/>
      </w:pPr>
      <w:r>
        <w:rPr>
          <w:rFonts w:ascii="黑体" w:hAnsi="黑体" w:eastAsia="黑体"/>
          <w:sz w:val="32"/>
        </w:rPr>
        <w:t>第二部分 部门决算情况说明</w:t>
      </w:r>
    </w:p>
    <w:p w14:paraId="2CD31B8D">
      <w:pPr>
        <w:spacing w:line="640" w:lineRule="exact"/>
        <w:ind w:firstLine="640"/>
        <w:jc w:val="both"/>
        <w:outlineLvl w:val="2"/>
      </w:pPr>
      <w:r>
        <w:rPr>
          <w:rFonts w:ascii="黑体" w:hAnsi="黑体" w:eastAsia="黑体"/>
          <w:sz w:val="32"/>
        </w:rPr>
        <w:t>一、收入支出决算总体情况说明</w:t>
      </w:r>
    </w:p>
    <w:p w14:paraId="126366B3">
      <w:pPr>
        <w:spacing w:line="580" w:lineRule="exact"/>
        <w:ind w:firstLine="640"/>
        <w:jc w:val="both"/>
      </w:pPr>
      <w:r>
        <w:rPr>
          <w:rFonts w:ascii="仿宋_GB2312" w:hAnsi="仿宋_GB2312" w:eastAsia="仿宋_GB2312"/>
          <w:b/>
          <w:sz w:val="32"/>
        </w:rPr>
        <w:t>2024年度收入总计765.99万元，</w:t>
      </w:r>
      <w:r>
        <w:rPr>
          <w:rFonts w:ascii="仿宋_GB2312" w:hAnsi="仿宋_GB2312" w:eastAsia="仿宋_GB2312"/>
          <w:b w:val="0"/>
          <w:sz w:val="32"/>
        </w:rPr>
        <w:t>其中：本年收入合计765.99万元，使用非财政拨款结余（含专用结余）0.00万元，年初结转和结余0.00万元。</w:t>
      </w:r>
    </w:p>
    <w:p w14:paraId="0BFCA4CC">
      <w:pPr>
        <w:spacing w:line="580" w:lineRule="exact"/>
        <w:ind w:firstLine="640"/>
        <w:jc w:val="both"/>
      </w:pPr>
      <w:r>
        <w:rPr>
          <w:rFonts w:ascii="仿宋_GB2312" w:hAnsi="仿宋_GB2312" w:eastAsia="仿宋_GB2312"/>
          <w:b/>
          <w:sz w:val="32"/>
        </w:rPr>
        <w:t>2024年度支出总计765.99万元，</w:t>
      </w:r>
      <w:r>
        <w:rPr>
          <w:rFonts w:ascii="仿宋_GB2312" w:hAnsi="仿宋_GB2312" w:eastAsia="仿宋_GB2312"/>
          <w:b w:val="0"/>
          <w:sz w:val="32"/>
        </w:rPr>
        <w:t>其中：本年支出合计765.99万元，结余分配0.00万元，年末结转和结余0.00万元。</w:t>
      </w:r>
    </w:p>
    <w:p w14:paraId="6A759B8A">
      <w:pPr>
        <w:spacing w:line="580" w:lineRule="exact"/>
        <w:ind w:firstLine="640"/>
        <w:jc w:val="both"/>
      </w:pPr>
      <w:r>
        <w:rPr>
          <w:rFonts w:ascii="仿宋_GB2312" w:hAnsi="仿宋_GB2312" w:eastAsia="仿宋_GB2312"/>
          <w:b w:val="0"/>
          <w:sz w:val="32"/>
        </w:rPr>
        <w:t>收入支出总体与上年相比，减少32.13万元，下降4.03%，主要原因是：本年减少县聘教师人员工资，导致经费较上年减少。</w:t>
      </w:r>
    </w:p>
    <w:p w14:paraId="450A706B">
      <w:pPr>
        <w:spacing w:line="640" w:lineRule="exact"/>
        <w:ind w:firstLine="640"/>
        <w:jc w:val="both"/>
        <w:outlineLvl w:val="2"/>
      </w:pPr>
      <w:r>
        <w:rPr>
          <w:rFonts w:ascii="黑体" w:hAnsi="黑体" w:eastAsia="黑体"/>
          <w:sz w:val="32"/>
        </w:rPr>
        <w:t>二、收入决算情况说明</w:t>
      </w:r>
    </w:p>
    <w:p w14:paraId="6CEB3671">
      <w:pPr>
        <w:spacing w:line="580" w:lineRule="exact"/>
        <w:ind w:firstLine="640"/>
        <w:jc w:val="both"/>
      </w:pPr>
      <w:r>
        <w:rPr>
          <w:rFonts w:ascii="仿宋_GB2312" w:hAnsi="仿宋_GB2312" w:eastAsia="仿宋_GB2312"/>
          <w:b/>
          <w:sz w:val="32"/>
        </w:rPr>
        <w:t>本年收入765.99万元，</w:t>
      </w:r>
      <w:r>
        <w:rPr>
          <w:rFonts w:ascii="仿宋_GB2312" w:hAnsi="仿宋_GB2312" w:eastAsia="仿宋_GB2312"/>
          <w:b w:val="0"/>
          <w:sz w:val="32"/>
        </w:rPr>
        <w:t>其中：财政拨款收入438.70万元，占57.27%；上级补助收入0.00万元，占0.00%；事业收入0.00万元，占0.00%；经营收入0.00万元，占0.00%；附属单位上缴收入0.00万元，占0.00%；其他收入327.29万元，占42.73%。</w:t>
      </w:r>
    </w:p>
    <w:p w14:paraId="59C829C4">
      <w:pPr>
        <w:spacing w:line="640" w:lineRule="exact"/>
        <w:ind w:firstLine="640"/>
        <w:jc w:val="both"/>
        <w:outlineLvl w:val="2"/>
      </w:pPr>
      <w:r>
        <w:rPr>
          <w:rFonts w:ascii="黑体" w:hAnsi="黑体" w:eastAsia="黑体"/>
          <w:sz w:val="32"/>
        </w:rPr>
        <w:t>三、支出决算情况说明</w:t>
      </w:r>
    </w:p>
    <w:p w14:paraId="2C5F7236">
      <w:pPr>
        <w:spacing w:line="580" w:lineRule="exact"/>
        <w:ind w:firstLine="640"/>
        <w:jc w:val="both"/>
      </w:pPr>
      <w:r>
        <w:rPr>
          <w:rFonts w:ascii="仿宋_GB2312" w:hAnsi="仿宋_GB2312" w:eastAsia="仿宋_GB2312"/>
          <w:b/>
          <w:sz w:val="32"/>
        </w:rPr>
        <w:t>本年支出765.99万元，</w:t>
      </w:r>
      <w:r>
        <w:rPr>
          <w:rFonts w:ascii="仿宋_GB2312" w:hAnsi="仿宋_GB2312" w:eastAsia="仿宋_GB2312"/>
          <w:b w:val="0"/>
          <w:sz w:val="32"/>
        </w:rPr>
        <w:t>其中：基本支出217.80万元，占28.43%；项目支出548.20万元，占71.57%；上缴上级支出0.00万元，占0.00%；经营支出0.00万元，占0.00%；对附属单位补助支出0.00万元，占0.00%。</w:t>
      </w:r>
    </w:p>
    <w:p w14:paraId="0AC07C6A">
      <w:pPr>
        <w:spacing w:line="640" w:lineRule="exact"/>
        <w:ind w:firstLine="640"/>
        <w:jc w:val="both"/>
        <w:outlineLvl w:val="2"/>
      </w:pPr>
      <w:r>
        <w:rPr>
          <w:rFonts w:ascii="黑体" w:hAnsi="黑体" w:eastAsia="黑体"/>
          <w:sz w:val="32"/>
        </w:rPr>
        <w:t>四、财政拨款收入支出决算总体情况说明</w:t>
      </w:r>
    </w:p>
    <w:p w14:paraId="7686AF0D">
      <w:pPr>
        <w:spacing w:line="580" w:lineRule="exact"/>
        <w:ind w:firstLine="640"/>
        <w:jc w:val="both"/>
      </w:pPr>
      <w:r>
        <w:rPr>
          <w:rFonts w:ascii="仿宋_GB2312" w:hAnsi="仿宋_GB2312" w:eastAsia="仿宋_GB2312"/>
          <w:b/>
          <w:sz w:val="32"/>
        </w:rPr>
        <w:t>2024年度财政拨款收入总计438.70万元，</w:t>
      </w:r>
      <w:r>
        <w:rPr>
          <w:rFonts w:ascii="仿宋_GB2312" w:hAnsi="仿宋_GB2312" w:eastAsia="仿宋_GB2312"/>
          <w:b w:val="0"/>
          <w:sz w:val="32"/>
        </w:rPr>
        <w:t>其中：年初财政拨款结转和结余0.00万元，本年财政拨款收入438.70万元。</w:t>
      </w:r>
      <w:r>
        <w:rPr>
          <w:rFonts w:ascii="仿宋_GB2312" w:hAnsi="仿宋_GB2312" w:eastAsia="仿宋_GB2312"/>
          <w:b/>
          <w:sz w:val="32"/>
        </w:rPr>
        <w:t>财政拨款支出总计438.70万元，</w:t>
      </w:r>
      <w:r>
        <w:rPr>
          <w:rFonts w:ascii="仿宋_GB2312" w:hAnsi="仿宋_GB2312" w:eastAsia="仿宋_GB2312"/>
          <w:b w:val="0"/>
          <w:sz w:val="32"/>
        </w:rPr>
        <w:t>其中：年末财政拨款结转和结余0.00万元，本年财政拨款支出438.70万元。</w:t>
      </w:r>
    </w:p>
    <w:p w14:paraId="3358091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减少213.51万元，下降32.74%，主要原因是：本年减少县聘教师人员工资，导致经费较上年减少。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年初预算数532.68万元，决算数438.70万元，预决算差异率-17.64%，主要原因是：年中调减县聘教师人员工资（专项）项目资金，导致预决算存在差异。</w:t>
      </w:r>
    </w:p>
    <w:p w14:paraId="6279C973">
      <w:pPr>
        <w:spacing w:line="640" w:lineRule="exact"/>
        <w:ind w:firstLine="640"/>
        <w:jc w:val="both"/>
        <w:outlineLvl w:val="2"/>
      </w:pPr>
      <w:r>
        <w:rPr>
          <w:rFonts w:ascii="黑体" w:hAnsi="黑体" w:eastAsia="黑体"/>
          <w:sz w:val="32"/>
        </w:rPr>
        <w:t>五、一般公共预算财政拨款支出决算情况说明</w:t>
      </w:r>
    </w:p>
    <w:p w14:paraId="34F56712">
      <w:pPr>
        <w:spacing w:line="640" w:lineRule="exact"/>
        <w:ind w:firstLine="640"/>
        <w:jc w:val="both"/>
        <w:outlineLvl w:val="3"/>
      </w:pPr>
      <w:r>
        <w:rPr>
          <w:rFonts w:ascii="楷体_GB2312" w:hAnsi="楷体_GB2312" w:eastAsia="楷体_GB2312"/>
          <w:b/>
          <w:sz w:val="32"/>
        </w:rPr>
        <w:t>（一）一般公共预算财政拨款支出决算总体情况</w:t>
      </w:r>
    </w:p>
    <w:p w14:paraId="3057B26E">
      <w:pPr>
        <w:spacing w:line="580" w:lineRule="exact"/>
        <w:ind w:firstLine="640"/>
        <w:jc w:val="both"/>
      </w:pPr>
      <w:r>
        <w:rPr>
          <w:rFonts w:ascii="仿宋_GB2312" w:hAnsi="仿宋_GB2312" w:eastAsia="仿宋_GB2312"/>
          <w:b/>
          <w:sz w:val="32"/>
        </w:rPr>
        <w:t>2024年度一般公共预算财政拨款支出396.90万元，</w:t>
      </w:r>
      <w:r>
        <w:rPr>
          <w:rFonts w:ascii="仿宋_GB2312" w:hAnsi="仿宋_GB2312" w:eastAsia="仿宋_GB2312"/>
          <w:b w:val="0"/>
          <w:sz w:val="32"/>
        </w:rPr>
        <w:t>占本年支出合计的51.82%。</w:t>
      </w:r>
      <w:r>
        <w:rPr>
          <w:rFonts w:ascii="仿宋_GB2312" w:hAnsi="仿宋_GB2312" w:eastAsia="仿宋_GB2312"/>
          <w:b/>
          <w:sz w:val="32"/>
        </w:rPr>
        <w:t>与上年相比，</w:t>
      </w:r>
      <w:r>
        <w:rPr>
          <w:rFonts w:ascii="仿宋_GB2312" w:hAnsi="仿宋_GB2312" w:eastAsia="仿宋_GB2312"/>
          <w:b w:val="0"/>
          <w:sz w:val="32"/>
        </w:rPr>
        <w:t>减少255.31万元，下降39.15%，主要原因是：本年减少县聘教师人员工资，导致经费较上年减少。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年初预算数490.88万元，决算数396.90万元，预决算差异率-19.15%，主要原因是：年中调减县聘教师人员工资（专项）项目资金，导致预决算存在差异。</w:t>
      </w:r>
    </w:p>
    <w:p w14:paraId="22D4901A">
      <w:pPr>
        <w:spacing w:line="640" w:lineRule="exact"/>
        <w:ind w:firstLine="640"/>
        <w:jc w:val="both"/>
        <w:outlineLvl w:val="3"/>
      </w:pPr>
      <w:r>
        <w:rPr>
          <w:rFonts w:ascii="楷体_GB2312" w:hAnsi="楷体_GB2312" w:eastAsia="楷体_GB2312"/>
          <w:b/>
          <w:sz w:val="32"/>
        </w:rPr>
        <w:t>（二）一般公共预算财政拨款支出决算结构情况</w:t>
      </w:r>
    </w:p>
    <w:p w14:paraId="7CADAEFA">
      <w:pPr>
        <w:spacing w:line="580" w:lineRule="exact"/>
        <w:ind w:firstLine="640"/>
        <w:jc w:val="both"/>
      </w:pPr>
      <w:r>
        <w:rPr>
          <w:rFonts w:ascii="仿宋_GB2312" w:hAnsi="仿宋_GB2312" w:eastAsia="仿宋_GB2312"/>
          <w:b w:val="0"/>
          <w:sz w:val="32"/>
        </w:rPr>
        <w:t>1.教育支出(类)396.90万元,占100.00%。</w:t>
      </w:r>
    </w:p>
    <w:p w14:paraId="51ECBE37">
      <w:pPr>
        <w:spacing w:line="640" w:lineRule="exact"/>
        <w:ind w:firstLine="640"/>
        <w:jc w:val="both"/>
        <w:outlineLvl w:val="3"/>
      </w:pPr>
      <w:r>
        <w:rPr>
          <w:rFonts w:ascii="楷体_GB2312" w:hAnsi="楷体_GB2312" w:eastAsia="楷体_GB2312"/>
          <w:b/>
          <w:sz w:val="32"/>
        </w:rPr>
        <w:t>（三）一般公共预算财政拨款支出决算具体情况</w:t>
      </w:r>
    </w:p>
    <w:p w14:paraId="748975EA">
      <w:pPr>
        <w:spacing w:line="580" w:lineRule="exact"/>
        <w:ind w:firstLine="640"/>
        <w:jc w:val="both"/>
      </w:pPr>
      <w:r>
        <w:rPr>
          <w:rFonts w:ascii="仿宋_GB2312" w:hAnsi="仿宋_GB2312" w:eastAsia="仿宋_GB2312"/>
          <w:b w:val="0"/>
          <w:sz w:val="32"/>
        </w:rPr>
        <w:t>1.教育支出(类)普通教育(款)小学教育(项):支出决算数为22.97万元，比上年决算增加22.97万元，增长100.00%,主要原因是：本年度增加小学伽师县教育系统2024年城乡义务教育补助经费家庭经济困难学生生活补助（中央直达第二批）项目。</w:t>
      </w:r>
    </w:p>
    <w:p w14:paraId="50140081">
      <w:pPr>
        <w:spacing w:line="580" w:lineRule="exact"/>
        <w:ind w:firstLine="640"/>
        <w:jc w:val="both"/>
      </w:pPr>
      <w:r>
        <w:rPr>
          <w:rFonts w:ascii="仿宋_GB2312" w:hAnsi="仿宋_GB2312" w:eastAsia="仿宋_GB2312"/>
          <w:b w:val="0"/>
          <w:sz w:val="32"/>
        </w:rPr>
        <w:t>2.教育支出(类)普通教育(款)初中教育(项):支出决算数为1.45万元，比上年决算增加1.45万元，增长100.00%,主要原因是：本年度增加初中伽师县教育系统2024年城乡义务教育补助经费家庭经济困难学生生活补助（中央直达第二批）项目。</w:t>
      </w:r>
    </w:p>
    <w:p w14:paraId="41468CFC">
      <w:pPr>
        <w:spacing w:line="580" w:lineRule="exact"/>
        <w:ind w:firstLine="640"/>
        <w:jc w:val="both"/>
      </w:pPr>
      <w:r>
        <w:rPr>
          <w:rFonts w:ascii="仿宋_GB2312" w:hAnsi="仿宋_GB2312" w:eastAsia="仿宋_GB2312"/>
          <w:b w:val="0"/>
          <w:sz w:val="32"/>
        </w:rPr>
        <w:t>3.教育支出(类)特殊教育(款)特殊学校教育(项):支出决算数为372.48万元，比上年决算减少279.73万元，下降42.89%,主要原因是：本年减少县聘教师人员工资资金，导致经费较上年减少；本年伽师县城乡义务教育补助经费营养膳食补助较上年减少。</w:t>
      </w:r>
    </w:p>
    <w:p w14:paraId="6C7BA9EA">
      <w:pPr>
        <w:spacing w:line="640" w:lineRule="exact"/>
        <w:ind w:firstLine="640"/>
        <w:jc w:val="both"/>
        <w:outlineLvl w:val="2"/>
      </w:pPr>
      <w:r>
        <w:rPr>
          <w:rFonts w:ascii="黑体" w:hAnsi="黑体" w:eastAsia="黑体"/>
          <w:sz w:val="32"/>
        </w:rPr>
        <w:t>六、一般公共预算财政拨款基本支出决算情况说明</w:t>
      </w:r>
    </w:p>
    <w:p w14:paraId="6ADB5A67">
      <w:pPr>
        <w:spacing w:line="580" w:lineRule="exact"/>
        <w:ind w:firstLine="640"/>
        <w:jc w:val="both"/>
      </w:pPr>
      <w:r>
        <w:rPr>
          <w:rFonts w:ascii="仿宋_GB2312" w:hAnsi="仿宋_GB2312" w:eastAsia="仿宋_GB2312"/>
          <w:b w:val="0"/>
          <w:sz w:val="32"/>
        </w:rPr>
        <w:t>2024年度一般公共预算财政拨款基本支出217.80万元，其中：</w:t>
      </w:r>
      <w:r>
        <w:rPr>
          <w:rFonts w:ascii="仿宋_GB2312" w:hAnsi="仿宋_GB2312" w:eastAsia="仿宋_GB2312"/>
          <w:b/>
          <w:sz w:val="32"/>
        </w:rPr>
        <w:t>人员经费217.80万元，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5E6AD58A">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92AFF0A">
      <w:pPr>
        <w:spacing w:line="640" w:lineRule="exact"/>
        <w:ind w:firstLine="640"/>
        <w:jc w:val="both"/>
        <w:outlineLvl w:val="2"/>
      </w:pPr>
      <w:r>
        <w:rPr>
          <w:rFonts w:ascii="黑体" w:hAnsi="黑体" w:eastAsia="黑体"/>
          <w:sz w:val="32"/>
        </w:rPr>
        <w:t>七、政府性基金预算财政拨款收入支出决算情况说明</w:t>
      </w:r>
    </w:p>
    <w:p w14:paraId="2674CB04">
      <w:pPr>
        <w:spacing w:line="580" w:lineRule="exact"/>
        <w:ind w:firstLine="640"/>
        <w:jc w:val="both"/>
      </w:pPr>
      <w:r>
        <w:rPr>
          <w:rFonts w:ascii="仿宋_GB2312" w:hAnsi="仿宋_GB2312" w:eastAsia="仿宋_GB2312"/>
          <w:b/>
          <w:sz w:val="32"/>
        </w:rPr>
        <w:t>2024年度政府性基金预算财政拨款收入总计41.80万元，</w:t>
      </w:r>
      <w:r>
        <w:rPr>
          <w:rFonts w:ascii="仿宋_GB2312" w:hAnsi="仿宋_GB2312" w:eastAsia="仿宋_GB2312"/>
          <w:b w:val="0"/>
          <w:sz w:val="32"/>
        </w:rPr>
        <w:t>其中：年初结转和结余0.00万元，本年收入41.80万元。</w:t>
      </w:r>
      <w:r>
        <w:rPr>
          <w:rFonts w:ascii="仿宋_GB2312" w:hAnsi="仿宋_GB2312" w:eastAsia="仿宋_GB2312"/>
          <w:b/>
          <w:sz w:val="32"/>
        </w:rPr>
        <w:t>政府性基金预算财政拨款支出总计41.80万元，</w:t>
      </w:r>
      <w:r>
        <w:rPr>
          <w:rFonts w:ascii="仿宋_GB2312" w:hAnsi="仿宋_GB2312" w:eastAsia="仿宋_GB2312"/>
          <w:b w:val="0"/>
          <w:sz w:val="32"/>
        </w:rPr>
        <w:t>其中：年末结转和结余0.00万元，本年支出41.80万元。</w:t>
      </w:r>
    </w:p>
    <w:p w14:paraId="446D3A6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增加41.80万元，增长100.00%，主要原因是：本年增加伽师县2023年特殊教育学校（特教班）生活补助经费，伽师县教育局2024年特殊教育学校（特教班）生活补助项目，导致经费较上年增加。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年初预算数41.80万元，决算数41.80万元，预决算差异率0.00%，主要原因是：严格按照预算执行，预决算无差异</w:t>
      </w:r>
      <w:r>
        <w:rPr>
          <w:rFonts w:ascii="仿宋_GB2312" w:hAnsi="仿宋_GB2312" w:eastAsia="仿宋_GB2312"/>
          <w:b w:val="0"/>
          <w:sz w:val="32"/>
        </w:rPr>
        <w:t>。</w:t>
      </w:r>
    </w:p>
    <w:p w14:paraId="580189F7">
      <w:pPr>
        <w:spacing w:line="580" w:lineRule="exact"/>
        <w:ind w:firstLine="640"/>
        <w:jc w:val="both"/>
      </w:pPr>
      <w:r>
        <w:rPr>
          <w:rFonts w:ascii="仿宋_GB2312" w:hAnsi="仿宋_GB2312" w:eastAsia="仿宋_GB2312"/>
          <w:b w:val="0"/>
          <w:sz w:val="32"/>
        </w:rPr>
        <w:t>政府性基金预算财政拨款支出41.80万元。</w:t>
      </w:r>
    </w:p>
    <w:p w14:paraId="55DCEAF8">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41.80万元，比上年决算增加41.80万元，增长100.00%,主要原因是：本年增加伽师县2023年特殊教育学校（特教班）生活补助经费、伽师县教育局2024年特殊教育学校（特教班）生活补助项目，导致经费较上年增加。</w:t>
      </w:r>
    </w:p>
    <w:p w14:paraId="76C731BE">
      <w:pPr>
        <w:spacing w:line="640" w:lineRule="exact"/>
        <w:ind w:firstLine="640"/>
        <w:jc w:val="both"/>
        <w:outlineLvl w:val="2"/>
      </w:pPr>
      <w:r>
        <w:rPr>
          <w:rFonts w:ascii="黑体" w:hAnsi="黑体" w:eastAsia="黑体"/>
          <w:sz w:val="32"/>
        </w:rPr>
        <w:t>八、国有资本经营预算财政拨款收入支出决算情况说明</w:t>
      </w:r>
    </w:p>
    <w:p w14:paraId="6D0EC4A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F6C9EB0">
      <w:pPr>
        <w:spacing w:line="640" w:lineRule="exact"/>
        <w:ind w:firstLine="640"/>
        <w:jc w:val="both"/>
        <w:outlineLvl w:val="2"/>
      </w:pPr>
      <w:r>
        <w:rPr>
          <w:rFonts w:ascii="黑体" w:hAnsi="黑体" w:eastAsia="黑体"/>
          <w:sz w:val="32"/>
        </w:rPr>
        <w:t>九、财政拨款“三公”经费支出决算情况说明</w:t>
      </w:r>
    </w:p>
    <w:p w14:paraId="5FFA9C5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49ED87E">
      <w:pPr>
        <w:spacing w:line="580" w:lineRule="exact"/>
        <w:ind w:firstLine="640"/>
        <w:jc w:val="both"/>
      </w:pPr>
      <w:r>
        <w:rPr>
          <w:rFonts w:ascii="仿宋_GB2312" w:hAnsi="仿宋_GB2312" w:eastAsia="仿宋_GB2312"/>
          <w:b/>
          <w:sz w:val="32"/>
        </w:rPr>
        <w:t>具体情况如下：</w:t>
      </w:r>
    </w:p>
    <w:p w14:paraId="0C8B260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1E6A12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FB6E5E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B5C49F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2C3B2D1">
      <w:pPr>
        <w:spacing w:line="640" w:lineRule="exact"/>
        <w:ind w:firstLine="640"/>
        <w:jc w:val="both"/>
        <w:outlineLvl w:val="2"/>
      </w:pPr>
      <w:r>
        <w:rPr>
          <w:rFonts w:ascii="黑体" w:hAnsi="黑体" w:eastAsia="黑体"/>
          <w:sz w:val="32"/>
        </w:rPr>
        <w:t>十、其他重要事项的情况说明</w:t>
      </w:r>
    </w:p>
    <w:p w14:paraId="71949332">
      <w:pPr>
        <w:spacing w:line="640" w:lineRule="exact"/>
        <w:ind w:firstLine="640"/>
        <w:jc w:val="both"/>
        <w:outlineLvl w:val="3"/>
      </w:pPr>
      <w:r>
        <w:rPr>
          <w:rFonts w:ascii="楷体_GB2312" w:hAnsi="楷体_GB2312" w:eastAsia="楷体_GB2312"/>
          <w:b/>
          <w:sz w:val="32"/>
        </w:rPr>
        <w:t>（一）机关运行经费及公用经费支出情况</w:t>
      </w:r>
    </w:p>
    <w:p w14:paraId="49EAD038">
      <w:pPr>
        <w:spacing w:line="580" w:lineRule="exact"/>
        <w:ind w:firstLine="640"/>
        <w:jc w:val="both"/>
      </w:pPr>
      <w:r>
        <w:rPr>
          <w:rFonts w:ascii="仿宋_GB2312" w:hAnsi="仿宋_GB2312" w:eastAsia="仿宋_GB2312"/>
          <w:b w:val="0"/>
          <w:sz w:val="32"/>
        </w:rPr>
        <w:t>2024年度伽师县特殊教育学校（事业单位）公用经费支出0.00万元，比上年增加0.00万元，增长0.00%，主要原因是：2023年与2024年均未安排公用经费支出。</w:t>
      </w:r>
    </w:p>
    <w:p w14:paraId="478FC13F">
      <w:pPr>
        <w:spacing w:line="640" w:lineRule="exact"/>
        <w:ind w:firstLine="640"/>
        <w:jc w:val="both"/>
        <w:outlineLvl w:val="3"/>
      </w:pPr>
      <w:r>
        <w:rPr>
          <w:rFonts w:ascii="楷体_GB2312" w:hAnsi="楷体_GB2312" w:eastAsia="楷体_GB2312"/>
          <w:b/>
          <w:sz w:val="32"/>
        </w:rPr>
        <w:t>（二）政府采购情况</w:t>
      </w:r>
    </w:p>
    <w:p w14:paraId="4308692A">
      <w:pPr>
        <w:spacing w:line="580" w:lineRule="exact"/>
        <w:ind w:firstLine="640"/>
        <w:jc w:val="both"/>
      </w:pPr>
      <w:r>
        <w:rPr>
          <w:rFonts w:ascii="仿宋_GB2312" w:hAnsi="仿宋_GB2312" w:eastAsia="仿宋_GB2312"/>
          <w:b w:val="0"/>
          <w:sz w:val="32"/>
        </w:rPr>
        <w:t>2024年度政府采购支出总额47.00万元，其中：政府采购货物支出47.00万元、政府采购工程支出0.00万元、政府采购服务支出0.00万元。</w:t>
      </w:r>
    </w:p>
    <w:p w14:paraId="6642F437">
      <w:pPr>
        <w:spacing w:line="580" w:lineRule="exact"/>
        <w:ind w:firstLine="640"/>
        <w:jc w:val="both"/>
      </w:pPr>
      <w:r>
        <w:rPr>
          <w:rFonts w:ascii="仿宋_GB2312" w:hAnsi="仿宋_GB2312" w:eastAsia="仿宋_GB2312"/>
          <w:b w:val="0"/>
          <w:sz w:val="32"/>
        </w:rPr>
        <w:t>授予中小企业合同金额45.67万元，占政府采购支出总额的97.17%，其中：授予小微企业合同金额40.70万元，占政府采购支出总额的86.60%。</w:t>
      </w:r>
    </w:p>
    <w:p w14:paraId="52D39EF8">
      <w:pPr>
        <w:spacing w:line="640" w:lineRule="exact"/>
        <w:ind w:firstLine="640"/>
        <w:jc w:val="both"/>
        <w:outlineLvl w:val="3"/>
      </w:pPr>
      <w:r>
        <w:rPr>
          <w:rFonts w:ascii="楷体_GB2312" w:hAnsi="楷体_GB2312" w:eastAsia="楷体_GB2312"/>
          <w:b/>
          <w:sz w:val="32"/>
        </w:rPr>
        <w:t>（三）国有资产占用情况说明</w:t>
      </w:r>
    </w:p>
    <w:p w14:paraId="4F5F09D0">
      <w:pPr>
        <w:spacing w:line="580" w:lineRule="exact"/>
        <w:ind w:firstLine="640"/>
        <w:jc w:val="both"/>
      </w:pPr>
      <w:r>
        <w:rPr>
          <w:rFonts w:ascii="仿宋_GB2312" w:hAnsi="仿宋_GB2312" w:eastAsia="仿宋_GB2312"/>
          <w:b w:val="0"/>
          <w:sz w:val="32"/>
        </w:rPr>
        <w:t>截至2024年12月31日，房屋7,202.52平方米，价值1,659.67万元。车辆0辆，价值0.00万元，其中：副部（省）级及以上领导用车0辆、主要负责人用车0辆、机要通信用车0辆、应急保障用车0辆、执法执勤用车0辆、特种专业技术用车0辆、离退休干部服务用车0辆、其他用车0辆，其他用车主要是：本单位</w:t>
      </w:r>
      <w:bookmarkStart w:id="0" w:name="_GoBack"/>
      <w:bookmarkEnd w:id="0"/>
      <w:r>
        <w:rPr>
          <w:rFonts w:ascii="仿宋_GB2312" w:hAnsi="仿宋_GB2312" w:eastAsia="仿宋_GB2312"/>
          <w:b w:val="0"/>
          <w:sz w:val="32"/>
        </w:rPr>
        <w:t>无其他用车。单价100万元（含）以上设备（不含车辆）2台（套）。</w:t>
      </w:r>
    </w:p>
    <w:p w14:paraId="2139A69A">
      <w:pPr>
        <w:spacing w:line="640" w:lineRule="exact"/>
        <w:ind w:firstLine="640"/>
        <w:jc w:val="both"/>
        <w:outlineLvl w:val="2"/>
      </w:pPr>
      <w:r>
        <w:rPr>
          <w:rFonts w:ascii="黑体" w:hAnsi="黑体" w:eastAsia="黑体"/>
          <w:sz w:val="32"/>
        </w:rPr>
        <w:t>十一、预算绩效的情况说明</w:t>
      </w:r>
    </w:p>
    <w:p w14:paraId="583F14C5">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2AEDAC14">
      <w:r>
        <w:br w:type="page"/>
      </w:r>
    </w:p>
    <w:p w14:paraId="42EB9DED">
      <w:pPr>
        <w:spacing w:line="640" w:lineRule="exact"/>
        <w:ind w:firstLine="640"/>
        <w:jc w:val="both"/>
        <w:outlineLvl w:val="2"/>
      </w:pPr>
      <w:r>
        <w:rPr>
          <w:rFonts w:ascii="黑体" w:hAnsi="黑体" w:eastAsia="黑体"/>
          <w:sz w:val="32"/>
        </w:rPr>
        <w:t>十二、其他需说明的事项</w:t>
      </w:r>
    </w:p>
    <w:p w14:paraId="2C4CB5D8">
      <w:pPr>
        <w:spacing w:line="580" w:lineRule="exact"/>
        <w:ind w:firstLine="640"/>
        <w:jc w:val="both"/>
      </w:pPr>
      <w:r>
        <w:rPr>
          <w:rFonts w:ascii="仿宋_GB2312" w:hAnsi="仿宋_GB2312" w:eastAsia="仿宋_GB2312"/>
          <w:b w:val="0"/>
          <w:sz w:val="32"/>
        </w:rPr>
        <w:t>本年度本单位整体绩效自评表由伽师县教育局编报并公开。</w:t>
      </w:r>
    </w:p>
    <w:p w14:paraId="475D5250">
      <w:r>
        <w:br w:type="page"/>
      </w:r>
    </w:p>
    <w:p w14:paraId="502D7A64">
      <w:pPr>
        <w:spacing w:line="240" w:lineRule="auto"/>
        <w:jc w:val="center"/>
        <w:outlineLvl w:val="1"/>
      </w:pPr>
      <w:r>
        <w:rPr>
          <w:rFonts w:ascii="黑体" w:hAnsi="黑体" w:eastAsia="黑体"/>
          <w:sz w:val="32"/>
        </w:rPr>
        <w:t>第三部分 专业名词解释</w:t>
      </w:r>
    </w:p>
    <w:p w14:paraId="4921A49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D560B6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72358E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16B225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AB293C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361B40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D167C9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35FA7A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8ED222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84EFC4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1F23F6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2958F5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1BC723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5478A5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D4B8C9B">
      <w:r>
        <w:br w:type="page"/>
      </w:r>
    </w:p>
    <w:p w14:paraId="188DFCDC">
      <w:pPr>
        <w:spacing w:line="240" w:lineRule="auto"/>
        <w:jc w:val="center"/>
        <w:outlineLvl w:val="1"/>
      </w:pPr>
      <w:r>
        <w:rPr>
          <w:rFonts w:ascii="黑体" w:hAnsi="黑体" w:eastAsia="黑体"/>
          <w:sz w:val="32"/>
        </w:rPr>
        <w:t>第四部分 部门决算报表（见附表）</w:t>
      </w:r>
    </w:p>
    <w:p w14:paraId="2CB7D14D">
      <w:pPr>
        <w:spacing w:line="240" w:lineRule="auto"/>
        <w:ind w:firstLine="640"/>
        <w:jc w:val="both"/>
      </w:pPr>
      <w:r>
        <w:rPr>
          <w:rFonts w:ascii="仿宋_GB2312" w:hAnsi="仿宋_GB2312" w:eastAsia="仿宋_GB2312"/>
          <w:b w:val="0"/>
          <w:sz w:val="32"/>
        </w:rPr>
        <w:t>一、《收入支出决算总表》</w:t>
      </w:r>
    </w:p>
    <w:p w14:paraId="5412A381">
      <w:pPr>
        <w:spacing w:line="240" w:lineRule="auto"/>
        <w:ind w:firstLine="640"/>
        <w:jc w:val="both"/>
      </w:pPr>
      <w:r>
        <w:rPr>
          <w:rFonts w:ascii="仿宋_GB2312" w:hAnsi="仿宋_GB2312" w:eastAsia="仿宋_GB2312"/>
          <w:b w:val="0"/>
          <w:sz w:val="32"/>
        </w:rPr>
        <w:t>二、《收入决算表》</w:t>
      </w:r>
    </w:p>
    <w:p w14:paraId="325EC0D0">
      <w:pPr>
        <w:spacing w:line="240" w:lineRule="auto"/>
        <w:ind w:firstLine="640"/>
        <w:jc w:val="both"/>
      </w:pPr>
      <w:r>
        <w:rPr>
          <w:rFonts w:ascii="仿宋_GB2312" w:hAnsi="仿宋_GB2312" w:eastAsia="仿宋_GB2312"/>
          <w:b w:val="0"/>
          <w:sz w:val="32"/>
        </w:rPr>
        <w:t>三、《支出决算表》</w:t>
      </w:r>
    </w:p>
    <w:p w14:paraId="2E37E3F3">
      <w:pPr>
        <w:spacing w:line="240" w:lineRule="auto"/>
        <w:ind w:firstLine="640"/>
        <w:jc w:val="both"/>
      </w:pPr>
      <w:r>
        <w:rPr>
          <w:rFonts w:ascii="仿宋_GB2312" w:hAnsi="仿宋_GB2312" w:eastAsia="仿宋_GB2312"/>
          <w:b w:val="0"/>
          <w:sz w:val="32"/>
        </w:rPr>
        <w:t>四、《财政拨款收入支出决算总表》</w:t>
      </w:r>
    </w:p>
    <w:p w14:paraId="604E16C6">
      <w:pPr>
        <w:spacing w:line="240" w:lineRule="auto"/>
        <w:ind w:firstLine="640"/>
        <w:jc w:val="both"/>
      </w:pPr>
      <w:r>
        <w:rPr>
          <w:rFonts w:ascii="仿宋_GB2312" w:hAnsi="仿宋_GB2312" w:eastAsia="仿宋_GB2312"/>
          <w:b w:val="0"/>
          <w:sz w:val="32"/>
        </w:rPr>
        <w:t>五、《一般公共预算财政拨款支出决算表》</w:t>
      </w:r>
    </w:p>
    <w:p w14:paraId="5CDFF5FE">
      <w:pPr>
        <w:spacing w:line="240" w:lineRule="auto"/>
        <w:ind w:firstLine="640"/>
        <w:jc w:val="both"/>
      </w:pPr>
      <w:r>
        <w:rPr>
          <w:rFonts w:ascii="仿宋_GB2312" w:hAnsi="仿宋_GB2312" w:eastAsia="仿宋_GB2312"/>
          <w:b w:val="0"/>
          <w:sz w:val="32"/>
        </w:rPr>
        <w:t>六、《一般公共预算财政拨款基本支出决算表》</w:t>
      </w:r>
    </w:p>
    <w:p w14:paraId="7DD1F4DA">
      <w:pPr>
        <w:spacing w:line="240" w:lineRule="auto"/>
        <w:ind w:firstLine="640"/>
        <w:jc w:val="both"/>
      </w:pPr>
      <w:r>
        <w:rPr>
          <w:rFonts w:ascii="仿宋_GB2312" w:hAnsi="仿宋_GB2312" w:eastAsia="仿宋_GB2312"/>
          <w:b w:val="0"/>
          <w:sz w:val="32"/>
        </w:rPr>
        <w:t>七、《政府性基金预算财政拨款收入支出决算表》</w:t>
      </w:r>
    </w:p>
    <w:p w14:paraId="18B3845F">
      <w:pPr>
        <w:spacing w:line="240" w:lineRule="auto"/>
        <w:ind w:firstLine="640"/>
        <w:jc w:val="both"/>
      </w:pPr>
      <w:r>
        <w:rPr>
          <w:rFonts w:ascii="仿宋_GB2312" w:hAnsi="仿宋_GB2312" w:eastAsia="仿宋_GB2312"/>
          <w:b w:val="0"/>
          <w:sz w:val="32"/>
        </w:rPr>
        <w:t>八、《国有资本经营预算财政拨款收入支出决算表》</w:t>
      </w:r>
    </w:p>
    <w:p w14:paraId="1BCC6A38">
      <w:pPr>
        <w:spacing w:line="240" w:lineRule="auto"/>
        <w:ind w:firstLine="640"/>
        <w:jc w:val="both"/>
      </w:pPr>
      <w:r>
        <w:rPr>
          <w:rFonts w:ascii="仿宋_GB2312" w:hAnsi="仿宋_GB2312" w:eastAsia="仿宋_GB2312"/>
          <w:b w:val="0"/>
          <w:sz w:val="32"/>
        </w:rPr>
        <w:t>九、《财政拨款“三公”经费支出决算表》</w:t>
      </w:r>
    </w:p>
    <w:p w14:paraId="63D4A6E8">
      <w:pPr>
        <w:spacing w:line="240" w:lineRule="auto"/>
        <w:ind w:firstLine="640"/>
        <w:jc w:val="both"/>
      </w:pPr>
    </w:p>
    <w:p w14:paraId="69329FFB">
      <w:pPr>
        <w:spacing w:line="240" w:lineRule="auto"/>
        <w:ind w:firstLine="640"/>
        <w:jc w:val="both"/>
      </w:pPr>
    </w:p>
    <w:p w14:paraId="0C7205EE">
      <w:pPr>
        <w:spacing w:line="240" w:lineRule="auto"/>
        <w:ind w:firstLine="640"/>
        <w:jc w:val="both"/>
      </w:pPr>
    </w:p>
    <w:p w14:paraId="5C434FC3">
      <w:pPr>
        <w:spacing w:line="240" w:lineRule="auto"/>
        <w:ind w:firstLine="640"/>
        <w:jc w:val="both"/>
      </w:pPr>
    </w:p>
    <w:p w14:paraId="260041C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18CA"/>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5214</Words>
  <Characters>5861</Characters>
  <Lines>0</Lines>
  <Paragraphs>0</Paragraphs>
  <TotalTime>6</TotalTime>
  <ScaleCrop>false</ScaleCrop>
  <LinksUpToDate>false</LinksUpToDate>
  <CharactersWithSpaces>5871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2025-09-17T09:49:43Z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