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伽师县玉代克力克乡第一小学2024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bookmarkStart w:id="0" w:name="_GoBack"/>
      <w:bookmarkEnd w:id="0"/>
      <w:r>
        <w:rPr>
          <w:rFonts w:ascii="仿宋_GB2312" w:hAnsi="仿宋_GB2312" w:eastAsia="仿宋_GB2312"/>
          <w:sz w:val="32"/>
        </w:rPr>
        <w:t>思想政治工作。有组织有计划地培养、提高教师业务和教学能力；组织教职工进行继续教育，做好教职工的调配、奖惩、工资福利及其他各方面工作。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伽师县玉代克力克乡第一小学2024年度，实有人数222人，其中：在职人员175人，减少2人；离休人员0人，增加0人；退休人员47人,减少2人。</w:t>
      </w:r>
    </w:p>
    <w:p>
      <w:pPr>
        <w:spacing w:line="580" w:lineRule="exact"/>
        <w:ind w:firstLine="640"/>
        <w:jc w:val="both"/>
      </w:pPr>
      <w:r>
        <w:rPr>
          <w:rFonts w:ascii="仿宋_GB2312" w:hAnsi="仿宋_GB2312" w:eastAsia="仿宋_GB2312"/>
          <w:sz w:val="32"/>
        </w:rPr>
        <w:t>伽师县玉代克力克乡第一小学无下属预算单位，下设7个科室，分别是：财务室、德育办公室、稳定办、党建办、教务室、教师办公室、体育办公室。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2024年度收入总计4,285.42万元，</w:t>
      </w:r>
      <w:r>
        <w:rPr>
          <w:rFonts w:ascii="仿宋_GB2312" w:hAnsi="仿宋_GB2312" w:eastAsia="仿宋_GB2312"/>
          <w:b w:val="0"/>
          <w:sz w:val="32"/>
        </w:rPr>
        <w:t>其中：本年收入合计4,285.42万元，使用非财政拨款结余（含专用结余）0.00万元，年初结转和结余0.00万元。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2024年度支出总计4,285.42万元，</w:t>
      </w:r>
      <w:r>
        <w:rPr>
          <w:rFonts w:ascii="仿宋_GB2312" w:hAnsi="仿宋_GB2312" w:eastAsia="仿宋_GB2312"/>
          <w:b w:val="0"/>
          <w:sz w:val="32"/>
        </w:rPr>
        <w:t>其中：本年支出合计4,285.42万元，结余分配0.00万元，年末结转和结余0.00万元。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544.23万元，增长14.55%，主要原因是：本年在职人员工资调增，社保、公积金基数调增，人员经费增加，增加公用经费项目，营养膳食补助项目，城乡义务教育补助经费家庭经济困难学生生活补助，义务教育公用经费项目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本年收入4,285.42万元，</w:t>
      </w:r>
      <w:r>
        <w:rPr>
          <w:rFonts w:ascii="仿宋_GB2312" w:hAnsi="仿宋_GB2312" w:eastAsia="仿宋_GB2312"/>
          <w:b w:val="0"/>
          <w:sz w:val="32"/>
        </w:rPr>
        <w:t>其中：财政拨款收入4,282.93万元，占99.94%；上级补助收入0.00万元，占0.00%；事业收入0.00万元，占0.00%；经营收入0.00万元，占0.00%；附属单位上缴收入0.00万元，占0.00%；其他收入2.49万元，占0.06%。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本年支出4,285.42万元，</w:t>
      </w:r>
      <w:r>
        <w:rPr>
          <w:rFonts w:ascii="仿宋_GB2312" w:hAnsi="仿宋_GB2312" w:eastAsia="仿宋_GB2312"/>
          <w:b w:val="0"/>
          <w:sz w:val="32"/>
        </w:rPr>
        <w:t>其中：基本支出2,909.26万元，占67.89%；项目支出1,376.16万元，占32.11%；上缴上级支出0.00万元，占0.00%；经营支出0.00万元，占0.00%；对附属单位补助支出0.00万元，占0.00%。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2024年度财政拨款收入总计4,282.93万元，</w:t>
      </w:r>
      <w:r>
        <w:rPr>
          <w:rFonts w:ascii="仿宋_GB2312" w:hAnsi="仿宋_GB2312" w:eastAsia="仿宋_GB2312"/>
          <w:b w:val="0"/>
          <w:sz w:val="32"/>
        </w:rPr>
        <w:t>其中：年初财政拨款结转和结余0.00万元，本年财政拨款收入4,282.93万元。</w:t>
      </w:r>
      <w:r>
        <w:rPr>
          <w:rFonts w:ascii="仿宋_GB2312" w:hAnsi="仿宋_GB2312" w:eastAsia="仿宋_GB2312"/>
          <w:b/>
          <w:sz w:val="32"/>
        </w:rPr>
        <w:t>财政拨款支出总计4,282.93万元，</w:t>
      </w:r>
      <w:r>
        <w:rPr>
          <w:rFonts w:ascii="仿宋_GB2312" w:hAnsi="仿宋_GB2312" w:eastAsia="仿宋_GB2312"/>
          <w:b w:val="0"/>
          <w:sz w:val="32"/>
        </w:rPr>
        <w:t>其中：年末财政拨款结转和结余0.00万元，本年财政拨款支出4,282.93万元。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694.31万元，增长19.35%，主要原因是：本年在职人员工资调增，社保、公积金基数调增，人员经费增加，增加公用经费项目，营养膳食补助项目，城乡义务教育补助经费家庭经济困难学生生活补助，义务教育公用经费项目等。</w:t>
      </w:r>
      <w:r>
        <w:rPr>
          <w:rFonts w:ascii="仿宋_GB2312" w:hAnsi="仿宋_GB2312" w:eastAsia="仿宋_GB2312"/>
          <w:b/>
          <w:sz w:val="32"/>
        </w:rPr>
        <w:t>与年初预算相比，</w:t>
      </w:r>
      <w:r>
        <w:rPr>
          <w:rFonts w:ascii="仿宋_GB2312" w:hAnsi="仿宋_GB2312" w:eastAsia="仿宋_GB2312"/>
          <w:b w:val="0"/>
          <w:sz w:val="32"/>
        </w:rPr>
        <w:t>年初预算数4,236.25万元，决算数4,282.93万元，预决算差异率1.10%，主要原因是：年中追加人员工资、社保、公积金基数调增部分资金，导致预决算存在差异。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2024年度一般公共预算财政拨款支出4,281.43万元，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增加696.60万元，增长19.43%，主要原因是：本年在职人员工资调增，社保、公积金基数调增，人员经费增加，增加公用经费项目，营养膳食补助项目等。</w:t>
      </w:r>
      <w:r>
        <w:rPr>
          <w:rFonts w:ascii="仿宋_GB2312" w:hAnsi="仿宋_GB2312" w:eastAsia="仿宋_GB2312"/>
          <w:b/>
          <w:sz w:val="32"/>
        </w:rPr>
        <w:t>与年初预算相比,</w:t>
      </w:r>
      <w:r>
        <w:rPr>
          <w:rFonts w:ascii="仿宋_GB2312" w:hAnsi="仿宋_GB2312" w:eastAsia="仿宋_GB2312"/>
          <w:b w:val="0"/>
          <w:sz w:val="32"/>
        </w:rPr>
        <w:t>年初预算数4,234.75万元，决算数4,281.43万元，预决算差异率1.10%，主要原因是：年中追加人员工资、社保、公积金基数调增部分资金，导致预决算存在差异。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1.教育支出(类)4,281.43万元,占100.00%。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3,866.60万元，比上年决算增加432.54万元，增长12.60%,主要原因是：本年在职人员工资调增，社保、公积金基数调增，人员经费增加，增加公用经费项目，营养膳食补助项目等。</w:t>
      </w:r>
    </w:p>
    <w:p>
      <w:pPr>
        <w:spacing w:line="580" w:lineRule="exact"/>
        <w:ind w:firstLine="640"/>
        <w:jc w:val="both"/>
      </w:pPr>
      <w:r>
        <w:rPr>
          <w:rFonts w:ascii="仿宋_GB2312" w:hAnsi="仿宋_GB2312" w:eastAsia="仿宋_GB2312"/>
          <w:b w:val="0"/>
          <w:sz w:val="32"/>
        </w:rPr>
        <w:t>2.教育支出(类)普通教育(款)初中教育(项):支出决算数为394.67万元，比上年决算增加246.08万元，增长165.61%,主要原因是：本年增加城乡义务教育补助经费家庭经济困难学生生活补助、义务教育公用经费项目等。</w:t>
      </w:r>
    </w:p>
    <w:p>
      <w:pPr>
        <w:spacing w:line="580" w:lineRule="exact"/>
        <w:ind w:firstLine="640"/>
        <w:jc w:val="both"/>
      </w:pPr>
      <w:r>
        <w:rPr>
          <w:rFonts w:ascii="仿宋_GB2312" w:hAnsi="仿宋_GB2312" w:eastAsia="仿宋_GB2312"/>
          <w:b w:val="0"/>
          <w:sz w:val="32"/>
        </w:rPr>
        <w:t>3.教育支出(类)特殊教育(款)特殊学校教育(项):支出决算数为20.16万元，比上年决算增加17.98万元，增长824.77%,主要原因是：本年度新增特殊儿童补助经费。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2024年度一般公共预算财政拨款基本支出2,909.26万元，其中：</w:t>
      </w:r>
      <w:r>
        <w:rPr>
          <w:rFonts w:ascii="仿宋_GB2312" w:hAnsi="仿宋_GB2312" w:eastAsia="仿宋_GB2312"/>
          <w:b/>
          <w:sz w:val="32"/>
        </w:rPr>
        <w:t>人员经费2,909.26万元，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减少2.29万元，下降60.42%，主要原因是：本年少年宫项目资金较上年减少，导致经费较上年减少。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1.其他支出(类)彩票公益金安排的支出(款)用于教育事业的彩票公益金支出(项):支出决算数为1.50万元，比上年决算减少2.29万元，下降60.42%,主要原因是：本年少年宫项目资金较上年减少，导致经费较上年减少。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2024年度伽师县玉代克力克乡第一小学（事业单位）公用经费支出0.00万元，比上年增加0.00万元，增长0.00%，主要原因是：2023年与2024年均未安排公用经费支出。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2024年度政府采购支出总额573.86万元，其中：政府采购货物支出518.86万元、政府采购工程支出21.92万元、政府采购服务支出33.07万元。</w:t>
      </w:r>
    </w:p>
    <w:p>
      <w:pPr>
        <w:spacing w:line="580" w:lineRule="exact"/>
        <w:ind w:firstLine="640"/>
        <w:jc w:val="both"/>
      </w:pPr>
      <w:r>
        <w:rPr>
          <w:rFonts w:ascii="仿宋_GB2312" w:hAnsi="仿宋_GB2312" w:eastAsia="仿宋_GB2312"/>
          <w:b w:val="0"/>
          <w:sz w:val="32"/>
        </w:rPr>
        <w:t>授予中小企业合同金额573.86万元，占政府采购支出总额的100.00%，其中：授予小微企业合同金额519.81万元，占政府采购支出总额的90.58%。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46,740.39平方米，价值3,502.95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9B7F3F"/>
    <w:rsid w:val="06792773"/>
    <w:rsid w:val="09A729D8"/>
    <w:rsid w:val="0A3C58E8"/>
    <w:rsid w:val="0A7B4867"/>
    <w:rsid w:val="0B8C3ECC"/>
    <w:rsid w:val="0C3613A3"/>
    <w:rsid w:val="0C7227A7"/>
    <w:rsid w:val="0DCA6EF7"/>
    <w:rsid w:val="0E4B1576"/>
    <w:rsid w:val="0EA04331"/>
    <w:rsid w:val="0F9811B3"/>
    <w:rsid w:val="11E15093"/>
    <w:rsid w:val="120E0809"/>
    <w:rsid w:val="16AD218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4799</Words>
  <Characters>5463</Characters>
  <Lines>0</Lines>
  <Paragraphs>0</Paragraphs>
  <TotalTime>0</TotalTime>
  <ScaleCrop>false</ScaleCrop>
  <LinksUpToDate>false</LinksUpToDate>
  <CharactersWithSpaces>5472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2025-10-21T10:28:06Z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