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伽师县米夏乡第一小学2024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EB29EC">
      <w:r>
        <w:br w:type="page"/>
      </w:r>
    </w:p>
    <w:p w14:paraId="0E83F692">
      <w:pPr>
        <w:spacing w:line="640" w:lineRule="exact"/>
        <w:jc w:val="center"/>
        <w:outlineLvl w:val="1"/>
      </w:pPr>
      <w:r>
        <w:rPr>
          <w:rFonts w:ascii="黑体" w:hAnsi="黑体" w:eastAsia="黑体"/>
          <w:sz w:val="32"/>
        </w:rPr>
        <w:t>第一部分 单位概况</w:t>
      </w:r>
    </w:p>
    <w:p w14:paraId="7950A471">
      <w:pPr>
        <w:spacing w:line="640" w:lineRule="exact"/>
        <w:ind w:firstLine="640"/>
        <w:jc w:val="both"/>
        <w:outlineLvl w:val="2"/>
      </w:pPr>
      <w:r>
        <w:rPr>
          <w:rFonts w:ascii="黑体" w:hAnsi="黑体" w:eastAsia="黑体"/>
          <w:sz w:val="32"/>
        </w:rPr>
        <w:t>一、主要职能</w:t>
      </w:r>
    </w:p>
    <w:p w14:paraId="53A25748">
      <w:pPr>
        <w:spacing w:line="580" w:lineRule="exact"/>
        <w:ind w:firstLine="640"/>
        <w:jc w:val="both"/>
      </w:pPr>
      <w:r>
        <w:rPr>
          <w:rFonts w:ascii="仿宋_GB2312" w:hAnsi="仿宋_GB2312" w:eastAsia="仿宋_GB2312"/>
          <w:sz w:val="32"/>
        </w:rPr>
        <w:t>（1）负责贯彻执行党的教育方针、政策、法规和规章制度、制定并组织实施学校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37387088">
      <w:pPr>
        <w:spacing w:line="580" w:lineRule="exact"/>
        <w:ind w:firstLine="640"/>
        <w:jc w:val="both"/>
      </w:pPr>
      <w:r>
        <w:rPr>
          <w:rFonts w:ascii="仿宋_GB2312" w:hAnsi="仿宋_GB2312" w:eastAsia="仿宋_GB2312"/>
          <w:sz w:val="32"/>
        </w:rPr>
        <w:t>（2）负责学校教职工及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72210B31">
      <w:pPr>
        <w:spacing w:line="580" w:lineRule="exact"/>
        <w:ind w:firstLine="640"/>
        <w:jc w:val="both"/>
      </w:pPr>
      <w:r>
        <w:rPr>
          <w:rFonts w:ascii="仿宋_GB2312" w:hAnsi="仿宋_GB2312" w:eastAsia="仿宋_GB2312"/>
          <w:sz w:val="32"/>
        </w:rPr>
        <w:t>（3）负责认真实施学术守则，行为规范及有关条例，实施素质教育，锻炼</w:t>
      </w:r>
      <w:bookmarkStart w:id="0" w:name="_GoBack"/>
      <w:r>
        <w:rPr>
          <w:rFonts w:hint="eastAsia" w:ascii="仿宋_GB2312" w:hAnsi="仿宋_GB2312" w:eastAsia="仿宋_GB2312"/>
          <w:sz w:val="32"/>
          <w:lang w:eastAsia="zh-CN"/>
        </w:rPr>
        <w:t>学生</w:t>
      </w:r>
      <w:bookmarkEnd w:id="0"/>
      <w:r>
        <w:rPr>
          <w:rFonts w:ascii="仿宋_GB2312" w:hAnsi="仿宋_GB2312" w:eastAsia="仿宋_GB2312"/>
          <w:sz w:val="32"/>
        </w:rPr>
        <w:t>的实践能力，定期召开家长会、学生代表会，认真听取家长、学生对学校工作的意见和建议。</w:t>
      </w:r>
    </w:p>
    <w:p w14:paraId="52F57056">
      <w:pPr>
        <w:spacing w:line="640" w:lineRule="exact"/>
        <w:ind w:firstLine="640"/>
        <w:jc w:val="both"/>
        <w:outlineLvl w:val="2"/>
      </w:pPr>
      <w:r>
        <w:rPr>
          <w:rFonts w:ascii="黑体" w:hAnsi="黑体" w:eastAsia="黑体"/>
          <w:sz w:val="32"/>
        </w:rPr>
        <w:t>二、机构设置及人员情况</w:t>
      </w:r>
    </w:p>
    <w:p w14:paraId="52347325">
      <w:pPr>
        <w:spacing w:line="580" w:lineRule="exact"/>
        <w:ind w:firstLine="640"/>
        <w:jc w:val="both"/>
      </w:pPr>
      <w:r>
        <w:rPr>
          <w:rFonts w:ascii="仿宋_GB2312" w:hAnsi="仿宋_GB2312" w:eastAsia="仿宋_GB2312"/>
          <w:sz w:val="32"/>
        </w:rPr>
        <w:t>伽师县米夏乡第一小学2024年度，实有人数354人，其中：在职人员287人，增加4人；离休人员0人，增加0人；退休人员67人,增加2人。</w:t>
      </w:r>
    </w:p>
    <w:p w14:paraId="39543F57">
      <w:pPr>
        <w:spacing w:line="580" w:lineRule="exact"/>
        <w:ind w:firstLine="640"/>
        <w:jc w:val="both"/>
      </w:pPr>
      <w:r>
        <w:rPr>
          <w:rFonts w:ascii="仿宋_GB2312" w:hAnsi="仿宋_GB2312" w:eastAsia="仿宋_GB2312"/>
          <w:sz w:val="32"/>
        </w:rPr>
        <w:t>伽师县米夏乡第一小学无下属预算单位，下设6个科室，分别是：教务科、德育办、教研室、稳定办、保卫科、后勤办公室。</w:t>
      </w:r>
    </w:p>
    <w:p w14:paraId="45FE6DDE">
      <w:r>
        <w:br w:type="page"/>
      </w:r>
    </w:p>
    <w:p w14:paraId="5657C06B">
      <w:pPr>
        <w:spacing w:line="240" w:lineRule="auto"/>
        <w:jc w:val="center"/>
        <w:outlineLvl w:val="1"/>
      </w:pPr>
      <w:r>
        <w:rPr>
          <w:rFonts w:ascii="黑体" w:hAnsi="黑体" w:eastAsia="黑体"/>
          <w:sz w:val="32"/>
        </w:rPr>
        <w:t>第二部分 部门决算情况说明</w:t>
      </w:r>
    </w:p>
    <w:p w14:paraId="47B232F5">
      <w:pPr>
        <w:spacing w:line="640" w:lineRule="exact"/>
        <w:ind w:firstLine="640"/>
        <w:jc w:val="both"/>
        <w:outlineLvl w:val="2"/>
      </w:pPr>
      <w:r>
        <w:rPr>
          <w:rFonts w:ascii="黑体" w:hAnsi="黑体" w:eastAsia="黑体"/>
          <w:sz w:val="32"/>
        </w:rPr>
        <w:t>一、收入支出决算总体情况说明</w:t>
      </w:r>
    </w:p>
    <w:p w14:paraId="01306683">
      <w:pPr>
        <w:spacing w:line="580" w:lineRule="exact"/>
        <w:ind w:firstLine="640"/>
        <w:jc w:val="both"/>
      </w:pPr>
      <w:r>
        <w:rPr>
          <w:rFonts w:ascii="仿宋_GB2312" w:hAnsi="仿宋_GB2312" w:eastAsia="仿宋_GB2312"/>
          <w:b/>
          <w:sz w:val="32"/>
        </w:rPr>
        <w:t>2024年度收入总计6,379.15万元，</w:t>
      </w:r>
      <w:r>
        <w:rPr>
          <w:rFonts w:ascii="仿宋_GB2312" w:hAnsi="仿宋_GB2312" w:eastAsia="仿宋_GB2312"/>
          <w:b w:val="0"/>
          <w:sz w:val="32"/>
        </w:rPr>
        <w:t>其中：本年收入合计6,379.15万元，使用非财政拨款结余（含专用结余）0.00万元，年初结转和结余0.00万元。</w:t>
      </w:r>
    </w:p>
    <w:p w14:paraId="2B4F15CA">
      <w:pPr>
        <w:spacing w:line="580" w:lineRule="exact"/>
        <w:ind w:firstLine="640"/>
        <w:jc w:val="both"/>
      </w:pPr>
      <w:r>
        <w:rPr>
          <w:rFonts w:ascii="仿宋_GB2312" w:hAnsi="仿宋_GB2312" w:eastAsia="仿宋_GB2312"/>
          <w:b/>
          <w:sz w:val="32"/>
        </w:rPr>
        <w:t>2024年度支出总计6,379.15万元，</w:t>
      </w:r>
      <w:r>
        <w:rPr>
          <w:rFonts w:ascii="仿宋_GB2312" w:hAnsi="仿宋_GB2312" w:eastAsia="仿宋_GB2312"/>
          <w:b w:val="0"/>
          <w:sz w:val="32"/>
        </w:rPr>
        <w:t>其中：本年支出合计6,379.15万元，结余分配0.00万元，年末结转和结余0.00万元。</w:t>
      </w:r>
    </w:p>
    <w:p w14:paraId="3B52B3F7">
      <w:pPr>
        <w:spacing w:line="580" w:lineRule="exact"/>
        <w:ind w:firstLine="640"/>
        <w:jc w:val="both"/>
      </w:pPr>
      <w:r>
        <w:rPr>
          <w:rFonts w:ascii="仿宋_GB2312" w:hAnsi="仿宋_GB2312" w:eastAsia="仿宋_GB2312"/>
          <w:b w:val="0"/>
          <w:sz w:val="32"/>
        </w:rPr>
        <w:t>收入支出总体与上年相比，增加516.44万元，增长8.81%，主要原因是：本年在职人员工资调增，社保、公积金基数调增，人员经费增加；本年增加小学学生的城乡义务教育营养膳食补助项目、城乡义务教育补助经费公用经费、城乡义务教育家庭经济困难学生生活补助项目等。</w:t>
      </w:r>
    </w:p>
    <w:p w14:paraId="14C9F35E">
      <w:pPr>
        <w:spacing w:line="640" w:lineRule="exact"/>
        <w:ind w:firstLine="640"/>
        <w:jc w:val="both"/>
        <w:outlineLvl w:val="2"/>
      </w:pPr>
      <w:r>
        <w:rPr>
          <w:rFonts w:ascii="黑体" w:hAnsi="黑体" w:eastAsia="黑体"/>
          <w:sz w:val="32"/>
        </w:rPr>
        <w:t>二、收入决算情况说明</w:t>
      </w:r>
    </w:p>
    <w:p w14:paraId="6D5CA821">
      <w:pPr>
        <w:spacing w:line="580" w:lineRule="exact"/>
        <w:ind w:firstLine="640"/>
        <w:jc w:val="both"/>
      </w:pPr>
      <w:r>
        <w:rPr>
          <w:rFonts w:ascii="仿宋_GB2312" w:hAnsi="仿宋_GB2312" w:eastAsia="仿宋_GB2312"/>
          <w:b/>
          <w:sz w:val="32"/>
        </w:rPr>
        <w:t>本年收入6,379.15万元，</w:t>
      </w:r>
      <w:r>
        <w:rPr>
          <w:rFonts w:ascii="仿宋_GB2312" w:hAnsi="仿宋_GB2312" w:eastAsia="仿宋_GB2312"/>
          <w:b w:val="0"/>
          <w:sz w:val="32"/>
        </w:rPr>
        <w:t>其中：财政拨款收入6,357.11万元，占99.65%；上级补助收入0.00万元，占0.00%；事业收入0.00万元，占0.00%；经营收入0.00万元，占0.00%；附属单位上缴收入0.00万元，占0.00%；其他收入22.04万元，占0.35%。</w:t>
      </w:r>
    </w:p>
    <w:p w14:paraId="7EA59C00">
      <w:pPr>
        <w:spacing w:line="640" w:lineRule="exact"/>
        <w:ind w:firstLine="640"/>
        <w:jc w:val="both"/>
        <w:outlineLvl w:val="2"/>
      </w:pPr>
      <w:r>
        <w:rPr>
          <w:rFonts w:ascii="黑体" w:hAnsi="黑体" w:eastAsia="黑体"/>
          <w:sz w:val="32"/>
        </w:rPr>
        <w:t>三、支出决算情况说明</w:t>
      </w:r>
    </w:p>
    <w:p w14:paraId="5C169CD9">
      <w:pPr>
        <w:spacing w:line="580" w:lineRule="exact"/>
        <w:ind w:firstLine="640"/>
        <w:jc w:val="both"/>
      </w:pPr>
      <w:r>
        <w:rPr>
          <w:rFonts w:ascii="仿宋_GB2312" w:hAnsi="仿宋_GB2312" w:eastAsia="仿宋_GB2312"/>
          <w:b/>
          <w:sz w:val="32"/>
        </w:rPr>
        <w:t>本年支出6,379.15万元，</w:t>
      </w:r>
      <w:r>
        <w:rPr>
          <w:rFonts w:ascii="仿宋_GB2312" w:hAnsi="仿宋_GB2312" w:eastAsia="仿宋_GB2312"/>
          <w:b w:val="0"/>
          <w:sz w:val="32"/>
        </w:rPr>
        <w:t>其中：基本支出4,626.11万元，占72.52%；项目支出1,753.04万元，占27.48%；上缴上级支出0.00万元，占0.00%；经营支出0.00万元，占0.00%；对附属单位补助支出0.00万元，占0.00%。</w:t>
      </w:r>
    </w:p>
    <w:p w14:paraId="15038E37">
      <w:pPr>
        <w:spacing w:line="640" w:lineRule="exact"/>
        <w:ind w:firstLine="640"/>
        <w:jc w:val="both"/>
        <w:outlineLvl w:val="2"/>
      </w:pPr>
      <w:r>
        <w:rPr>
          <w:rFonts w:ascii="黑体" w:hAnsi="黑体" w:eastAsia="黑体"/>
          <w:sz w:val="32"/>
        </w:rPr>
        <w:t>四、财政拨款收入支出决算总体情况说明</w:t>
      </w:r>
    </w:p>
    <w:p w14:paraId="0EC77D62">
      <w:pPr>
        <w:spacing w:line="580" w:lineRule="exact"/>
        <w:ind w:firstLine="640"/>
        <w:jc w:val="both"/>
      </w:pPr>
      <w:r>
        <w:rPr>
          <w:rFonts w:ascii="仿宋_GB2312" w:hAnsi="仿宋_GB2312" w:eastAsia="仿宋_GB2312"/>
          <w:b/>
          <w:sz w:val="32"/>
        </w:rPr>
        <w:t>2024年度财政拨款收入总计6,357.11万元，</w:t>
      </w:r>
      <w:r>
        <w:rPr>
          <w:rFonts w:ascii="仿宋_GB2312" w:hAnsi="仿宋_GB2312" w:eastAsia="仿宋_GB2312"/>
          <w:b w:val="0"/>
          <w:sz w:val="32"/>
        </w:rPr>
        <w:t>其中：年初财政拨款结转和结余0.00万元，本年财政拨款收入6,357.11万元。</w:t>
      </w:r>
      <w:r>
        <w:rPr>
          <w:rFonts w:ascii="仿宋_GB2312" w:hAnsi="仿宋_GB2312" w:eastAsia="仿宋_GB2312"/>
          <w:b/>
          <w:sz w:val="32"/>
        </w:rPr>
        <w:t>财政拨款支出总计6,357.11万元，</w:t>
      </w:r>
      <w:r>
        <w:rPr>
          <w:rFonts w:ascii="仿宋_GB2312" w:hAnsi="仿宋_GB2312" w:eastAsia="仿宋_GB2312"/>
          <w:b w:val="0"/>
          <w:sz w:val="32"/>
        </w:rPr>
        <w:t>其中：年末财政拨款结转和结余0.00万元，本年财政拨款支出6,357.11万元。</w:t>
      </w:r>
    </w:p>
    <w:p w14:paraId="5BD89CA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698.86万元，增长12.35%，主要原因是：本年在职人员工资调增，社保、公积金基数调增，人员经费增加；本年增加小学学生的城乡义务教育营养膳食补助项目、城乡义务教育补助经费公用经费、城乡义务教育家庭经济困难学生生活补助项目等。</w:t>
      </w:r>
      <w:r>
        <w:rPr>
          <w:rFonts w:ascii="仿宋_GB2312" w:hAnsi="仿宋_GB2312" w:eastAsia="仿宋_GB2312"/>
          <w:b/>
          <w:sz w:val="32"/>
        </w:rPr>
        <w:t>与年初预算相比，</w:t>
      </w:r>
      <w:r>
        <w:rPr>
          <w:rFonts w:ascii="仿宋_GB2312" w:hAnsi="仿宋_GB2312" w:eastAsia="仿宋_GB2312"/>
          <w:b w:val="0"/>
          <w:sz w:val="32"/>
        </w:rPr>
        <w:t>年初预算数6,348.90万元，决算数6,357.11万元，预决算差异率0.13%，主要原因是：年中追加在职人员工资、社保、公积金等相关人员经费资金，导致预决算存在差异。</w:t>
      </w:r>
    </w:p>
    <w:p w14:paraId="20BD3E0D">
      <w:pPr>
        <w:spacing w:line="640" w:lineRule="exact"/>
        <w:ind w:firstLine="640"/>
        <w:jc w:val="both"/>
        <w:outlineLvl w:val="2"/>
      </w:pPr>
      <w:r>
        <w:rPr>
          <w:rFonts w:ascii="黑体" w:hAnsi="黑体" w:eastAsia="黑体"/>
          <w:sz w:val="32"/>
        </w:rPr>
        <w:t>五、一般公共预算财政拨款支出决算情况说明</w:t>
      </w:r>
    </w:p>
    <w:p w14:paraId="4695AE1C">
      <w:pPr>
        <w:spacing w:line="640" w:lineRule="exact"/>
        <w:ind w:firstLine="640"/>
        <w:jc w:val="both"/>
        <w:outlineLvl w:val="3"/>
      </w:pPr>
      <w:r>
        <w:rPr>
          <w:rFonts w:ascii="楷体_GB2312" w:hAnsi="楷体_GB2312" w:eastAsia="楷体_GB2312"/>
          <w:b/>
          <w:sz w:val="32"/>
        </w:rPr>
        <w:t>（一）一般公共预算财政拨款支出决算总体情况</w:t>
      </w:r>
    </w:p>
    <w:p w14:paraId="06C6E061">
      <w:pPr>
        <w:spacing w:line="580" w:lineRule="exact"/>
        <w:ind w:firstLine="640"/>
        <w:jc w:val="both"/>
      </w:pPr>
      <w:r>
        <w:rPr>
          <w:rFonts w:ascii="仿宋_GB2312" w:hAnsi="仿宋_GB2312" w:eastAsia="仿宋_GB2312"/>
          <w:b/>
          <w:sz w:val="32"/>
        </w:rPr>
        <w:t>2024年度一般公共预算财政拨款支出6,357.11万元，</w:t>
      </w:r>
      <w:r>
        <w:rPr>
          <w:rFonts w:ascii="仿宋_GB2312" w:hAnsi="仿宋_GB2312" w:eastAsia="仿宋_GB2312"/>
          <w:b w:val="0"/>
          <w:sz w:val="32"/>
        </w:rPr>
        <w:t>占本年支出合计的99.65%。</w:t>
      </w:r>
      <w:r>
        <w:rPr>
          <w:rFonts w:ascii="仿宋_GB2312" w:hAnsi="仿宋_GB2312" w:eastAsia="仿宋_GB2312"/>
          <w:b/>
          <w:sz w:val="32"/>
        </w:rPr>
        <w:t>与上年相比，</w:t>
      </w:r>
      <w:r>
        <w:rPr>
          <w:rFonts w:ascii="仿宋_GB2312" w:hAnsi="仿宋_GB2312" w:eastAsia="仿宋_GB2312"/>
          <w:b w:val="0"/>
          <w:sz w:val="32"/>
        </w:rPr>
        <w:t>增加698.86万元，增长12.35%，主要原因是：本年在职人员工资调增，社保、公积金基数调增，人员经费增加；本年增加小学学生的城乡义务教育营养膳食补助项目、城乡义务教育补助经费公用经费、城乡义务教育家庭经济困难学生生活补助项目等。</w:t>
      </w:r>
      <w:r>
        <w:rPr>
          <w:rFonts w:ascii="仿宋_GB2312" w:hAnsi="仿宋_GB2312" w:eastAsia="仿宋_GB2312"/>
          <w:b/>
          <w:sz w:val="32"/>
        </w:rPr>
        <w:t>与年初预算相比,</w:t>
      </w:r>
      <w:r>
        <w:rPr>
          <w:rFonts w:ascii="仿宋_GB2312" w:hAnsi="仿宋_GB2312" w:eastAsia="仿宋_GB2312"/>
          <w:b w:val="0"/>
          <w:sz w:val="32"/>
        </w:rPr>
        <w:t>年初预算数6,348.90万元，决算数6,357.11万元，预决算差异率0.13%，主要原因是：年中追加在职人员工资、社保、公积金等相关人员经费资金，导致预决算存在差异。</w:t>
      </w:r>
    </w:p>
    <w:p w14:paraId="5F3029C1">
      <w:pPr>
        <w:spacing w:line="640" w:lineRule="exact"/>
        <w:ind w:firstLine="640"/>
        <w:jc w:val="both"/>
        <w:outlineLvl w:val="3"/>
      </w:pPr>
      <w:r>
        <w:rPr>
          <w:rFonts w:ascii="楷体_GB2312" w:hAnsi="楷体_GB2312" w:eastAsia="楷体_GB2312"/>
          <w:b/>
          <w:sz w:val="32"/>
        </w:rPr>
        <w:t>（二）一般公共预算财政拨款支出决算结构情况</w:t>
      </w:r>
    </w:p>
    <w:p w14:paraId="754F5FE3">
      <w:pPr>
        <w:spacing w:line="580" w:lineRule="exact"/>
        <w:ind w:firstLine="640"/>
        <w:jc w:val="both"/>
      </w:pPr>
      <w:r>
        <w:rPr>
          <w:rFonts w:ascii="仿宋_GB2312" w:hAnsi="仿宋_GB2312" w:eastAsia="仿宋_GB2312"/>
          <w:b w:val="0"/>
          <w:sz w:val="32"/>
        </w:rPr>
        <w:t>1.教育支出(类)6,357.11万元,占100.00%。</w:t>
      </w:r>
    </w:p>
    <w:p w14:paraId="0B36037C">
      <w:pPr>
        <w:spacing w:line="640" w:lineRule="exact"/>
        <w:ind w:firstLine="640"/>
        <w:jc w:val="both"/>
        <w:outlineLvl w:val="3"/>
      </w:pPr>
      <w:r>
        <w:rPr>
          <w:rFonts w:ascii="楷体_GB2312" w:hAnsi="楷体_GB2312" w:eastAsia="楷体_GB2312"/>
          <w:b/>
          <w:sz w:val="32"/>
        </w:rPr>
        <w:t>（三）一般公共预算财政拨款支出决算具体情况</w:t>
      </w:r>
    </w:p>
    <w:p w14:paraId="39D274C0">
      <w:pPr>
        <w:spacing w:line="580" w:lineRule="exact"/>
        <w:ind w:firstLine="640"/>
        <w:jc w:val="both"/>
      </w:pPr>
      <w:r>
        <w:rPr>
          <w:rFonts w:ascii="仿宋_GB2312" w:hAnsi="仿宋_GB2312" w:eastAsia="仿宋_GB2312"/>
          <w:b w:val="0"/>
          <w:sz w:val="32"/>
        </w:rPr>
        <w:t>1.教育支出(类)普通教育(款)小学教育(项):支出决算数为6,234.02万元，比上年决算增加593.93万元，增长10.53%,主要原因是：本年在职人员工资调增，社保、公积金基数调增，人员经费增加；本年增加小学学生的城乡义务教育营养膳食补助项目、城乡义务教育补助经费公用经费、城乡义务教育家庭经济困难学生生活补助项目等。</w:t>
      </w:r>
    </w:p>
    <w:p w14:paraId="7C0C0EF8">
      <w:pPr>
        <w:spacing w:line="580" w:lineRule="exact"/>
        <w:ind w:firstLine="640"/>
        <w:jc w:val="both"/>
      </w:pPr>
      <w:r>
        <w:rPr>
          <w:rFonts w:ascii="仿宋_GB2312" w:hAnsi="仿宋_GB2312" w:eastAsia="仿宋_GB2312"/>
          <w:b w:val="0"/>
          <w:sz w:val="32"/>
        </w:rPr>
        <w:t>2.教育支出(类)普通教育(款)初中教育(项):支出决算数为92.29万元，比上年决算增加92.29万元，增长100.00%,主要原因是：本年增加初中部学生城乡义务教育补助经费家庭经济困难学生生活补助（中央直达第一批）、城乡义务教育补助经费营养膳食补助（中央直达第一批）。</w:t>
      </w:r>
    </w:p>
    <w:p w14:paraId="3F1AF002">
      <w:pPr>
        <w:spacing w:line="580" w:lineRule="exact"/>
        <w:ind w:firstLine="640"/>
        <w:jc w:val="both"/>
      </w:pPr>
      <w:r>
        <w:rPr>
          <w:rFonts w:ascii="仿宋_GB2312" w:hAnsi="仿宋_GB2312" w:eastAsia="仿宋_GB2312"/>
          <w:b w:val="0"/>
          <w:sz w:val="32"/>
        </w:rPr>
        <w:t>3.教育支出(类)特殊教育(款)特殊学校教育(项):支出决算数为30.80万元，比上年决算增加12.64万元，增长69.60%,主要原因是：本年增加特殊儿童补助经费项目。</w:t>
      </w:r>
    </w:p>
    <w:p w14:paraId="7315FBE4">
      <w:pPr>
        <w:spacing w:line="640" w:lineRule="exact"/>
        <w:ind w:firstLine="640"/>
        <w:jc w:val="both"/>
        <w:outlineLvl w:val="2"/>
      </w:pPr>
      <w:r>
        <w:rPr>
          <w:rFonts w:ascii="黑体" w:hAnsi="黑体" w:eastAsia="黑体"/>
          <w:sz w:val="32"/>
        </w:rPr>
        <w:t>六、一般公共预算财政拨款基本支出决算情况说明</w:t>
      </w:r>
    </w:p>
    <w:p w14:paraId="7C8D558A">
      <w:pPr>
        <w:spacing w:line="580" w:lineRule="exact"/>
        <w:ind w:firstLine="640"/>
        <w:jc w:val="both"/>
      </w:pPr>
      <w:r>
        <w:rPr>
          <w:rFonts w:ascii="仿宋_GB2312" w:hAnsi="仿宋_GB2312" w:eastAsia="仿宋_GB2312"/>
          <w:b w:val="0"/>
          <w:sz w:val="32"/>
        </w:rPr>
        <w:t>2024年度一般公共预算财政拨款基本支出4,626.11万元，其中：</w:t>
      </w:r>
      <w:r>
        <w:rPr>
          <w:rFonts w:ascii="仿宋_GB2312" w:hAnsi="仿宋_GB2312" w:eastAsia="仿宋_GB2312"/>
          <w:b/>
          <w:sz w:val="32"/>
        </w:rPr>
        <w:t>人员经费4,626.11万元，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3231249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7A7EF78">
      <w:pPr>
        <w:spacing w:line="640" w:lineRule="exact"/>
        <w:ind w:firstLine="640"/>
        <w:jc w:val="both"/>
        <w:outlineLvl w:val="2"/>
      </w:pPr>
      <w:r>
        <w:rPr>
          <w:rFonts w:ascii="黑体" w:hAnsi="黑体" w:eastAsia="黑体"/>
          <w:sz w:val="32"/>
        </w:rPr>
        <w:t>七、政府性基金预算财政拨款收入支出决算情况说明</w:t>
      </w:r>
    </w:p>
    <w:p w14:paraId="61D2673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D814DBD">
      <w:pPr>
        <w:spacing w:line="640" w:lineRule="exact"/>
        <w:ind w:firstLine="640"/>
        <w:jc w:val="both"/>
        <w:outlineLvl w:val="2"/>
      </w:pPr>
      <w:r>
        <w:rPr>
          <w:rFonts w:ascii="黑体" w:hAnsi="黑体" w:eastAsia="黑体"/>
          <w:sz w:val="32"/>
        </w:rPr>
        <w:t>八、国有资本经营预算财政拨款收入支出决算情况说明</w:t>
      </w:r>
    </w:p>
    <w:p w14:paraId="2340508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1BECF43">
      <w:pPr>
        <w:spacing w:line="640" w:lineRule="exact"/>
        <w:ind w:firstLine="640"/>
        <w:jc w:val="both"/>
        <w:outlineLvl w:val="2"/>
      </w:pPr>
      <w:r>
        <w:rPr>
          <w:rFonts w:ascii="黑体" w:hAnsi="黑体" w:eastAsia="黑体"/>
          <w:sz w:val="32"/>
        </w:rPr>
        <w:t>九、财政拨款“三公”经费支出决算情况说明</w:t>
      </w:r>
    </w:p>
    <w:p w14:paraId="7AA04A2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B812715">
      <w:pPr>
        <w:spacing w:line="580" w:lineRule="exact"/>
        <w:ind w:firstLine="640"/>
        <w:jc w:val="both"/>
      </w:pPr>
      <w:r>
        <w:rPr>
          <w:rFonts w:ascii="仿宋_GB2312" w:hAnsi="仿宋_GB2312" w:eastAsia="仿宋_GB2312"/>
          <w:b/>
          <w:sz w:val="32"/>
        </w:rPr>
        <w:t>具体情况如下：</w:t>
      </w:r>
    </w:p>
    <w:p w14:paraId="5355D76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1B7D52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DEE53C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0752D1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5838230">
      <w:pPr>
        <w:spacing w:line="640" w:lineRule="exact"/>
        <w:ind w:firstLine="640"/>
        <w:jc w:val="both"/>
        <w:outlineLvl w:val="2"/>
      </w:pPr>
      <w:r>
        <w:rPr>
          <w:rFonts w:ascii="黑体" w:hAnsi="黑体" w:eastAsia="黑体"/>
          <w:sz w:val="32"/>
        </w:rPr>
        <w:t>十、其他重要事项的情况说明</w:t>
      </w:r>
    </w:p>
    <w:p w14:paraId="3928E874">
      <w:pPr>
        <w:spacing w:line="640" w:lineRule="exact"/>
        <w:ind w:firstLine="640"/>
        <w:jc w:val="both"/>
        <w:outlineLvl w:val="3"/>
      </w:pPr>
      <w:r>
        <w:rPr>
          <w:rFonts w:ascii="楷体_GB2312" w:hAnsi="楷体_GB2312" w:eastAsia="楷体_GB2312"/>
          <w:b/>
          <w:sz w:val="32"/>
        </w:rPr>
        <w:t>（一）机关运行经费及公用经费支出情况</w:t>
      </w:r>
    </w:p>
    <w:p w14:paraId="00D60AD4">
      <w:pPr>
        <w:spacing w:line="580" w:lineRule="exact"/>
        <w:ind w:firstLine="640"/>
        <w:jc w:val="both"/>
      </w:pPr>
      <w:r>
        <w:rPr>
          <w:rFonts w:ascii="仿宋_GB2312" w:hAnsi="仿宋_GB2312" w:eastAsia="仿宋_GB2312"/>
          <w:b w:val="0"/>
          <w:sz w:val="32"/>
        </w:rPr>
        <w:t>2024年度伽师县米夏乡第一小学（事业单位）公用经费支出0.00万元，比上年增加0.00万元，增长0.00%，主要原因是：2023年与2024年均未安排公用经费支出。</w:t>
      </w:r>
    </w:p>
    <w:p w14:paraId="29BAE14F">
      <w:pPr>
        <w:spacing w:line="640" w:lineRule="exact"/>
        <w:ind w:firstLine="640"/>
        <w:jc w:val="both"/>
        <w:outlineLvl w:val="3"/>
      </w:pPr>
      <w:r>
        <w:rPr>
          <w:rFonts w:ascii="楷体_GB2312" w:hAnsi="楷体_GB2312" w:eastAsia="楷体_GB2312"/>
          <w:b/>
          <w:sz w:val="32"/>
        </w:rPr>
        <w:t>（二）政府采购情况</w:t>
      </w:r>
    </w:p>
    <w:p w14:paraId="52881CCC">
      <w:pPr>
        <w:spacing w:line="580" w:lineRule="exact"/>
        <w:ind w:firstLine="640"/>
        <w:jc w:val="both"/>
      </w:pPr>
      <w:r>
        <w:rPr>
          <w:rFonts w:ascii="仿宋_GB2312" w:hAnsi="仿宋_GB2312" w:eastAsia="仿宋_GB2312"/>
          <w:b w:val="0"/>
          <w:sz w:val="32"/>
        </w:rPr>
        <w:t>2024年度政府采购支出总额652.15万元，其中：政府采购货物支出652.15万元、政府采购工程支出0.00万元、政府采购服务支出0.00万元。</w:t>
      </w:r>
    </w:p>
    <w:p w14:paraId="2815B4A8">
      <w:pPr>
        <w:spacing w:line="580" w:lineRule="exact"/>
        <w:ind w:firstLine="640"/>
        <w:jc w:val="both"/>
      </w:pPr>
      <w:r>
        <w:rPr>
          <w:rFonts w:ascii="仿宋_GB2312" w:hAnsi="仿宋_GB2312" w:eastAsia="仿宋_GB2312"/>
          <w:b w:val="0"/>
          <w:sz w:val="32"/>
        </w:rPr>
        <w:t>授予中小企业合同金额652.15万元，占政府采购支出总额的100.00%，其中：授予小微企业合同金额569.73万元，占政府采购支出总额的87.36%。</w:t>
      </w:r>
    </w:p>
    <w:p w14:paraId="4BBAB997">
      <w:pPr>
        <w:spacing w:line="640" w:lineRule="exact"/>
        <w:ind w:firstLine="640"/>
        <w:jc w:val="both"/>
        <w:outlineLvl w:val="3"/>
      </w:pPr>
      <w:r>
        <w:rPr>
          <w:rFonts w:ascii="楷体_GB2312" w:hAnsi="楷体_GB2312" w:eastAsia="楷体_GB2312"/>
          <w:b/>
          <w:sz w:val="32"/>
        </w:rPr>
        <w:t>（三）国有资产占用情况说明</w:t>
      </w:r>
    </w:p>
    <w:p w14:paraId="60120923">
      <w:pPr>
        <w:spacing w:line="580" w:lineRule="exact"/>
        <w:ind w:firstLine="640"/>
        <w:jc w:val="both"/>
      </w:pPr>
      <w:r>
        <w:rPr>
          <w:rFonts w:ascii="仿宋_GB2312" w:hAnsi="仿宋_GB2312" w:eastAsia="仿宋_GB2312"/>
          <w:b w:val="0"/>
          <w:sz w:val="32"/>
        </w:rPr>
        <w:t>截至2024年12月31日，房屋41,634.39平方米，价值6,471.96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1C7E3CF6">
      <w:pPr>
        <w:spacing w:line="640" w:lineRule="exact"/>
        <w:ind w:firstLine="640"/>
        <w:jc w:val="both"/>
        <w:outlineLvl w:val="2"/>
      </w:pPr>
      <w:r>
        <w:rPr>
          <w:rFonts w:ascii="黑体" w:hAnsi="黑体" w:eastAsia="黑体"/>
          <w:sz w:val="32"/>
        </w:rPr>
        <w:t>十一、预算绩效的情况说明</w:t>
      </w:r>
    </w:p>
    <w:p w14:paraId="7BF6FC8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6211EB20">
      <w:r>
        <w:br w:type="page"/>
      </w:r>
    </w:p>
    <w:p w14:paraId="58663355">
      <w:pPr>
        <w:spacing w:line="640" w:lineRule="exact"/>
        <w:ind w:firstLine="640"/>
        <w:jc w:val="both"/>
        <w:outlineLvl w:val="2"/>
      </w:pPr>
      <w:r>
        <w:rPr>
          <w:rFonts w:ascii="黑体" w:hAnsi="黑体" w:eastAsia="黑体"/>
          <w:sz w:val="32"/>
        </w:rPr>
        <w:t>十二、其他需说明的事项</w:t>
      </w:r>
    </w:p>
    <w:p w14:paraId="46E4A451">
      <w:pPr>
        <w:spacing w:line="580" w:lineRule="exact"/>
        <w:ind w:firstLine="640"/>
        <w:jc w:val="both"/>
      </w:pPr>
      <w:r>
        <w:rPr>
          <w:rFonts w:ascii="仿宋_GB2312" w:hAnsi="仿宋_GB2312" w:eastAsia="仿宋_GB2312"/>
          <w:b w:val="0"/>
          <w:sz w:val="32"/>
        </w:rPr>
        <w:t>本年度本单位整体绩效自评表由伽师县教育局编报并公开。</w:t>
      </w:r>
    </w:p>
    <w:p w14:paraId="52C52EB9">
      <w:r>
        <w:br w:type="page"/>
      </w:r>
    </w:p>
    <w:p w14:paraId="06C8A60E">
      <w:pPr>
        <w:spacing w:line="240" w:lineRule="auto"/>
        <w:jc w:val="center"/>
        <w:outlineLvl w:val="1"/>
      </w:pPr>
      <w:r>
        <w:rPr>
          <w:rFonts w:ascii="黑体" w:hAnsi="黑体" w:eastAsia="黑体"/>
          <w:sz w:val="32"/>
        </w:rPr>
        <w:t>第三部分 专业名词解释</w:t>
      </w:r>
    </w:p>
    <w:p w14:paraId="09500E4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E577B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0411C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CFCA6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EB7900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7B3DF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D2A0C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D8F83D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48D09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6D7BDA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07BE0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179E8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DFE64B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0E3A1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86FAA6F">
      <w:r>
        <w:br w:type="page"/>
      </w:r>
    </w:p>
    <w:p w14:paraId="52AFC5F5">
      <w:pPr>
        <w:spacing w:line="240" w:lineRule="auto"/>
        <w:jc w:val="center"/>
        <w:outlineLvl w:val="1"/>
      </w:pPr>
      <w:r>
        <w:rPr>
          <w:rFonts w:ascii="黑体" w:hAnsi="黑体" w:eastAsia="黑体"/>
          <w:sz w:val="32"/>
        </w:rPr>
        <w:t>第四部分 部门决算报表（见附表）</w:t>
      </w:r>
    </w:p>
    <w:p w14:paraId="26BF71C7">
      <w:pPr>
        <w:spacing w:line="240" w:lineRule="auto"/>
        <w:ind w:firstLine="640"/>
        <w:jc w:val="both"/>
      </w:pPr>
      <w:r>
        <w:rPr>
          <w:rFonts w:ascii="仿宋_GB2312" w:hAnsi="仿宋_GB2312" w:eastAsia="仿宋_GB2312"/>
          <w:b w:val="0"/>
          <w:sz w:val="32"/>
        </w:rPr>
        <w:t>一、《收入支出决算总表》</w:t>
      </w:r>
    </w:p>
    <w:p w14:paraId="3126A839">
      <w:pPr>
        <w:spacing w:line="240" w:lineRule="auto"/>
        <w:ind w:firstLine="640"/>
        <w:jc w:val="both"/>
      </w:pPr>
      <w:r>
        <w:rPr>
          <w:rFonts w:ascii="仿宋_GB2312" w:hAnsi="仿宋_GB2312" w:eastAsia="仿宋_GB2312"/>
          <w:b w:val="0"/>
          <w:sz w:val="32"/>
        </w:rPr>
        <w:t>二、《收入决算表》</w:t>
      </w:r>
    </w:p>
    <w:p w14:paraId="11C80083">
      <w:pPr>
        <w:spacing w:line="240" w:lineRule="auto"/>
        <w:ind w:firstLine="640"/>
        <w:jc w:val="both"/>
      </w:pPr>
      <w:r>
        <w:rPr>
          <w:rFonts w:ascii="仿宋_GB2312" w:hAnsi="仿宋_GB2312" w:eastAsia="仿宋_GB2312"/>
          <w:b w:val="0"/>
          <w:sz w:val="32"/>
        </w:rPr>
        <w:t>三、《支出决算表》</w:t>
      </w:r>
    </w:p>
    <w:p w14:paraId="748D8338">
      <w:pPr>
        <w:spacing w:line="240" w:lineRule="auto"/>
        <w:ind w:firstLine="640"/>
        <w:jc w:val="both"/>
      </w:pPr>
      <w:r>
        <w:rPr>
          <w:rFonts w:ascii="仿宋_GB2312" w:hAnsi="仿宋_GB2312" w:eastAsia="仿宋_GB2312"/>
          <w:b w:val="0"/>
          <w:sz w:val="32"/>
        </w:rPr>
        <w:t>四、《财政拨款收入支出决算总表》</w:t>
      </w:r>
    </w:p>
    <w:p w14:paraId="365D708D">
      <w:pPr>
        <w:spacing w:line="240" w:lineRule="auto"/>
        <w:ind w:firstLine="640"/>
        <w:jc w:val="both"/>
      </w:pPr>
      <w:r>
        <w:rPr>
          <w:rFonts w:ascii="仿宋_GB2312" w:hAnsi="仿宋_GB2312" w:eastAsia="仿宋_GB2312"/>
          <w:b w:val="0"/>
          <w:sz w:val="32"/>
        </w:rPr>
        <w:t>五、《一般公共预算财政拨款支出决算表》</w:t>
      </w:r>
    </w:p>
    <w:p w14:paraId="14609300">
      <w:pPr>
        <w:spacing w:line="240" w:lineRule="auto"/>
        <w:ind w:firstLine="640"/>
        <w:jc w:val="both"/>
      </w:pPr>
      <w:r>
        <w:rPr>
          <w:rFonts w:ascii="仿宋_GB2312" w:hAnsi="仿宋_GB2312" w:eastAsia="仿宋_GB2312"/>
          <w:b w:val="0"/>
          <w:sz w:val="32"/>
        </w:rPr>
        <w:t>六、《一般公共预算财政拨款基本支出决算表》</w:t>
      </w:r>
    </w:p>
    <w:p w14:paraId="4551325F">
      <w:pPr>
        <w:spacing w:line="240" w:lineRule="auto"/>
        <w:ind w:firstLine="640"/>
        <w:jc w:val="both"/>
      </w:pPr>
      <w:r>
        <w:rPr>
          <w:rFonts w:ascii="仿宋_GB2312" w:hAnsi="仿宋_GB2312" w:eastAsia="仿宋_GB2312"/>
          <w:b w:val="0"/>
          <w:sz w:val="32"/>
        </w:rPr>
        <w:t>七、《政府性基金预算财政拨款收入支出决算表》</w:t>
      </w:r>
    </w:p>
    <w:p w14:paraId="617C8CA7">
      <w:pPr>
        <w:spacing w:line="240" w:lineRule="auto"/>
        <w:ind w:firstLine="640"/>
        <w:jc w:val="both"/>
      </w:pPr>
      <w:r>
        <w:rPr>
          <w:rFonts w:ascii="仿宋_GB2312" w:hAnsi="仿宋_GB2312" w:eastAsia="仿宋_GB2312"/>
          <w:b w:val="0"/>
          <w:sz w:val="32"/>
        </w:rPr>
        <w:t>八、《国有资本经营预算财政拨款收入支出决算表》</w:t>
      </w:r>
    </w:p>
    <w:p w14:paraId="43C75920">
      <w:pPr>
        <w:spacing w:line="240" w:lineRule="auto"/>
        <w:ind w:firstLine="640"/>
        <w:jc w:val="both"/>
      </w:pPr>
      <w:r>
        <w:rPr>
          <w:rFonts w:ascii="仿宋_GB2312" w:hAnsi="仿宋_GB2312" w:eastAsia="仿宋_GB2312"/>
          <w:b w:val="0"/>
          <w:sz w:val="32"/>
        </w:rPr>
        <w:t>九、《财政拨款“三公”经费支出决算表》</w:t>
      </w:r>
    </w:p>
    <w:p w14:paraId="22069C51">
      <w:pPr>
        <w:spacing w:line="240" w:lineRule="auto"/>
        <w:ind w:firstLine="640"/>
        <w:jc w:val="both"/>
      </w:pPr>
    </w:p>
    <w:p w14:paraId="3F2A8C73">
      <w:pPr>
        <w:spacing w:line="240" w:lineRule="auto"/>
        <w:ind w:firstLine="640"/>
        <w:jc w:val="both"/>
      </w:pPr>
    </w:p>
    <w:p w14:paraId="4137A118">
      <w:pPr>
        <w:spacing w:line="240" w:lineRule="auto"/>
        <w:ind w:firstLine="640"/>
        <w:jc w:val="both"/>
      </w:pPr>
    </w:p>
    <w:p w14:paraId="1417C963">
      <w:pPr>
        <w:spacing w:line="240" w:lineRule="auto"/>
        <w:ind w:firstLine="640"/>
        <w:jc w:val="both"/>
      </w:pPr>
    </w:p>
    <w:p w14:paraId="23C4D90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E2AFDA-BABB-43A5-9D98-95E511BF4F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D4B3574-B396-4A7D-9333-4817A57DA477}"/>
  </w:font>
  <w:font w:name="仿宋_GB2312">
    <w:altName w:val="仿宋"/>
    <w:panose1 w:val="02010609030101010101"/>
    <w:charset w:val="86"/>
    <w:family w:val="modern"/>
    <w:pitch w:val="default"/>
    <w:sig w:usb0="00000000" w:usb1="00000000" w:usb2="00000000" w:usb3="00000000" w:csb0="00040000" w:csb1="00000000"/>
    <w:embedRegular r:id="rId3" w:fontKey="{900F25E6-77CC-4B49-BF5B-6DA4B3E46E5B}"/>
  </w:font>
  <w:font w:name="楷体_GB2312">
    <w:altName w:val="楷体"/>
    <w:panose1 w:val="00000000000000000000"/>
    <w:charset w:val="00"/>
    <w:family w:val="auto"/>
    <w:pitch w:val="default"/>
    <w:sig w:usb0="00000000" w:usb1="00000000" w:usb2="00000000" w:usb3="00000000" w:csb0="00000000" w:csb1="00000000"/>
    <w:embedRegular r:id="rId4" w:fontKey="{5339EC59-3206-449F-B723-587D275CFBA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8A2597"/>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4869</Words>
  <Characters>5472</Characters>
  <Lines>0</Lines>
  <Paragraphs>0</Paragraphs>
  <TotalTime>0</TotalTime>
  <ScaleCrop>false</ScaleCrop>
  <LinksUpToDate>false</LinksUpToDate>
  <CharactersWithSpaces>5482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2025-09-17T04:59:24Z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