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伽师县职业技能培训中心2024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贯彻落实国家和自治区关于职业培训工作的法规、制度和政策，根据上级有关部门的要求，制定并实施全县职业技能培训工作计划，承担全县城乡各行各业就业再就业准入制岗位工种的集中培训工作。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伽师县职业技能培训中心2024年度，实有人数6人，其中：在职人员5人，增加0人；离休人员0人，增加0人；退休人员1人,增加0人。</w:t>
      </w:r>
    </w:p>
    <w:p>
      <w:pPr>
        <w:spacing w:line="580" w:lineRule="exact"/>
        <w:ind w:firstLine="640"/>
        <w:jc w:val="both"/>
      </w:pPr>
      <w:r>
        <w:rPr>
          <w:rFonts w:ascii="仿宋_GB2312" w:hAnsi="仿宋_GB2312" w:eastAsia="仿宋_GB2312"/>
          <w:sz w:val="32"/>
        </w:rPr>
        <w:t>伽师县职业技能培训中心无下属预算单位，下设1个科室，分别是：综合办公室。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2024年度收入总计95.14万元，</w:t>
      </w:r>
      <w:r>
        <w:rPr>
          <w:rFonts w:ascii="仿宋_GB2312" w:hAnsi="仿宋_GB2312" w:eastAsia="仿宋_GB2312"/>
          <w:b w:val="0"/>
          <w:sz w:val="32"/>
        </w:rPr>
        <w:t>其中：本年收入合计95.14万元，使用非财政拨款结余（含专用结余）0.00万元，年初结转和结余0.00万元。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2024年度支出总计95.14万元，</w:t>
      </w:r>
      <w:r>
        <w:rPr>
          <w:rFonts w:ascii="仿宋_GB2312" w:hAnsi="仿宋_GB2312" w:eastAsia="仿宋_GB2312"/>
          <w:b w:val="0"/>
          <w:sz w:val="32"/>
        </w:rPr>
        <w:t>其中：本年支出合计95.14万元，结余分配0.00万元，年末结转和结余0.00万元。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收入支出总体与上年相比，减少236.29万元，下降71.29%，主要原因是：本年减少职业技能培训补贴项目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伽师县援疆补助项目</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本年收入95.14万元，</w:t>
      </w:r>
      <w:r>
        <w:rPr>
          <w:rFonts w:ascii="仿宋_GB2312" w:hAnsi="仿宋_GB2312" w:eastAsia="仿宋_GB2312"/>
          <w:b w:val="0"/>
          <w:sz w:val="32"/>
        </w:rPr>
        <w:t>其中：财政拨款收入95.14万元，占100.00%；上级补助收入0.00万元，占0.00%；事业收入0.00万元，占0.00%；经营收入0.00万元，占0.00%；附属单位上缴收入0.00万元，占0.00%；其他收入0.00万元，占0.00%。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本年支出95.14万元，</w:t>
      </w:r>
      <w:r>
        <w:rPr>
          <w:rFonts w:ascii="仿宋_GB2312" w:hAnsi="仿宋_GB2312" w:eastAsia="仿宋_GB2312"/>
          <w:b w:val="0"/>
          <w:sz w:val="32"/>
        </w:rPr>
        <w:t>其中：基本支出95.14万元，占100.00%；项目支出0.00万元，占0.00%；上缴上级支出0.00万元，占0.00%；经营支出0.00万元，占0.00%；对附属单位补助支出0.00万元，占0.00%。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2024年度财政拨款收入总计95.14万元，</w:t>
      </w:r>
      <w:r>
        <w:rPr>
          <w:rFonts w:ascii="仿宋_GB2312" w:hAnsi="仿宋_GB2312" w:eastAsia="仿宋_GB2312"/>
          <w:b w:val="0"/>
          <w:sz w:val="32"/>
        </w:rPr>
        <w:t>其中：年初财政拨款结转和结余0.00万元，本年财政拨款收入95.14万元。</w:t>
      </w:r>
      <w:r>
        <w:rPr>
          <w:rFonts w:ascii="仿宋_GB2312" w:hAnsi="仿宋_GB2312" w:eastAsia="仿宋_GB2312"/>
          <w:b/>
          <w:sz w:val="32"/>
        </w:rPr>
        <w:t>财政拨款支出总计95.14万元，</w:t>
      </w:r>
      <w:r>
        <w:rPr>
          <w:rFonts w:ascii="仿宋_GB2312" w:hAnsi="仿宋_GB2312" w:eastAsia="仿宋_GB2312"/>
          <w:b w:val="0"/>
          <w:sz w:val="32"/>
        </w:rPr>
        <w:t>其中：年末财政拨款结转和结余0.00万元，本年财政拨款支出95.14万元。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减少1.29万元，下降1.34%，主要原因是：本年减少职业技能培训补贴项目，导致经费较上年减少。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年初预算数89.28万元，决算数95.14万元，预决算差异率6.56%，主要原因是：年中追加人员工资、社保、公积金基数调增部分资金。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2024年度一般公共预算财政拨款支出95.14万元，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减少1.29万元，下降1.34%，主要原因是：本年减少职业技能培训补贴项目，导致经费较上年减少。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年初预算数89.28万元，决算数95.14万元，预决算差异率6.56%，主要原因是：年中追加人员工资、社保、公积金基数调增部分资金。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1.教育支出(类)95.14万元,占100.00%。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1.教育支出(类)职业教育(款)其他职业教育支出(项):支出决算数为95.14万元，比上年决算减少1.29万元，下降1.34%,主要原因是：本年减少职业技能培训补贴项目，导致经费较上年减少。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2024年度一般公共预算财政拨款基本支出95.14万元，其中：</w:t>
      </w:r>
      <w:r>
        <w:rPr>
          <w:rFonts w:ascii="仿宋_GB2312" w:hAnsi="仿宋_GB2312" w:eastAsia="仿宋_GB2312"/>
          <w:b/>
          <w:sz w:val="32"/>
        </w:rPr>
        <w:t>人员经费93.30万元，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w:t>
      </w:r>
    </w:p>
    <w:p>
      <w:pPr>
        <w:spacing w:line="580" w:lineRule="exact"/>
        <w:ind w:firstLine="640"/>
        <w:jc w:val="both"/>
      </w:pPr>
      <w:r>
        <w:rPr>
          <w:rFonts w:ascii="仿宋_GB2312" w:hAnsi="仿宋_GB2312" w:eastAsia="仿宋_GB2312"/>
          <w:b/>
          <w:sz w:val="32"/>
        </w:rPr>
        <w:t>公用经费1.84万元，</w:t>
      </w:r>
      <w:r>
        <w:rPr>
          <w:rFonts w:ascii="仿宋_GB2312" w:hAnsi="仿宋_GB2312" w:eastAsia="仿宋_GB2312"/>
          <w:b w:val="0"/>
          <w:sz w:val="32"/>
        </w:rPr>
        <w:t>包括：办公费、印刷费、差旅费、公务接待费。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2024年度财政拨款“三公”经费支出0.04万元，</w:t>
      </w:r>
      <w:r>
        <w:rPr>
          <w:rFonts w:ascii="仿宋_GB2312" w:hAnsi="仿宋_GB2312" w:eastAsia="仿宋_GB2312"/>
          <w:b w:val="0"/>
          <w:sz w:val="32"/>
        </w:rPr>
        <w:t>比上年增加0.04万元，增长100.00%，主要原因是：本年因业务需求，增加公务接待工作，导致公务接待费较上年增加。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0.04万元，占100.00%，比上年增加0.04万元，增长100.00%，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公务接待费0.04万元，开支内容包括县技工学校工作人员指导工作，接待上级领导检查学习产生的就餐费。单位全年安排的国内公务接待1批次，5人次。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0.04万元，决算数0.04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0.04万元，决算数0.04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2024年度伽师县职业技能培训中心（事业单位）公用经费支出1.84万元，比上年增加1.12万元，增长155.56%，主要原因是：本年业务量增加，公用经费增加。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500.00平方米，价值35.00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95.14万元，实际执行总额95.14万元；预算绩效评价项目0个，全年预算数0.00万元，全年执行数0.00万元。预算绩效管理取得的成效：本单位无项目绩效自评表。发现的问题及原因：本单位无项目绩效自评表。下一步改进措施：本单位无项目绩效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伽师县职业技能培训中心</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深入</w:t>
            </w:r>
            <w:r>
              <w:rPr>
                <w:rFonts w:hint="eastAsia" w:ascii="宋体" w:hAnsi="宋体" w:eastAsia="宋体"/>
                <w:sz w:val="16"/>
              </w:rPr>
              <w:t>贯彻落实习近平总书记重要指示精神</w:t>
            </w:r>
            <w:r>
              <w:rPr>
                <w:rFonts w:ascii="宋体" w:hAnsi="宋体" w:eastAsia="宋体"/>
                <w:sz w:val="16"/>
              </w:rPr>
              <w:t>，大力发展技工教育，大规模开展职业技能培训，加快培养大批高素质劳动者和技术技能人才，深入贯彻落实第三次中央新疆工作座谈会精神，进一步落实自治区党委、地委、县委有关职业技能培训工作部署，坚持以人为本，以就业需求为导向，以提高劳动者就业竞争力为目标，结合各乡镇产业结构及特色，因地制宜做好社会劳动力培训工作，为农村劳动力顺利转移就业，增加农民收入，提升伽师竞争力，促进经济社会发展作出积极贡献。以习近平新时代中国特色社会主义思想为指导，紧紧围绕总目标，加强党对教育工作的领导，坚持社会主义办学方向，加强制度建设，做到管理到位、服务到位，确保学生在校学习快乐、生活快乐、成长快乐，努力使我校学生服务管理工作上一个新台阶，培养德智体美劳全面发展的社会主义事业建设者和接班人。2024年计划完成培训中心配备专兼职心理健康教师不低于3名；安排不低于8批次的教师参加各类培训；招收当年初中毕业学生人数不低于1800人；完成1179名学生的毕业服务工作；对不低于97%的毕业学生去向进行落实。</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深入</w:t>
            </w:r>
            <w:r>
              <w:rPr>
                <w:rFonts w:hint="eastAsia" w:ascii="宋体" w:hAnsi="宋体"/>
                <w:sz w:val="16"/>
                <w:lang w:eastAsia="zh-CN"/>
              </w:rPr>
              <w:t>贯彻落实习近平总书记重要指示精神</w:t>
            </w:r>
            <w:r>
              <w:rPr>
                <w:rFonts w:ascii="宋体" w:hAnsi="宋体" w:eastAsia="宋体"/>
                <w:sz w:val="16"/>
              </w:rPr>
              <w:t>，大力发展技工教育，大规模开展职业技能培训，加快培养大批高素质劳动者和技术技能人才，深入贯彻落实第三次中央新疆工作座谈会精神，进一步落实自治区党委、地委、县委有关职业技能培训工作部署，坚持以人为本，以就业需求为导向，以提高劳动者就业竞争力为目标，结合各乡镇产业结构及特色，因地制宜做好社会劳动力培训工作，为农村劳动力顺利转移就业，增加农民收入，提升伽师竞争力，促进经济社会发展作出积极贡献。以习近平新时代中国特色社会主义思想为指导，紧紧围绕总目标，加强党对教育工作的领导，坚持社会主义办学方向，加强制度建设，做到管理到位、服务到位，确保学生在校学习快乐、生活快乐、成长快乐，努力使我校学生服务管理工作上一个新台阶，培养德智体美劳全面发展的社会主义事业建设者和接班人。2024年完成培训中心配备专兼职心理健康教师3名；安排8批次的教师参加各类培训；招收当年初中毕业学生人数1800人；完成1179名学生的毕业服务工作；对97%的毕业学生去向进行落实。</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配备专兼职心理健康教师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伽师县职业技能培训中心2024年工作计划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安排教师参加各类培训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伽师县职业技能培训中心2024年工作计划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招生当年初中毕业学生人数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伽师县职业技能培训中心2024年工作计划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完成学生的毕业服务工作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=1179名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伽师县职业技能培训中心2024年工作计划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1179名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毕业学生去向落实率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伽师县职业技能培训中心2024年工作计划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4D41F4-1249-4623-96BA-F124B8551B9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F6B5A427-117C-4140-BC18-668A647D5F06}"/>
  </w:font>
  <w:font w:name="仿宋_GB2312">
    <w:panose1 w:val="02010609030101010101"/>
    <w:charset w:val="86"/>
    <w:family w:val="modern"/>
    <w:pitch w:val="default"/>
    <w:sig w:usb0="00000001" w:usb1="080E0000" w:usb2="00000000" w:usb3="00000000" w:csb0="00040000" w:csb1="00000000"/>
    <w:embedRegular r:id="rId3" w:fontKey="{055B30BE-29E1-44F0-AEC0-CB1D359AA3D8}"/>
  </w:font>
  <w:font w:name="楷体_GB2312">
    <w:panose1 w:val="02010609030101010101"/>
    <w:charset w:val="86"/>
    <w:family w:val="auto"/>
    <w:pitch w:val="default"/>
    <w:sig w:usb0="00000001" w:usb1="080E0000" w:usb2="00000000" w:usb3="00000000" w:csb0="00040000" w:csb1="00000000"/>
    <w:embedRegular r:id="rId4" w:fontKey="{16FEA4A0-1727-4EBA-8735-123D632510B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B3210B"/>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687A4D"/>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B911B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3339</Words>
  <Characters>3817</Characters>
  <Lines>0</Lines>
  <Paragraphs>0</Paragraphs>
  <TotalTime>7</TotalTime>
  <ScaleCrop>false</ScaleCrop>
  <LinksUpToDate>false</LinksUpToDate>
  <CharactersWithSpaces>3825</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2025-10-21T10:32:13Z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