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伽师县英买里镇中心小学2024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7667BC1">
      <w:r>
        <w:br w:type="page"/>
      </w:r>
    </w:p>
    <w:p w14:paraId="63976FDC">
      <w:pPr>
        <w:spacing w:line="640" w:lineRule="exact"/>
        <w:jc w:val="center"/>
        <w:outlineLvl w:val="1"/>
      </w:pPr>
      <w:r>
        <w:rPr>
          <w:rFonts w:ascii="黑体" w:hAnsi="黑体" w:eastAsia="黑体"/>
          <w:sz w:val="32"/>
        </w:rPr>
        <w:t>第一部分 单位概况</w:t>
      </w:r>
    </w:p>
    <w:p w14:paraId="5D85BE9E">
      <w:pPr>
        <w:spacing w:line="640" w:lineRule="exact"/>
        <w:ind w:firstLine="640"/>
        <w:jc w:val="both"/>
        <w:outlineLvl w:val="2"/>
      </w:pPr>
      <w:r>
        <w:rPr>
          <w:rFonts w:ascii="黑体" w:hAnsi="黑体" w:eastAsia="黑体"/>
          <w:sz w:val="32"/>
        </w:rPr>
        <w:t>一、主要职能</w:t>
      </w:r>
    </w:p>
    <w:p w14:paraId="5169CE13">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负责贯彻执行党的教育方针、政策、法规和规章制度、制定并组织实施学校</w:t>
      </w:r>
      <w:bookmarkStart w:id="0" w:name="_GoBack"/>
      <w:r>
        <w:rPr>
          <w:rFonts w:hint="eastAsia" w:ascii="仿宋_GB2312" w:hAnsi="仿宋_GB2312" w:eastAsia="仿宋_GB2312"/>
          <w:sz w:val="32"/>
          <w:lang w:eastAsia="zh-CN"/>
        </w:rPr>
        <w:t>学期</w:t>
      </w:r>
      <w:bookmarkEnd w:id="0"/>
      <w:r>
        <w:rPr>
          <w:rFonts w:ascii="仿宋_GB2312" w:hAnsi="仿宋_GB2312" w:eastAsia="仿宋_GB2312"/>
          <w:sz w:val="32"/>
        </w:rPr>
        <w:t>、学年计划及中长期规划。</w:t>
      </w:r>
    </w:p>
    <w:p w14:paraId="1B89AB6F">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负责学校教职工及</w:t>
      </w:r>
      <w:r>
        <w:rPr>
          <w:rFonts w:hint="eastAsia" w:ascii="仿宋_GB2312" w:hAnsi="仿宋_GB2312" w:eastAsia="仿宋_GB2312"/>
          <w:sz w:val="32"/>
          <w:lang w:eastAsia="zh-CN"/>
        </w:rPr>
        <w:t>学生</w:t>
      </w:r>
      <w:r>
        <w:rPr>
          <w:rFonts w:ascii="仿宋_GB2312" w:hAnsi="仿宋_GB2312" w:eastAsia="仿宋_GB2312"/>
          <w:sz w:val="32"/>
        </w:rPr>
        <w:t>思想政治工作。有组织有计划地培养、提高教师业务和教学能力；组织教职工进行继续教育，做好教职工的调配、奖惩、工资福利及其他各方面工作。</w:t>
      </w:r>
    </w:p>
    <w:p w14:paraId="18BAB726">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负责认真实施学</w:t>
      </w:r>
      <w:r>
        <w:rPr>
          <w:rFonts w:hint="eastAsia" w:ascii="仿宋_GB2312" w:hAnsi="仿宋_GB2312" w:eastAsia="仿宋_GB2312"/>
          <w:sz w:val="32"/>
          <w:lang w:val="en-US" w:eastAsia="zh-CN"/>
        </w:rPr>
        <w:t>生</w:t>
      </w:r>
      <w:r>
        <w:rPr>
          <w:rFonts w:ascii="仿宋_GB2312" w:hAnsi="仿宋_GB2312" w:eastAsia="仿宋_GB2312"/>
          <w:sz w:val="32"/>
        </w:rPr>
        <w:t>守则，行为规范及有关条例，实施素质教育，锻炼</w:t>
      </w:r>
      <w:r>
        <w:rPr>
          <w:rFonts w:hint="eastAsia" w:ascii="仿宋_GB2312" w:hAnsi="仿宋_GB2312" w:eastAsia="仿宋_GB2312"/>
          <w:sz w:val="32"/>
          <w:lang w:eastAsia="zh-CN"/>
        </w:rPr>
        <w:t>学生</w:t>
      </w:r>
      <w:r>
        <w:rPr>
          <w:rFonts w:ascii="仿宋_GB2312" w:hAnsi="仿宋_GB2312" w:eastAsia="仿宋_GB2312"/>
          <w:sz w:val="32"/>
        </w:rPr>
        <w:t>的实践能力，定期召开家长会、学生代表会，认真听取家长、学生对学校工作的意见和建议。</w:t>
      </w:r>
    </w:p>
    <w:p w14:paraId="65102496">
      <w:pPr>
        <w:spacing w:line="640" w:lineRule="exact"/>
        <w:ind w:firstLine="640"/>
        <w:jc w:val="both"/>
        <w:outlineLvl w:val="2"/>
      </w:pPr>
      <w:r>
        <w:rPr>
          <w:rFonts w:ascii="黑体" w:hAnsi="黑体" w:eastAsia="黑体"/>
          <w:sz w:val="32"/>
        </w:rPr>
        <w:t>二、机构设置及人员情况</w:t>
      </w:r>
    </w:p>
    <w:p w14:paraId="733575BC">
      <w:pPr>
        <w:spacing w:line="580" w:lineRule="exact"/>
        <w:ind w:firstLine="640"/>
        <w:jc w:val="both"/>
      </w:pPr>
      <w:r>
        <w:rPr>
          <w:rFonts w:ascii="仿宋_GB2312" w:hAnsi="仿宋_GB2312" w:eastAsia="仿宋_GB2312"/>
          <w:sz w:val="32"/>
        </w:rPr>
        <w:t>伽师县英买里镇中心小学2024年度，实有人数403人，其中：在职人员302人，减少9人；离休人员0人，增加0人；退休人员101人,增加5人。</w:t>
      </w:r>
    </w:p>
    <w:p w14:paraId="06A4CE90">
      <w:pPr>
        <w:spacing w:line="580" w:lineRule="exact"/>
        <w:ind w:firstLine="640"/>
        <w:jc w:val="both"/>
      </w:pPr>
      <w:r>
        <w:rPr>
          <w:rFonts w:ascii="仿宋_GB2312" w:hAnsi="仿宋_GB2312" w:eastAsia="仿宋_GB2312"/>
          <w:sz w:val="32"/>
        </w:rPr>
        <w:t>伽师县英买里镇中心小学无下属预算单位，下设6个科室，分别是：财务室、总务科、德育办、资助科、保卫科、医务室。</w:t>
      </w:r>
    </w:p>
    <w:p w14:paraId="1A9C3CD2">
      <w:r>
        <w:br w:type="page"/>
      </w:r>
    </w:p>
    <w:p w14:paraId="7E94B172">
      <w:pPr>
        <w:spacing w:line="240" w:lineRule="auto"/>
        <w:jc w:val="center"/>
        <w:outlineLvl w:val="1"/>
      </w:pPr>
      <w:r>
        <w:rPr>
          <w:rFonts w:ascii="黑体" w:hAnsi="黑体" w:eastAsia="黑体"/>
          <w:sz w:val="32"/>
        </w:rPr>
        <w:t>第二部分 部门决算情况说明</w:t>
      </w:r>
    </w:p>
    <w:p w14:paraId="1A982AC3">
      <w:pPr>
        <w:spacing w:line="640" w:lineRule="exact"/>
        <w:ind w:firstLine="640"/>
        <w:jc w:val="both"/>
        <w:outlineLvl w:val="2"/>
      </w:pPr>
      <w:r>
        <w:rPr>
          <w:rFonts w:ascii="黑体" w:hAnsi="黑体" w:eastAsia="黑体"/>
          <w:sz w:val="32"/>
        </w:rPr>
        <w:t>一、收入支出决算总体情况说明</w:t>
      </w:r>
    </w:p>
    <w:p w14:paraId="442B4C37">
      <w:pPr>
        <w:spacing w:line="580" w:lineRule="exact"/>
        <w:ind w:firstLine="640"/>
        <w:jc w:val="both"/>
      </w:pPr>
      <w:r>
        <w:rPr>
          <w:rFonts w:ascii="仿宋_GB2312" w:hAnsi="仿宋_GB2312" w:eastAsia="仿宋_GB2312"/>
          <w:b/>
          <w:sz w:val="32"/>
        </w:rPr>
        <w:t>2024年度收入总计6,776.55万元，</w:t>
      </w:r>
      <w:r>
        <w:rPr>
          <w:rFonts w:ascii="仿宋_GB2312" w:hAnsi="仿宋_GB2312" w:eastAsia="仿宋_GB2312"/>
          <w:b w:val="0"/>
          <w:sz w:val="32"/>
        </w:rPr>
        <w:t>其中：本年收入合计6,776.55万元，使用非财政拨款结余（含专用结余）0.00万元，年初结转和结余0.00万元。</w:t>
      </w:r>
    </w:p>
    <w:p w14:paraId="6893FB03">
      <w:pPr>
        <w:spacing w:line="580" w:lineRule="exact"/>
        <w:ind w:firstLine="640"/>
        <w:jc w:val="both"/>
      </w:pPr>
      <w:r>
        <w:rPr>
          <w:rFonts w:ascii="仿宋_GB2312" w:hAnsi="仿宋_GB2312" w:eastAsia="仿宋_GB2312"/>
          <w:b/>
          <w:sz w:val="32"/>
        </w:rPr>
        <w:t>2024年度支出总计6,776.55万元，</w:t>
      </w:r>
      <w:r>
        <w:rPr>
          <w:rFonts w:ascii="仿宋_GB2312" w:hAnsi="仿宋_GB2312" w:eastAsia="仿宋_GB2312"/>
          <w:b w:val="0"/>
          <w:sz w:val="32"/>
        </w:rPr>
        <w:t>其中：本年支出合计6,776.55万元，结余分配0.00万元，年末结转和结余0.00万元。</w:t>
      </w:r>
    </w:p>
    <w:p w14:paraId="142912F1">
      <w:pPr>
        <w:spacing w:line="580" w:lineRule="exact"/>
        <w:ind w:firstLine="640"/>
        <w:jc w:val="both"/>
      </w:pPr>
      <w:r>
        <w:rPr>
          <w:rFonts w:ascii="仿宋_GB2312" w:hAnsi="仿宋_GB2312" w:eastAsia="仿宋_GB2312"/>
          <w:b w:val="0"/>
          <w:sz w:val="32"/>
        </w:rPr>
        <w:t>收入支出总体与上年相比，增加128.54万元，增长1.93%，主要原因是：本年学生公用经费，学生伙食补助，营养膳食等项目资金较上年增加。</w:t>
      </w:r>
    </w:p>
    <w:p w14:paraId="428331FE">
      <w:pPr>
        <w:spacing w:line="640" w:lineRule="exact"/>
        <w:ind w:firstLine="640"/>
        <w:jc w:val="both"/>
        <w:outlineLvl w:val="2"/>
      </w:pPr>
      <w:r>
        <w:rPr>
          <w:rFonts w:ascii="黑体" w:hAnsi="黑体" w:eastAsia="黑体"/>
          <w:sz w:val="32"/>
        </w:rPr>
        <w:t>二、收入决算情况说明</w:t>
      </w:r>
    </w:p>
    <w:p w14:paraId="4D61DDF0">
      <w:pPr>
        <w:spacing w:line="580" w:lineRule="exact"/>
        <w:ind w:firstLine="640"/>
        <w:jc w:val="both"/>
      </w:pPr>
      <w:r>
        <w:rPr>
          <w:rFonts w:ascii="仿宋_GB2312" w:hAnsi="仿宋_GB2312" w:eastAsia="仿宋_GB2312"/>
          <w:b/>
          <w:sz w:val="32"/>
        </w:rPr>
        <w:t>本年收入6,776.55万元，</w:t>
      </w:r>
      <w:r>
        <w:rPr>
          <w:rFonts w:ascii="仿宋_GB2312" w:hAnsi="仿宋_GB2312" w:eastAsia="仿宋_GB2312"/>
          <w:b w:val="0"/>
          <w:sz w:val="32"/>
        </w:rPr>
        <w:t>其中：财政拨款收入6,769.58万元，占99.90%；上级补助收入0.00万元，占0.00%；事业收入0.00万元，占0.00%；经营收入0.00万元，占0.00%；附属单位上缴收入0.00万元，占0.00%；其他收入6.97万元，占0.10%。</w:t>
      </w:r>
    </w:p>
    <w:p w14:paraId="1E2B5386">
      <w:pPr>
        <w:spacing w:line="640" w:lineRule="exact"/>
        <w:ind w:firstLine="640"/>
        <w:jc w:val="both"/>
        <w:outlineLvl w:val="2"/>
      </w:pPr>
      <w:r>
        <w:rPr>
          <w:rFonts w:ascii="黑体" w:hAnsi="黑体" w:eastAsia="黑体"/>
          <w:sz w:val="32"/>
        </w:rPr>
        <w:t>三、支出决算情况说明</w:t>
      </w:r>
    </w:p>
    <w:p w14:paraId="15C5479A">
      <w:pPr>
        <w:spacing w:line="580" w:lineRule="exact"/>
        <w:ind w:firstLine="640"/>
        <w:jc w:val="both"/>
      </w:pPr>
      <w:r>
        <w:rPr>
          <w:rFonts w:ascii="仿宋_GB2312" w:hAnsi="仿宋_GB2312" w:eastAsia="仿宋_GB2312"/>
          <w:b/>
          <w:sz w:val="32"/>
        </w:rPr>
        <w:t>本年支出6,776.55万元，</w:t>
      </w:r>
      <w:r>
        <w:rPr>
          <w:rFonts w:ascii="仿宋_GB2312" w:hAnsi="仿宋_GB2312" w:eastAsia="仿宋_GB2312"/>
          <w:b w:val="0"/>
          <w:sz w:val="32"/>
        </w:rPr>
        <w:t>其中：基本支出5,154.94万元，占76.07%；项目支出1,621.61万元，占23.93%；上缴上级支出0.00万元，占0.00%；经营支出0.00万元，占0.00%；对附属单位补助支出0.00万元，占0.00%。</w:t>
      </w:r>
    </w:p>
    <w:p w14:paraId="4A177171">
      <w:pPr>
        <w:spacing w:line="640" w:lineRule="exact"/>
        <w:ind w:firstLine="640"/>
        <w:jc w:val="both"/>
        <w:outlineLvl w:val="2"/>
      </w:pPr>
      <w:r>
        <w:rPr>
          <w:rFonts w:ascii="黑体" w:hAnsi="黑体" w:eastAsia="黑体"/>
          <w:sz w:val="32"/>
        </w:rPr>
        <w:t>四、财政拨款收入支出决算总体情况说明</w:t>
      </w:r>
    </w:p>
    <w:p w14:paraId="6AF3AB57">
      <w:pPr>
        <w:spacing w:line="580" w:lineRule="exact"/>
        <w:ind w:firstLine="640"/>
        <w:jc w:val="both"/>
      </w:pPr>
      <w:r>
        <w:rPr>
          <w:rFonts w:ascii="仿宋_GB2312" w:hAnsi="仿宋_GB2312" w:eastAsia="仿宋_GB2312"/>
          <w:b/>
          <w:sz w:val="32"/>
        </w:rPr>
        <w:t>2024年度财政拨款收入总计6,769.58万元，</w:t>
      </w:r>
      <w:r>
        <w:rPr>
          <w:rFonts w:ascii="仿宋_GB2312" w:hAnsi="仿宋_GB2312" w:eastAsia="仿宋_GB2312"/>
          <w:b w:val="0"/>
          <w:sz w:val="32"/>
        </w:rPr>
        <w:t>其中：年初财政拨款结转和结余0.00万元，本年财政拨款收入6,769.58万元。</w:t>
      </w:r>
      <w:r>
        <w:rPr>
          <w:rFonts w:ascii="仿宋_GB2312" w:hAnsi="仿宋_GB2312" w:eastAsia="仿宋_GB2312"/>
          <w:b/>
          <w:sz w:val="32"/>
        </w:rPr>
        <w:t>财政拨款支出总计6,769.58万元，</w:t>
      </w:r>
      <w:r>
        <w:rPr>
          <w:rFonts w:ascii="仿宋_GB2312" w:hAnsi="仿宋_GB2312" w:eastAsia="仿宋_GB2312"/>
          <w:b w:val="0"/>
          <w:sz w:val="32"/>
        </w:rPr>
        <w:t>其中：年末财政拨款结转和结余0.00万元，本年财政拨款支出6,769.58万元。</w:t>
      </w:r>
    </w:p>
    <w:p w14:paraId="6A503332">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增加346.47万元，增长5.39%，主要原因是：本年学生公用经费，学生伙食补助，营养膳食等项目资金较上年增加。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年初预算数6,848.89万元，决算数6,769.58万元，预决算差异率-1.16%，主要原因是：本年在职人员减少，年中调减人员经费，导致预决算存在差异。</w:t>
      </w:r>
    </w:p>
    <w:p w14:paraId="2A7473C5">
      <w:pPr>
        <w:spacing w:line="640" w:lineRule="exact"/>
        <w:ind w:firstLine="640"/>
        <w:jc w:val="both"/>
        <w:outlineLvl w:val="2"/>
      </w:pPr>
      <w:r>
        <w:rPr>
          <w:rFonts w:ascii="黑体" w:hAnsi="黑体" w:eastAsia="黑体"/>
          <w:sz w:val="32"/>
        </w:rPr>
        <w:t>五、一般公共预算财政拨款支出决算情况说明</w:t>
      </w:r>
    </w:p>
    <w:p w14:paraId="1C9C3A29">
      <w:pPr>
        <w:spacing w:line="640" w:lineRule="exact"/>
        <w:ind w:firstLine="640"/>
        <w:jc w:val="both"/>
        <w:outlineLvl w:val="3"/>
      </w:pPr>
      <w:r>
        <w:rPr>
          <w:rFonts w:ascii="楷体_GB2312" w:hAnsi="楷体_GB2312" w:eastAsia="楷体_GB2312"/>
          <w:b/>
          <w:sz w:val="32"/>
        </w:rPr>
        <w:t>（一）一般公共预算财政拨款支出决算总体情况</w:t>
      </w:r>
    </w:p>
    <w:p w14:paraId="20E306AF">
      <w:pPr>
        <w:spacing w:line="580" w:lineRule="exact"/>
        <w:ind w:firstLine="640"/>
        <w:jc w:val="both"/>
      </w:pPr>
      <w:r>
        <w:rPr>
          <w:rFonts w:ascii="仿宋_GB2312" w:hAnsi="仿宋_GB2312" w:eastAsia="仿宋_GB2312"/>
          <w:b/>
          <w:sz w:val="32"/>
        </w:rPr>
        <w:t>2024年度一般公共预算财政拨款支出6,769.58万元，</w:t>
      </w:r>
      <w:r>
        <w:rPr>
          <w:rFonts w:ascii="仿宋_GB2312" w:hAnsi="仿宋_GB2312" w:eastAsia="仿宋_GB2312"/>
          <w:b w:val="0"/>
          <w:sz w:val="32"/>
        </w:rPr>
        <w:t>占本年支出合计的99.90%。</w:t>
      </w:r>
      <w:r>
        <w:rPr>
          <w:rFonts w:ascii="仿宋_GB2312" w:hAnsi="仿宋_GB2312" w:eastAsia="仿宋_GB2312"/>
          <w:b/>
          <w:sz w:val="32"/>
        </w:rPr>
        <w:t>与上年相比，</w:t>
      </w:r>
      <w:r>
        <w:rPr>
          <w:rFonts w:ascii="仿宋_GB2312" w:hAnsi="仿宋_GB2312" w:eastAsia="仿宋_GB2312"/>
          <w:b w:val="0"/>
          <w:sz w:val="32"/>
        </w:rPr>
        <w:t>增加346.47万元，增长5.39%，主要原因是：本年学生公用经费，学生伙食补助，营养膳食等项目资金较上年增加。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年初预算数6,848.89万元，决算数6,769.58万元，预决算差异率-1.16%，主要原因是：本年在职人员减少，年中调减人员经费，导致预决算存在差异。</w:t>
      </w:r>
    </w:p>
    <w:p w14:paraId="381C1941">
      <w:pPr>
        <w:spacing w:line="640" w:lineRule="exact"/>
        <w:ind w:firstLine="640"/>
        <w:jc w:val="both"/>
        <w:outlineLvl w:val="3"/>
      </w:pPr>
      <w:r>
        <w:rPr>
          <w:rFonts w:ascii="楷体_GB2312" w:hAnsi="楷体_GB2312" w:eastAsia="楷体_GB2312"/>
          <w:b/>
          <w:sz w:val="32"/>
        </w:rPr>
        <w:t>（二）一般公共预算财政拨款支出决算结构情况</w:t>
      </w:r>
    </w:p>
    <w:p w14:paraId="3505CF60">
      <w:pPr>
        <w:spacing w:line="580" w:lineRule="exact"/>
        <w:ind w:firstLine="640"/>
        <w:jc w:val="both"/>
      </w:pPr>
      <w:r>
        <w:rPr>
          <w:rFonts w:ascii="仿宋_GB2312" w:hAnsi="仿宋_GB2312" w:eastAsia="仿宋_GB2312"/>
          <w:b w:val="0"/>
          <w:sz w:val="32"/>
        </w:rPr>
        <w:t>1.教育支出(类)6,769.58万元,占100.00%。</w:t>
      </w:r>
    </w:p>
    <w:p w14:paraId="2ED18A3D">
      <w:pPr>
        <w:spacing w:line="640" w:lineRule="exact"/>
        <w:ind w:firstLine="640"/>
        <w:jc w:val="both"/>
        <w:outlineLvl w:val="3"/>
      </w:pPr>
      <w:r>
        <w:rPr>
          <w:rFonts w:ascii="楷体_GB2312" w:hAnsi="楷体_GB2312" w:eastAsia="楷体_GB2312"/>
          <w:b/>
          <w:sz w:val="32"/>
        </w:rPr>
        <w:t>（三）一般公共预算财政拨款支出决算具体情况</w:t>
      </w:r>
    </w:p>
    <w:p w14:paraId="3DB09865">
      <w:pPr>
        <w:spacing w:line="580" w:lineRule="exact"/>
        <w:ind w:firstLine="640"/>
        <w:jc w:val="both"/>
      </w:pPr>
      <w:r>
        <w:rPr>
          <w:rFonts w:ascii="仿宋_GB2312" w:hAnsi="仿宋_GB2312" w:eastAsia="仿宋_GB2312"/>
          <w:b w:val="0"/>
          <w:sz w:val="32"/>
        </w:rPr>
        <w:t>1.教育支出(类)普通教育(款)小学教育(项):支出决算数为6,746.13万元，比上年决算增加323.02万元，增长5.03%,主要原因是：本年学生公用经费，学生伙食补助，营养膳食等项目资金较上年增加。</w:t>
      </w:r>
    </w:p>
    <w:p w14:paraId="3BF0D772">
      <w:pPr>
        <w:spacing w:line="580" w:lineRule="exact"/>
        <w:ind w:firstLine="640"/>
        <w:jc w:val="both"/>
      </w:pPr>
      <w:r>
        <w:rPr>
          <w:rFonts w:ascii="仿宋_GB2312" w:hAnsi="仿宋_GB2312" w:eastAsia="仿宋_GB2312"/>
          <w:b w:val="0"/>
          <w:sz w:val="32"/>
        </w:rPr>
        <w:t>2.教育支出(类)特殊教育(款)特殊学校教育(项):支出决算数为23.45万元，比上年决算增加23.45万元，增长100.00%,主要原因是：本年度增加特殊儿童人数增加补助经费（伽师县教育系统2024年城乡义务教育公用经费项目）。</w:t>
      </w:r>
    </w:p>
    <w:p w14:paraId="7FBAC3F6">
      <w:pPr>
        <w:spacing w:line="640" w:lineRule="exact"/>
        <w:ind w:firstLine="640"/>
        <w:jc w:val="both"/>
        <w:outlineLvl w:val="2"/>
      </w:pPr>
      <w:r>
        <w:rPr>
          <w:rFonts w:ascii="黑体" w:hAnsi="黑体" w:eastAsia="黑体"/>
          <w:sz w:val="32"/>
        </w:rPr>
        <w:t>六、一般公共预算财政拨款基本支出决算情况说明</w:t>
      </w:r>
    </w:p>
    <w:p w14:paraId="2CA63A09">
      <w:pPr>
        <w:spacing w:line="580" w:lineRule="exact"/>
        <w:ind w:firstLine="640"/>
        <w:jc w:val="both"/>
      </w:pPr>
      <w:r>
        <w:rPr>
          <w:rFonts w:ascii="仿宋_GB2312" w:hAnsi="仿宋_GB2312" w:eastAsia="仿宋_GB2312"/>
          <w:b w:val="0"/>
          <w:sz w:val="32"/>
        </w:rPr>
        <w:t>2024年度一般公共预算财政拨款基本支出5,154.94万元，其中：</w:t>
      </w:r>
      <w:r>
        <w:rPr>
          <w:rFonts w:ascii="仿宋_GB2312" w:hAnsi="仿宋_GB2312" w:eastAsia="仿宋_GB2312"/>
          <w:b/>
          <w:sz w:val="32"/>
        </w:rPr>
        <w:t>人员经费5,154.94万元，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包括：基本工资、津贴补贴、奖金、绩效工资、机关事业单位基本养老保险缴费、职业年金缴费、职工基本医疗保险缴费、其他社会保障缴费、住房公积金、退休费、抚恤金、生活补助。</w:t>
      </w:r>
    </w:p>
    <w:p w14:paraId="35DDE43B">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75C8D04D">
      <w:pPr>
        <w:spacing w:line="640" w:lineRule="exact"/>
        <w:ind w:firstLine="640"/>
        <w:jc w:val="both"/>
        <w:outlineLvl w:val="2"/>
      </w:pPr>
      <w:r>
        <w:rPr>
          <w:rFonts w:ascii="黑体" w:hAnsi="黑体" w:eastAsia="黑体"/>
          <w:sz w:val="32"/>
        </w:rPr>
        <w:t>七、政府性基金预算财政拨款收入支出决算情况说明</w:t>
      </w:r>
    </w:p>
    <w:p w14:paraId="33C74A86">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586A9AF7">
      <w:pPr>
        <w:spacing w:line="640" w:lineRule="exact"/>
        <w:ind w:firstLine="640"/>
        <w:jc w:val="both"/>
        <w:outlineLvl w:val="2"/>
      </w:pPr>
      <w:r>
        <w:rPr>
          <w:rFonts w:ascii="黑体" w:hAnsi="黑体" w:eastAsia="黑体"/>
          <w:sz w:val="32"/>
        </w:rPr>
        <w:t>八、国有资本经营预算财政拨款收入支出决算情况说明</w:t>
      </w:r>
    </w:p>
    <w:p w14:paraId="261079A6">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3B18DAE">
      <w:pPr>
        <w:spacing w:line="640" w:lineRule="exact"/>
        <w:ind w:firstLine="640"/>
        <w:jc w:val="both"/>
        <w:outlineLvl w:val="2"/>
      </w:pPr>
      <w:r>
        <w:rPr>
          <w:rFonts w:ascii="黑体" w:hAnsi="黑体" w:eastAsia="黑体"/>
          <w:sz w:val="32"/>
        </w:rPr>
        <w:t>九、财政拨款“三公”经费支出决算情况说明</w:t>
      </w:r>
    </w:p>
    <w:p w14:paraId="65F613BC">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08724C20">
      <w:pPr>
        <w:spacing w:line="580" w:lineRule="exact"/>
        <w:ind w:firstLine="640"/>
        <w:jc w:val="both"/>
      </w:pPr>
      <w:r>
        <w:rPr>
          <w:rFonts w:ascii="仿宋_GB2312" w:hAnsi="仿宋_GB2312" w:eastAsia="仿宋_GB2312"/>
          <w:b/>
          <w:sz w:val="32"/>
        </w:rPr>
        <w:t>具体情况如下：</w:t>
      </w:r>
    </w:p>
    <w:p w14:paraId="723FB33E">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7E26D76">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2A83E6E5">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CF45F2E">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7961C63C">
      <w:pPr>
        <w:spacing w:line="640" w:lineRule="exact"/>
        <w:ind w:firstLine="640"/>
        <w:jc w:val="both"/>
        <w:outlineLvl w:val="2"/>
      </w:pPr>
      <w:r>
        <w:rPr>
          <w:rFonts w:ascii="黑体" w:hAnsi="黑体" w:eastAsia="黑体"/>
          <w:sz w:val="32"/>
        </w:rPr>
        <w:t>十、其他重要事项的情况说明</w:t>
      </w:r>
    </w:p>
    <w:p w14:paraId="5C10150D">
      <w:pPr>
        <w:spacing w:line="640" w:lineRule="exact"/>
        <w:ind w:firstLine="640"/>
        <w:jc w:val="both"/>
        <w:outlineLvl w:val="3"/>
      </w:pPr>
      <w:r>
        <w:rPr>
          <w:rFonts w:ascii="楷体_GB2312" w:hAnsi="楷体_GB2312" w:eastAsia="楷体_GB2312"/>
          <w:b/>
          <w:sz w:val="32"/>
        </w:rPr>
        <w:t>（一）机关运行经费及公用经费支出情况</w:t>
      </w:r>
    </w:p>
    <w:p w14:paraId="29B7BC0D">
      <w:pPr>
        <w:spacing w:line="580" w:lineRule="exact"/>
        <w:ind w:firstLine="640"/>
        <w:jc w:val="both"/>
      </w:pPr>
      <w:r>
        <w:rPr>
          <w:rFonts w:ascii="仿宋_GB2312" w:hAnsi="仿宋_GB2312" w:eastAsia="仿宋_GB2312"/>
          <w:b w:val="0"/>
          <w:sz w:val="32"/>
        </w:rPr>
        <w:t>2024年度伽师县英买里镇中心小学（事业单位）公用经费支出0.00万元，比上年增加0.00万元，增长0.00%，主要原因是：2023年与2024年均未安排公用经费支出。</w:t>
      </w:r>
    </w:p>
    <w:p w14:paraId="7868F775">
      <w:pPr>
        <w:spacing w:line="640" w:lineRule="exact"/>
        <w:ind w:firstLine="640"/>
        <w:jc w:val="both"/>
        <w:outlineLvl w:val="3"/>
      </w:pPr>
      <w:r>
        <w:rPr>
          <w:rFonts w:ascii="楷体_GB2312" w:hAnsi="楷体_GB2312" w:eastAsia="楷体_GB2312"/>
          <w:b/>
          <w:sz w:val="32"/>
        </w:rPr>
        <w:t>（二）政府采购情况</w:t>
      </w:r>
    </w:p>
    <w:p w14:paraId="13CD8470">
      <w:pPr>
        <w:spacing w:line="580" w:lineRule="exact"/>
        <w:ind w:firstLine="640"/>
        <w:jc w:val="both"/>
      </w:pPr>
      <w:r>
        <w:rPr>
          <w:rFonts w:ascii="仿宋_GB2312" w:hAnsi="仿宋_GB2312" w:eastAsia="仿宋_GB2312"/>
          <w:b w:val="0"/>
          <w:sz w:val="32"/>
        </w:rPr>
        <w:t>2024年度政府采购支出总额522.64万元，其中：政府采购货物支出521.92万元、政府采购工程支出0.00万元、政府采购服务支出0.72万元。</w:t>
      </w:r>
    </w:p>
    <w:p w14:paraId="5ED2F53A">
      <w:pPr>
        <w:spacing w:line="580" w:lineRule="exact"/>
        <w:ind w:firstLine="640"/>
        <w:jc w:val="both"/>
      </w:pPr>
      <w:r>
        <w:rPr>
          <w:rFonts w:ascii="仿宋_GB2312" w:hAnsi="仿宋_GB2312" w:eastAsia="仿宋_GB2312"/>
          <w:b w:val="0"/>
          <w:sz w:val="32"/>
        </w:rPr>
        <w:t>授予中小企业合同金额522.64万元，占政府采购支出总额的100.00%，其中：授予小微企业合同金额510.41万元，占政府采购支出总额的97.66%。</w:t>
      </w:r>
    </w:p>
    <w:p w14:paraId="3AA7166F">
      <w:pPr>
        <w:spacing w:line="640" w:lineRule="exact"/>
        <w:ind w:firstLine="640"/>
        <w:jc w:val="both"/>
        <w:outlineLvl w:val="3"/>
      </w:pPr>
      <w:r>
        <w:rPr>
          <w:rFonts w:ascii="楷体_GB2312" w:hAnsi="楷体_GB2312" w:eastAsia="楷体_GB2312"/>
          <w:b/>
          <w:sz w:val="32"/>
        </w:rPr>
        <w:t>（三）国有资产占用情况说明</w:t>
      </w:r>
    </w:p>
    <w:p w14:paraId="68AAF590">
      <w:pPr>
        <w:spacing w:line="580" w:lineRule="exact"/>
        <w:ind w:firstLine="640"/>
        <w:jc w:val="both"/>
      </w:pPr>
      <w:r>
        <w:rPr>
          <w:rFonts w:ascii="仿宋_GB2312" w:hAnsi="仿宋_GB2312" w:eastAsia="仿宋_GB2312"/>
          <w:b w:val="0"/>
          <w:sz w:val="32"/>
        </w:rPr>
        <w:t>截至2024年12月31日，房屋83,996.82平方米，价值6,824.69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1台（套）。</w:t>
      </w:r>
    </w:p>
    <w:p w14:paraId="7ED4A7A9">
      <w:pPr>
        <w:spacing w:line="640" w:lineRule="exact"/>
        <w:ind w:firstLine="640"/>
        <w:jc w:val="both"/>
        <w:outlineLvl w:val="2"/>
      </w:pPr>
      <w:r>
        <w:rPr>
          <w:rFonts w:ascii="黑体" w:hAnsi="黑体" w:eastAsia="黑体"/>
          <w:sz w:val="32"/>
        </w:rPr>
        <w:t>十一、预算绩效的情况说明</w:t>
      </w:r>
    </w:p>
    <w:p w14:paraId="25079EFF">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项目绩效自评表。发现的问题及原因：本单位无项目绩效自评表。下一步改进措施：本单位无项目绩效自评表。</w:t>
      </w:r>
    </w:p>
    <w:p w14:paraId="0F814EA5">
      <w:r>
        <w:br w:type="page"/>
      </w:r>
    </w:p>
    <w:p w14:paraId="743DE850">
      <w:pPr>
        <w:spacing w:line="640" w:lineRule="exact"/>
        <w:ind w:firstLine="640"/>
        <w:jc w:val="both"/>
        <w:outlineLvl w:val="2"/>
      </w:pPr>
      <w:r>
        <w:rPr>
          <w:rFonts w:ascii="黑体" w:hAnsi="黑体" w:eastAsia="黑体"/>
          <w:sz w:val="32"/>
        </w:rPr>
        <w:t>十二、其他需说明的事项</w:t>
      </w:r>
    </w:p>
    <w:p w14:paraId="447D242F">
      <w:pPr>
        <w:spacing w:line="580" w:lineRule="exact"/>
        <w:ind w:firstLine="640"/>
        <w:jc w:val="both"/>
      </w:pPr>
      <w:r>
        <w:rPr>
          <w:rFonts w:ascii="仿宋_GB2312" w:hAnsi="仿宋_GB2312" w:eastAsia="仿宋_GB2312"/>
          <w:b w:val="0"/>
          <w:sz w:val="32"/>
        </w:rPr>
        <w:t>本年度本单位整体绩效自评表由伽师县教育局编报并公开。</w:t>
      </w:r>
    </w:p>
    <w:p w14:paraId="5AE5BBD5">
      <w:r>
        <w:br w:type="page"/>
      </w:r>
    </w:p>
    <w:p w14:paraId="322F9179">
      <w:pPr>
        <w:spacing w:line="240" w:lineRule="auto"/>
        <w:jc w:val="center"/>
        <w:outlineLvl w:val="1"/>
      </w:pPr>
      <w:r>
        <w:rPr>
          <w:rFonts w:ascii="黑体" w:hAnsi="黑体" w:eastAsia="黑体"/>
          <w:sz w:val="32"/>
        </w:rPr>
        <w:t>第三部分 专业名词解释</w:t>
      </w:r>
    </w:p>
    <w:p w14:paraId="33CD73B1">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39CCE6E">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D1DD766">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0513BF7">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DB0BEEB">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C1C9AC4">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2004AF6">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F3AD327">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BE8D9E9">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1B2E7F3">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33F55E7">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1FE2818">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40DCD62">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2089450">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CE23DCF">
      <w:r>
        <w:br w:type="page"/>
      </w:r>
    </w:p>
    <w:p w14:paraId="5DCB2FC4">
      <w:pPr>
        <w:spacing w:line="240" w:lineRule="auto"/>
        <w:jc w:val="center"/>
        <w:outlineLvl w:val="1"/>
      </w:pPr>
      <w:r>
        <w:rPr>
          <w:rFonts w:ascii="黑体" w:hAnsi="黑体" w:eastAsia="黑体"/>
          <w:sz w:val="32"/>
        </w:rPr>
        <w:t>第四部分 部门决算报表（见附表）</w:t>
      </w:r>
    </w:p>
    <w:p w14:paraId="23CB0A4F">
      <w:pPr>
        <w:spacing w:line="240" w:lineRule="auto"/>
        <w:ind w:firstLine="640"/>
        <w:jc w:val="both"/>
      </w:pPr>
      <w:r>
        <w:rPr>
          <w:rFonts w:ascii="仿宋_GB2312" w:hAnsi="仿宋_GB2312" w:eastAsia="仿宋_GB2312"/>
          <w:b w:val="0"/>
          <w:sz w:val="32"/>
        </w:rPr>
        <w:t>一、《收入支出决算总表》</w:t>
      </w:r>
    </w:p>
    <w:p w14:paraId="69F3593A">
      <w:pPr>
        <w:spacing w:line="240" w:lineRule="auto"/>
        <w:ind w:firstLine="640"/>
        <w:jc w:val="both"/>
      </w:pPr>
      <w:r>
        <w:rPr>
          <w:rFonts w:ascii="仿宋_GB2312" w:hAnsi="仿宋_GB2312" w:eastAsia="仿宋_GB2312"/>
          <w:b w:val="0"/>
          <w:sz w:val="32"/>
        </w:rPr>
        <w:t>二、《收入决算表》</w:t>
      </w:r>
    </w:p>
    <w:p w14:paraId="1404664C">
      <w:pPr>
        <w:spacing w:line="240" w:lineRule="auto"/>
        <w:ind w:firstLine="640"/>
        <w:jc w:val="both"/>
      </w:pPr>
      <w:r>
        <w:rPr>
          <w:rFonts w:ascii="仿宋_GB2312" w:hAnsi="仿宋_GB2312" w:eastAsia="仿宋_GB2312"/>
          <w:b w:val="0"/>
          <w:sz w:val="32"/>
        </w:rPr>
        <w:t>三、《支出决算表》</w:t>
      </w:r>
    </w:p>
    <w:p w14:paraId="323045C3">
      <w:pPr>
        <w:spacing w:line="240" w:lineRule="auto"/>
        <w:ind w:firstLine="640"/>
        <w:jc w:val="both"/>
      </w:pPr>
      <w:r>
        <w:rPr>
          <w:rFonts w:ascii="仿宋_GB2312" w:hAnsi="仿宋_GB2312" w:eastAsia="仿宋_GB2312"/>
          <w:b w:val="0"/>
          <w:sz w:val="32"/>
        </w:rPr>
        <w:t>四、《财政拨款收入支出决算总表》</w:t>
      </w:r>
    </w:p>
    <w:p w14:paraId="7DBBC8FE">
      <w:pPr>
        <w:spacing w:line="240" w:lineRule="auto"/>
        <w:ind w:firstLine="640"/>
        <w:jc w:val="both"/>
      </w:pPr>
      <w:r>
        <w:rPr>
          <w:rFonts w:ascii="仿宋_GB2312" w:hAnsi="仿宋_GB2312" w:eastAsia="仿宋_GB2312"/>
          <w:b w:val="0"/>
          <w:sz w:val="32"/>
        </w:rPr>
        <w:t>五、《一般公共预算财政拨款支出决算表》</w:t>
      </w:r>
    </w:p>
    <w:p w14:paraId="45140896">
      <w:pPr>
        <w:spacing w:line="240" w:lineRule="auto"/>
        <w:ind w:firstLine="640"/>
        <w:jc w:val="both"/>
      </w:pPr>
      <w:r>
        <w:rPr>
          <w:rFonts w:ascii="仿宋_GB2312" w:hAnsi="仿宋_GB2312" w:eastAsia="仿宋_GB2312"/>
          <w:b w:val="0"/>
          <w:sz w:val="32"/>
        </w:rPr>
        <w:t>六、《一般公共预算财政拨款基本支出决算表》</w:t>
      </w:r>
    </w:p>
    <w:p w14:paraId="34C6C722">
      <w:pPr>
        <w:spacing w:line="240" w:lineRule="auto"/>
        <w:ind w:firstLine="640"/>
        <w:jc w:val="both"/>
      </w:pPr>
      <w:r>
        <w:rPr>
          <w:rFonts w:ascii="仿宋_GB2312" w:hAnsi="仿宋_GB2312" w:eastAsia="仿宋_GB2312"/>
          <w:b w:val="0"/>
          <w:sz w:val="32"/>
        </w:rPr>
        <w:t>七、《政府性基金预算财政拨款收入支出决算表》</w:t>
      </w:r>
    </w:p>
    <w:p w14:paraId="70DC919E">
      <w:pPr>
        <w:spacing w:line="240" w:lineRule="auto"/>
        <w:ind w:firstLine="640"/>
        <w:jc w:val="both"/>
      </w:pPr>
      <w:r>
        <w:rPr>
          <w:rFonts w:ascii="仿宋_GB2312" w:hAnsi="仿宋_GB2312" w:eastAsia="仿宋_GB2312"/>
          <w:b w:val="0"/>
          <w:sz w:val="32"/>
        </w:rPr>
        <w:t>八、《国有资本经营预算财政拨款收入支出决算表》</w:t>
      </w:r>
    </w:p>
    <w:p w14:paraId="492C7B4A">
      <w:pPr>
        <w:spacing w:line="240" w:lineRule="auto"/>
        <w:ind w:firstLine="640"/>
        <w:jc w:val="both"/>
      </w:pPr>
      <w:r>
        <w:rPr>
          <w:rFonts w:ascii="仿宋_GB2312" w:hAnsi="仿宋_GB2312" w:eastAsia="仿宋_GB2312"/>
          <w:b w:val="0"/>
          <w:sz w:val="32"/>
        </w:rPr>
        <w:t>九、《财政拨款“三公”经费支出决算表》</w:t>
      </w:r>
    </w:p>
    <w:p w14:paraId="65186A3F">
      <w:pPr>
        <w:spacing w:line="240" w:lineRule="auto"/>
        <w:ind w:firstLine="640"/>
        <w:jc w:val="both"/>
      </w:pPr>
    </w:p>
    <w:p w14:paraId="299BD085">
      <w:pPr>
        <w:spacing w:line="240" w:lineRule="auto"/>
        <w:ind w:firstLine="640"/>
        <w:jc w:val="both"/>
      </w:pPr>
    </w:p>
    <w:p w14:paraId="51E24F11">
      <w:pPr>
        <w:spacing w:line="240" w:lineRule="auto"/>
        <w:ind w:firstLine="640"/>
        <w:jc w:val="both"/>
      </w:pPr>
    </w:p>
    <w:p w14:paraId="18A815AA">
      <w:pPr>
        <w:spacing w:line="240" w:lineRule="auto"/>
        <w:ind w:firstLine="640"/>
        <w:jc w:val="both"/>
      </w:pPr>
    </w:p>
    <w:p w14:paraId="38294B05">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C82984F-D3BD-49D6-A77F-C87E3463E0D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3BCC81A4-9B6B-42F9-80EF-AA9114D942D4}"/>
  </w:font>
  <w:font w:name="仿宋_GB2312">
    <w:altName w:val="仿宋"/>
    <w:panose1 w:val="02010609030101010101"/>
    <w:charset w:val="86"/>
    <w:family w:val="modern"/>
    <w:pitch w:val="default"/>
    <w:sig w:usb0="00000000" w:usb1="00000000" w:usb2="00000000" w:usb3="00000000" w:csb0="00040000" w:csb1="00000000"/>
    <w:embedRegular r:id="rId3" w:fontKey="{EA6B74C9-3FDD-4916-8068-4F2996ED78DF}"/>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embedRegular r:id="rId4" w:fontKey="{1E652C2B-D1D5-422E-A06E-E4D8B9DEE7A9}"/>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DED2E39"/>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5C71BC"/>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4522</Words>
  <Characters>5114</Characters>
  <Lines>0</Lines>
  <Paragraphs>0</Paragraphs>
  <TotalTime>0</TotalTime>
  <ScaleCrop>false</ScaleCrop>
  <LinksUpToDate>false</LinksUpToDate>
  <CharactersWithSpaces>5124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2025-09-17T11:28:32Z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